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格雷厄姆skill-1</w:t>
      </w:r>
    </w:p>
    <w:p>
      <w:pPr>
        <w:spacing w:lineRule="exact"/>
        <w:jc w:val="left"/>
      </w:pPr>
      <w:r>
        <w:t>《聪明的投资者》核心内容总结</w:t>
      </w:r>
    </w:p>
    <w:p>
      <w:pPr>
        <w:spacing w:lineRule="exact"/>
        <w:jc w:val="left"/>
      </w:pPr>
      <w:r>
        <w:t>作者与背景</w:t>
      </w:r>
    </w:p>
    <w:p>
      <w:pPr>
        <w:spacing w:lineRule="exact"/>
        <w:jc w:val="left"/>
      </w:pPr>
      <w:r>
        <w:t>本杰明·格雷厄姆（Benjamin Graham）著，1949年首版，被沃伦·巴菲特称为"迄今为止关于投资的最佳著作"。本书奠定了价值投资理论的基础。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一、投资与投机的本质区别</w:t>
      </w:r>
    </w:p>
    <w:p>
      <w:pPr>
        <w:spacing w:lineRule="exact"/>
        <w:jc w:val="left"/>
      </w:pPr>
      <w:r>
        <w:t>格雷厄姆开篇即划定核心边界：投资是指经过深入分析后，能够保证本金安全并获得满意回报的操作；不符合这三个条件的操作，均属投机。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大多数人自以为在投资，实则在投机——他们依赖价格走势、市场情绪或他人意见做决策，而非基于企业内在价值的独立分析。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二、防御型投资者 vs 进取型投资者</w:t>
      </w:r>
    </w:p>
    <w:p>
      <w:pPr>
        <w:spacing w:lineRule="exact"/>
        <w:jc w:val="left"/>
      </w:pPr>
      <w:r>
        <w:t>格雷厄姆将读者分为两类，并给出截然不同的策略：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防御型投资者（保守型）</w:t>
      </w:r>
    </w:p>
    <w:p>
      <w:pPr>
        <w:spacing w:lineRule="exact"/>
        <w:jc w:val="left"/>
      </w:pPr>
      <w:r>
        <w:t>目标：避免严重错误，减少决策频率</w:t>
      </w:r>
    </w:p>
    <w:p>
      <w:pPr>
        <w:spacing w:lineRule="exact"/>
        <w:jc w:val="left"/>
      </w:pPr>
      <w:r>
        <w:t>策略：持有高质量债券 + 大盘蓝筹股，各占约50%，定期再平衡</w:t>
      </w:r>
    </w:p>
    <w:p>
      <w:pPr>
        <w:spacing w:lineRule="exact"/>
        <w:jc w:val="left"/>
      </w:pPr>
      <w:r>
        <w:t>选股标准：规模足够大、财务状况良好、历史股息连续、市盈率适中、市净率不过高</w:t>
      </w:r>
    </w:p>
    <w:p>
      <w:pPr>
        <w:spacing w:lineRule="exact"/>
        <w:jc w:val="left"/>
      </w:pPr>
      <w:r>
        <w:t>核心原则：简单、分散、不折腾</w:t>
      </w:r>
    </w:p>
    <w:p>
      <w:pPr>
        <w:spacing w:lineRule="exact"/>
        <w:jc w:val="left"/>
      </w:pPr>
      <w:r>
        <w:t>进取型投资者（主动型）</w:t>
      </w:r>
    </w:p>
    <w:p>
      <w:pPr>
        <w:spacing w:lineRule="exact"/>
        <w:jc w:val="left"/>
      </w:pPr>
      <w:r>
        <w:t>目标：通过额外付出获取超越平均水平的回报</w:t>
      </w:r>
    </w:p>
    <w:p>
      <w:pPr>
        <w:spacing w:lineRule="exact"/>
        <w:jc w:val="left"/>
      </w:pPr>
      <w:r>
        <w:t>策略：寻找被低估的个股、特殊情况套利、小盘被忽视股票</w:t>
      </w:r>
    </w:p>
    <w:p>
      <w:pPr>
        <w:spacing w:lineRule="exact"/>
        <w:jc w:val="left"/>
      </w:pPr>
      <w:r>
        <w:t>要求具备充分的知识、时间和纪律，否则进取反而不如防御</w:t>
      </w:r>
    </w:p>
    <w:p>
      <w:pPr>
        <w:spacing w:lineRule="exact"/>
        <w:jc w:val="left"/>
      </w:pPr>
      <w:r>
        <w:t>三、"市场先生"寓言</w:t>
      </w:r>
    </w:p>
    <w:p>
      <w:pPr>
        <w:spacing w:lineRule="exact"/>
        <w:jc w:val="left"/>
      </w:pPr>
      <w:r>
        <w:t>这是全书最著名的比喻。格雷厄姆将市场拟人化为一个情绪不稳定的合伙人"市场先生"：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每天他都会报出一个买卖价格</w:t>
      </w:r>
    </w:p>
    <w:p>
      <w:pPr>
        <w:spacing w:lineRule="exact"/>
        <w:jc w:val="left"/>
      </w:pPr>
      <w:r>
        <w:t>有时他极度乐观，报价远超内在价值</w:t>
      </w:r>
    </w:p>
    <w:p>
      <w:pPr>
        <w:spacing w:lineRule="exact"/>
        <w:jc w:val="left"/>
      </w:pPr>
      <w:r>
        <w:t>有时他极度悲观，报价远低于内在价值</w:t>
      </w:r>
    </w:p>
    <w:p>
      <w:pPr>
        <w:spacing w:lineRule="exact"/>
        <w:jc w:val="left"/>
      </w:pPr>
      <w:r>
        <w:t>你完全可以无视他，或者利用他的非理性</w:t>
      </w:r>
    </w:p>
    <w:p>
      <w:pPr>
        <w:spacing w:lineRule="exact"/>
        <w:jc w:val="left"/>
      </w:pPr>
      <w:r>
        <w:t>关键洞见：市场价格是供你利用的工具，而非告诉你该怎么做的权威。投资者不应被市场情绪牵着走，而应反其道而行——在悲观时买入，在乐观时卖出或持有。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四、安全边际（Margin of Safety）</w:t>
      </w:r>
    </w:p>
    <w:p>
      <w:pPr>
        <w:spacing w:lineRule="exact"/>
        <w:jc w:val="left"/>
      </w:pPr>
      <w:r>
        <w:t>这是全书的压轴概念，也是价值投资的核心支柱：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以低于内在价值的价格买入，差价即为安全边际。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安全边际的意义：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吸收估值误差：没有人能精确计算内在价值</w:t>
      </w:r>
    </w:p>
    <w:p>
      <w:pPr>
        <w:spacing w:lineRule="exact"/>
        <w:jc w:val="left"/>
      </w:pPr>
      <w:r>
        <w:t>抵御未知风险：企业经营可能不如预期</w:t>
      </w:r>
    </w:p>
    <w:p>
      <w:pPr>
        <w:spacing w:lineRule="exact"/>
        <w:jc w:val="left"/>
      </w:pPr>
      <w:r>
        <w:t>提供上行空间：价格回归价值时产生收益</w:t>
      </w:r>
    </w:p>
    <w:p>
      <w:pPr>
        <w:spacing w:lineRule="exact"/>
        <w:jc w:val="left"/>
      </w:pPr>
      <w:r>
        <w:t>安全边际越大，投资越安全。格雷厄姆建议至少要有三分之一的折价空间。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五、通货膨胀与资产配置</w:t>
      </w:r>
    </w:p>
    <w:p>
      <w:pPr>
        <w:spacing w:lineRule="exact"/>
        <w:jc w:val="left"/>
      </w:pPr>
      <w:r>
        <w:t>格雷厄姆专门论述了通胀对投资者的影响：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通胀是债券投资者的隐形敌人，会侵蚀固定收益的实际购买力</w:t>
      </w:r>
    </w:p>
    <w:p>
      <w:pPr>
        <w:spacing w:lineRule="exact"/>
        <w:jc w:val="left"/>
      </w:pPr>
      <w:r>
        <w:t>股票在长期能一定程度对抗通胀，但不是完美的通胀对冲工具</w:t>
      </w:r>
    </w:p>
    <w:p>
      <w:pPr>
        <w:spacing w:lineRule="exact"/>
        <w:jc w:val="left"/>
      </w:pPr>
      <w:r>
        <w:t>建议投资者持有部分普通股作为通胀保护，但不能全押股票</w:t>
      </w:r>
    </w:p>
    <w:p>
      <w:pPr>
        <w:spacing w:lineRule="exact"/>
        <w:jc w:val="left"/>
      </w:pPr>
      <w:r>
        <w:t>后期版本中还提及了**TIPS（通胀保值债券）**类资产的意义</w:t>
      </w:r>
    </w:p>
    <w:p>
      <w:pPr>
        <w:spacing w:lineRule="exact"/>
        <w:jc w:val="left"/>
      </w:pPr>
      <w:r>
        <w:t>六、股票估值与选股原则</w:t>
      </w:r>
    </w:p>
    <w:p>
      <w:pPr>
        <w:spacing w:lineRule="exact"/>
        <w:jc w:val="left"/>
      </w:pPr>
      <w:r>
        <w:t>估值方法</w:t>
      </w:r>
    </w:p>
    <w:p>
      <w:pPr>
        <w:spacing w:lineRule="exact"/>
        <w:jc w:val="left"/>
      </w:pPr>
      <w:r>
        <w:t>格雷厄姆提出了实用的估值框架：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市盈率（P/E）：防御型投资者不应购买市盈率超过25倍（过去7年均值）的股票</w:t>
      </w:r>
    </w:p>
    <w:p>
      <w:pPr>
        <w:spacing w:lineRule="exact"/>
        <w:jc w:val="left"/>
      </w:pPr>
      <w:r>
        <w:t>市净率（P/B）：市净率与市盈率之积不应超过22.5</w:t>
      </w:r>
    </w:p>
    <w:p>
      <w:pPr>
        <w:spacing w:lineRule="exact"/>
        <w:jc w:val="left"/>
      </w:pPr>
      <w:r>
        <w:t>股息历史：至少连续20年不中断支付股息</w:t>
      </w:r>
    </w:p>
    <w:p>
      <w:pPr>
        <w:spacing w:lineRule="exact"/>
        <w:jc w:val="left"/>
      </w:pPr>
      <w:r>
        <w:t>经典"格雷厄姆数字"公式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格雷厄姆数字 = √(22.5 × 每股收益 × 每股净资产)</w:t>
      </w:r>
    </w:p>
    <w:p>
      <w:pPr>
        <w:spacing w:lineRule="exact"/>
        <w:jc w:val="left"/>
      </w:pPr>
      <w:r>
        <w:t>当股价低于此数值时，股票具有安全边际。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七、投资者的心理与行为</w:t>
      </w:r>
    </w:p>
    <w:p>
      <w:pPr>
        <w:spacing w:lineRule="exact"/>
        <w:jc w:val="left"/>
      </w:pPr>
      <w:r>
        <w:t>格雷厄姆深刻揭示了投资失败的心理根源：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错误行为	根本原因</w:t>
      </w:r>
    </w:p>
    <w:p>
      <w:pPr>
        <w:spacing w:lineRule="exact"/>
        <w:jc w:val="left"/>
      </w:pPr>
      <w:r>
        <w:t>追涨杀跌	将价格上涨误认为价值提升</w:t>
      </w:r>
    </w:p>
    <w:p>
      <w:pPr>
        <w:spacing w:lineRule="exact"/>
        <w:jc w:val="left"/>
      </w:pPr>
      <w:r>
        <w:t>频繁交易	高估自己的预测能力</w:t>
      </w:r>
    </w:p>
    <w:p>
      <w:pPr>
        <w:spacing w:lineRule="exact"/>
        <w:jc w:val="left"/>
      </w:pPr>
      <w:r>
        <w:t>跟随市场情绪	缺乏独立判断，从众心理</w:t>
      </w:r>
    </w:p>
    <w:p>
      <w:pPr>
        <w:spacing w:lineRule="exact"/>
        <w:jc w:val="left"/>
      </w:pPr>
      <w:r>
        <w:t>过度关注短期	忽视企业长期内在价值</w:t>
      </w:r>
    </w:p>
    <w:p>
      <w:pPr>
        <w:spacing w:lineRule="exact"/>
        <w:jc w:val="left"/>
      </w:pPr>
      <w:r>
        <w:t>格雷厄姆的忠告：投资者最大的敌人是自己。理性、纪律和耐心，是投资成功的真正来源，远比聪明才智更重要。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八、基金与专业建议的局限</w:t>
      </w:r>
    </w:p>
    <w:p>
      <w:pPr>
        <w:spacing w:lineRule="exact"/>
        <w:jc w:val="left"/>
      </w:pPr>
      <w:r>
        <w:t>格雷厄姆对主动管理基金持怀疑态度：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大多数主动管理基金长期跑不赢指数</w:t>
      </w:r>
    </w:p>
    <w:p>
      <w:pPr>
        <w:spacing w:lineRule="exact"/>
        <w:jc w:val="left"/>
      </w:pPr>
      <w:r>
        <w:t>基金经理的激励机制与投资者利益存在天然冲突（短期业绩压力）</w:t>
      </w:r>
    </w:p>
    <w:p>
      <w:pPr>
        <w:spacing w:lineRule="exact"/>
        <w:jc w:val="left"/>
      </w:pPr>
      <w:r>
        <w:t>对于防御型投资者，低成本指数基金是最理性的选择（这一观点后来被约翰·博格尔实践化）</w:t>
      </w:r>
    </w:p>
    <w:p>
      <w:pPr>
        <w:spacing w:lineRule="exact"/>
        <w:jc w:val="left"/>
      </w:pPr>
      <w:r>
        <w:t>寻求专业建议时，要警惕利益冲突，选择收费制顾问而非佣金制顾问</w:t>
      </w:r>
    </w:p>
    <w:p>
      <w:pPr>
        <w:spacing w:lineRule="exact"/>
        <w:jc w:val="left"/>
      </w:pPr>
      <w:r>
        <w:t>九、债券投资原则</w:t>
      </w:r>
    </w:p>
    <w:p>
      <w:pPr>
        <w:spacing w:lineRule="exact"/>
        <w:jc w:val="left"/>
      </w:pPr>
      <w:r>
        <w:t>高评级债券（BBB/Baa 及以上）才适合防御型投资者</w:t>
      </w:r>
    </w:p>
    <w:p>
      <w:pPr>
        <w:spacing w:lineRule="exact"/>
        <w:jc w:val="left"/>
      </w:pPr>
      <w:r>
        <w:t>不应为追求更高收益而购买垃圾债券，风险与回报不对等</w:t>
      </w:r>
    </w:p>
    <w:p>
      <w:pPr>
        <w:spacing w:lineRule="exact"/>
        <w:jc w:val="left"/>
      </w:pPr>
      <w:r>
        <w:t>可转换债券兼具股票和债券特性，但需仔细分析条款</w:t>
      </w:r>
    </w:p>
    <w:p>
      <w:pPr>
        <w:spacing w:lineRule="exact"/>
        <w:jc w:val="left"/>
      </w:pPr>
      <w:r>
        <w:t>债券期限不宜过长，长期债券对利率变化极为敏感</w:t>
      </w:r>
    </w:p>
    <w:p>
      <w:pPr>
        <w:spacing w:lineRule="exact"/>
        <w:jc w:val="left"/>
      </w:pPr>
      <w:r>
        <w:t>十、对"成长股"的警示</w:t>
      </w:r>
    </w:p>
    <w:p>
      <w:pPr>
        <w:spacing w:lineRule="exact"/>
        <w:jc w:val="left"/>
      </w:pPr>
      <w:r>
        <w:t>格雷厄姆对当时流行的成长股投资热潮提出警告：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成长股的高增长预期往往已反映在高价格中，安全边际几乎为零</w:t>
      </w:r>
    </w:p>
    <w:p>
      <w:pPr>
        <w:spacing w:lineRule="exact"/>
        <w:jc w:val="left"/>
      </w:pPr>
      <w:r>
        <w:t>未来增长难以精确预测，为"预期增长"支付高溢价风险极大</w:t>
      </w:r>
    </w:p>
    <w:p>
      <w:pPr>
        <w:spacing w:lineRule="exact"/>
        <w:jc w:val="left"/>
      </w:pPr>
      <w:r>
        <w:t>即使企业真的高速成长，如果买价过高，投资者也未必能获利</w:t>
      </w:r>
    </w:p>
    <w:p>
      <w:pPr>
        <w:spacing w:lineRule="exact"/>
        <w:jc w:val="left"/>
      </w:pPr>
      <w:r>
        <w:t>区分"好公司"和"好股票"：好公司≠好投资，关键在于价格</w:t>
      </w:r>
    </w:p>
    <w:p>
      <w:pPr>
        <w:spacing w:lineRule="exact"/>
        <w:jc w:val="left"/>
      </w:pPr>
      <w:r>
        <w:t>十一、特殊情况与套利机会</w:t>
      </w:r>
    </w:p>
    <w:p>
      <w:pPr>
        <w:spacing w:lineRule="exact"/>
        <w:jc w:val="left"/>
      </w:pPr>
      <w:r>
        <w:t>进取型投资者可关注：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并购套利：已宣布并购交易中的价差</w:t>
      </w:r>
    </w:p>
    <w:p>
      <w:pPr>
        <w:spacing w:lineRule="exact"/>
        <w:jc w:val="left"/>
      </w:pPr>
      <w:r>
        <w:t>清算股：企业清算价值高于市值的情况</w:t>
      </w:r>
    </w:p>
    <w:p>
      <w:pPr>
        <w:spacing w:lineRule="exact"/>
        <w:jc w:val="left"/>
      </w:pPr>
      <w:r>
        <w:t>相关对冲：可转换证券与其对应股票间的价差</w:t>
      </w:r>
    </w:p>
    <w:p>
      <w:pPr>
        <w:spacing w:lineRule="exact"/>
        <w:jc w:val="left"/>
      </w:pPr>
      <w:r>
        <w:t>净流动资产股（NCAV）：市值低于流动资产净值的股票（格雷厄姆最爱的廉价股类型）</w:t>
      </w:r>
    </w:p>
    <w:p>
      <w:pPr>
        <w:spacing w:lineRule="exact"/>
        <w:jc w:val="left"/>
      </w:pPr>
      <w:r>
        <w:t>十二、全书核心思想提炼</w:t>
      </w:r>
    </w:p>
    <w:p>
      <w:pPr>
        <w:spacing w:lineRule="exact"/>
        <w:jc w:val="left"/>
      </w:pPr>
      <w:r>
        <w:t>"投资的秘诀不在于比市场更聪明，而在于不比市场更愚蠢。"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格雷厄姆的三大支柱：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内在价值：企业真实的经济价值，独立于市场价格存在</w:t>
      </w:r>
    </w:p>
    <w:p>
      <w:pPr>
        <w:spacing w:lineRule="exact"/>
        <w:jc w:val="left"/>
      </w:pPr>
      <w:r>
        <w:t>安全边际：以折扣价买入，为错误留出缓冲</w:t>
      </w:r>
    </w:p>
    <w:p>
      <w:pPr>
        <w:spacing w:lineRule="exact"/>
        <w:jc w:val="left"/>
      </w:pPr>
      <w:r>
        <w:t>市场先生：将市场波动视为机会而非威胁</w:t>
      </w:r>
    </w:p>
    <w:p>
      <w:pPr>
        <w:spacing w:lineRule="exact"/>
        <w:jc w:val="left"/>
      </w:pPr>
      <w:r>
        <w:t>附：本书对后世的影响</w:t>
      </w:r>
    </w:p>
    <w:p>
      <w:pPr>
        <w:spacing w:lineRule="exact"/>
        <w:jc w:val="left"/>
      </w:pPr>
      <w:r>
        <w:t>直接影响巴菲特、芒格等一代价值投资大师</w:t>
      </w:r>
    </w:p>
    <w:p>
      <w:pPr>
        <w:spacing w:lineRule="exact"/>
        <w:jc w:val="left"/>
      </w:pPr>
      <w:r>
        <w:t>奠定了现代基本面分析的理论框架</w:t>
      </w:r>
    </w:p>
    <w:p>
      <w:pPr>
        <w:spacing w:lineRule="exact"/>
        <w:jc w:val="left"/>
      </w:pPr>
      <w:r>
        <w:t>约翰·博格尔的指数基金思想，正是格雷厄姆"大多数人应做防御型投资者"的延伸</w:t>
      </w:r>
    </w:p>
    <w:p>
      <w:pPr>
        <w:spacing w:lineRule="exact"/>
        <w:jc w:val="left"/>
      </w:pPr>
      <w:r>
        <w:t>行为金融学的大量研究，印证了格雷厄姆对投资心理偏差的判断</w:t>
      </w:r>
    </w:p>
    <w:p>
      <w:pPr>
        <w:spacing w:lineRule="exact"/>
        <w:jc w:val="left"/>
      </w:pPr>
      <w:r>
        <w:t>这本书的价值不在于提供股票选择的技巧，而在于建立一套抵御市场非理性、保护本金、长期复利增长的思维体系。它的核心逻辑在任何市场环境下都不会过时。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2026-04-11T04:36:13Z</dcterms:created>
  <dc:creator>Apache POI</dc:creator>
</cp:coreProperties>
</file>