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费雪skill-2</w:t>
      </w:r>
    </w:p>
    <w:p>
      <w:pPr>
        <w:spacing w:lineRule="exact"/>
        <w:jc w:val="left"/>
      </w:pPr>
      <w:r>
        <w:t>《普通股的致富道路》完整内容总结</w:t>
      </w:r>
    </w:p>
    <w:p>
      <w:pPr>
        <w:spacing w:lineRule="exact"/>
        <w:jc w:val="left"/>
      </w:pPr>
      <w:r>
        <w:t>英文原名： Paths to Wealth Through Common Stocks 作者： 菲利普·A·费雪（Philip A. Fisher，1907—2004） 初版年份： 1960年 再版年份： 2007年（由其子肯·费雪作序重新出版） 出版社： Wiley（威立出版集团） 页数： 约240页</w:t>
      </w:r>
    </w:p>
    <w:p>
      <w:pPr>
        <w:spacing w:lineRule="exact"/>
        <w:jc w:val="left"/>
      </w:pPr>
      <w:r>
        <w:t>一、作者简介</w:t>
      </w:r>
    </w:p>
    <w:p>
      <w:pPr>
        <w:spacing w:lineRule="exact"/>
        <w:jc w:val="left"/>
      </w:pPr>
      <w:r>
        <w:t>菲利普·费雪是美国股票投资界的传奇人物，也是现代成长型投资理念的奠基人之一。他于1928年开始担任证券分析师，1931年创立费雪投资顾问公司（Fisher &amp; Company）。其最著名的作品《怎样选择成长股》（Common Stocks and Uncommon Profits，1958年）已成为全球投资经典，至今仍长期印行。</w:t>
      </w:r>
    </w:p>
    <w:p>
      <w:pPr>
        <w:spacing w:lineRule="exact"/>
        <w:jc w:val="left"/>
      </w:pPr>
      <w:r>
        <w:t>他曾是斯坦福大学商学院研究生投资管理课程的讲师，是该校有史以来仅有三位执教此课程的人之一。</w:t>
      </w:r>
    </w:p>
    <w:p>
      <w:pPr>
        <w:spacing w:lineRule="exact"/>
        <w:jc w:val="left"/>
      </w:pPr>
      <w:r>
        <w:t>华伦·巴菲特曾言："我的投资理念是85%的本杰明·格雷厄姆加上15%的菲利普·费雪。"费雪对巴菲特从"捡便宜货"转变为"以合理价格购买优秀企业"的思想转型有着深远影响。</w:t>
      </w:r>
    </w:p>
    <w:p>
      <w:pPr>
        <w:spacing w:lineRule="exact"/>
        <w:jc w:val="left"/>
      </w:pPr>
      <w:r>
        <w:t>二、本书背景与定位</w:t>
      </w:r>
    </w:p>
    <w:p>
      <w:pPr>
        <w:spacing w:lineRule="exact"/>
        <w:jc w:val="left"/>
      </w:pPr>
      <w:r>
        <w:t>《普通股的致富道路》是费雪在1960年完成的第二部重要著作，是《怎样选择成长股》的姊妹篇与进阶之作。与第一本书侧重"如何选股"不同，本书着眼于宏观投资环境的变迁、股票内在价值的来源，以及如何在实践中构建完整的投资体系。</w:t>
      </w:r>
    </w:p>
    <w:p>
      <w:pPr>
        <w:spacing w:lineRule="exact"/>
        <w:jc w:val="left"/>
      </w:pPr>
      <w:r>
        <w:t>2007年再版时，费雪之子肯·费雪（Ken Fisher，福布斯专栏作家、Fisher Investments创始人）为本书撰写了全新序言，并指出书中的核心思想在现代市场仍具高度适用性。</w:t>
      </w:r>
    </w:p>
    <w:p>
      <w:pPr>
        <w:spacing w:lineRule="exact"/>
        <w:jc w:val="left"/>
      </w:pPr>
      <w:r>
        <w:t>三、全书结构与核心内容</w:t>
      </w:r>
    </w:p>
    <w:p>
      <w:pPr>
        <w:spacing w:lineRule="exact"/>
        <w:jc w:val="left"/>
      </w:pPr>
      <w:r>
        <w:t>第一部分：为何需要更多投资书籍（序言与导论）</w:t>
      </w:r>
    </w:p>
    <w:p>
      <w:pPr>
        <w:spacing w:lineRule="exact"/>
        <w:jc w:val="left"/>
      </w:pPr>
      <w:r>
        <w:t>费雪在书的开篇提出了一个尖锐的问题：既然市场上已经存在大量投资书籍，为何还需要这本书？他的回答是：绝大多数人普遍接受的许多投资信条事实上是错误的。那些能独立思考、看穿流行谬论的人，才是真正获得财富的人。</w:t>
      </w:r>
    </w:p>
    <w:p>
      <w:pPr>
        <w:spacing w:lineRule="exact"/>
        <w:jc w:val="left"/>
      </w:pPr>
      <w:r>
        <w:t>核心观点： "在投资领域，几乎所有人不加思考就接受为理所当然的许多信念，事实上都被证明是错误的。那些独立思考并得出正确答案的人，已经得到了丰厚的回报。"</w:t>
      </w:r>
    </w:p>
    <w:p>
      <w:pPr>
        <w:spacing w:lineRule="exact"/>
        <w:jc w:val="left"/>
      </w:pPr>
      <w:r>
        <w:t>第二部分：调适1960年代的关键影响因素</w:t>
      </w:r>
    </w:p>
    <w:p>
      <w:pPr>
        <w:spacing w:lineRule="exact"/>
        <w:jc w:val="left"/>
      </w:pPr>
      <w:r>
        <w:t>这一部分是全书的宏观背景章节，费雪分析了影响股票投资的五大宏观力量，虽写于60年代，但其逻辑框架至今仍具启发意义。</w:t>
      </w:r>
    </w:p>
    <w:p>
      <w:pPr>
        <w:spacing w:lineRule="exact"/>
        <w:jc w:val="left"/>
      </w:pPr>
      <w:r>
        <w:t>1. 股票与通货膨胀</w:t>
      </w:r>
    </w:p>
    <w:p>
      <w:pPr>
        <w:spacing w:lineRule="exact"/>
        <w:jc w:val="left"/>
      </w:pPr>
      <w:r>
        <w:t>通胀是不可避免的，但其速度可以把控。</w:t>
      </w:r>
    </w:p>
    <w:p>
      <w:pPr>
        <w:spacing w:lineRule="exact"/>
        <w:jc w:val="left"/>
      </w:pPr>
      <w:r>
        <w:t>费雪认为，只要绝大多数人坚持认为政府有义务保障经济稳定，通货膨胀就是必然的历史趋势。通胀往往在经济衰退期间萌发——政府收入减少，而强制性支出增加，赤字财政由此推动通胀。</w:t>
      </w:r>
    </w:p>
    <w:p>
      <w:pPr>
        <w:spacing w:lineRule="exact"/>
        <w:jc w:val="left"/>
      </w:pPr>
      <w:r>
        <w:t>然而，费雪指出有两股力量能够缓和通胀的速度：</w:t>
      </w:r>
    </w:p>
    <w:p>
      <w:pPr>
        <w:numPr>
          <w:numId w:val="1"/>
        </w:numPr>
      </w:pPr>
      <w:r>
        <w:t>家庭财富创造的韧性：面对更大的需求压力，家庭往往会提高劳动生产率</w:t>
      </w:r>
    </w:p>
    <w:p>
      <w:pPr>
        <w:numPr>
          <w:numId w:val="2"/>
        </w:numPr>
      </w:pPr>
      <w:r>
        <w:t>"发现产业"的力量：持续的科技进步使商品不断变得更便宜或更好</w:t>
      </w:r>
    </w:p>
    <w:p>
      <w:pPr>
        <w:spacing w:lineRule="exact"/>
        <w:jc w:val="left"/>
      </w:pPr>
      <w:r>
        <w:t>投资启示： 投资者不应对通胀速度过度恐慌，也不应慌乱之中仓促投入所谓的"通胀对冲"工具。真正的危险在于被通胀的恐惧所驱使，做出草率而不经深思的投资决策。最重要的是：花时间寻找真正优秀的投资标的，而非赶着押注任何看起来能抵御通胀的资产。</w:t>
      </w:r>
    </w:p>
    <w:p>
      <w:pPr>
        <w:spacing w:lineRule="exact"/>
        <w:jc w:val="left"/>
      </w:pPr>
      <w:r>
        <w:t>2. 机构买盘重塑市场格局</w:t>
      </w:r>
    </w:p>
    <w:p>
      <w:pPr>
        <w:spacing w:lineRule="exact"/>
        <w:jc w:val="left"/>
      </w:pPr>
      <w:r>
        <w:t>机构资金的崛起从根本上改变了股票市场的结构。</w:t>
      </w:r>
    </w:p>
    <w:p>
      <w:pPr>
        <w:spacing w:lineRule="exact"/>
        <w:jc w:val="left"/>
      </w:pPr>
      <w:r>
        <w:t>费雪指出，二战前，遗产税和所得税对富人构成持续的卖压，股市存在系统性的下行偏向。而随着五大类机构投资者的崛起——养老金与利润分享基金、大银行信托部门、投资信托公司、保险公司、大学及慈善机构——股市获得了持续的上行动力。</w:t>
      </w:r>
    </w:p>
    <w:p>
      <w:pPr>
        <w:spacing w:lineRule="exact"/>
        <w:jc w:val="left"/>
      </w:pPr>
      <w:r>
        <w:t>机构买盘的特点是高度集中于少数优质股票，形成了"稀缺价值"，推高了这些股票的市盈率。</w:t>
      </w:r>
    </w:p>
    <w:p>
      <w:pPr>
        <w:spacing w:lineRule="exact"/>
        <w:jc w:val="left"/>
      </w:pPr>
      <w:r>
        <w:t>投资策略建议：</w:t>
      </w:r>
    </w:p>
    <w:p>
      <w:pPr>
        <w:numPr>
          <w:numId w:val="3"/>
        </w:numPr>
      </w:pPr>
      <w:r>
        <w:t>寻找处于刚刚进入机构认可门槛边缘的公司，这类公司具有潜在的上涨动力</w:t>
      </w:r>
    </w:p>
    <w:p>
      <w:pPr>
        <w:numPr>
          <w:numId w:val="4"/>
        </w:numPr>
      </w:pPr>
      <w:r>
        <w:t>寻找拥有卓越管理层、成长潜力且规模适当的企业</w:t>
      </w:r>
    </w:p>
    <w:p>
      <w:pPr>
        <w:numPr>
          <w:numId w:val="5"/>
        </w:numPr>
      </w:pPr>
      <w:r>
        <w:t>警惕机构开始抛弃的股票，这类股票往往面临急剧下跌</w:t>
      </w:r>
    </w:p>
    <w:p>
      <w:pPr>
        <w:spacing w:lineRule="exact"/>
        <w:jc w:val="left"/>
      </w:pPr>
      <w:r>
        <w:t>3. 外国竞争带来挑战也带来机遇</w:t>
      </w:r>
    </w:p>
    <w:p>
      <w:pPr>
        <w:spacing w:lineRule="exact"/>
        <w:jc w:val="left"/>
      </w:pPr>
      <w:r>
        <w:t>随着二战后日本、德国等国家重建，劳动力成本远低于美国的外国竞争者对美国企业构成巨大压力。费雪认为，这种竞争既是威胁，也是机遇。</w:t>
      </w:r>
    </w:p>
    <w:p>
      <w:pPr>
        <w:spacing w:lineRule="exact"/>
        <w:jc w:val="left"/>
      </w:pPr>
      <w:r>
        <w:t>应对外国竞争的成功策略：</w:t>
      </w:r>
    </w:p>
    <w:p>
      <w:pPr>
        <w:numPr>
          <w:numId w:val="6"/>
        </w:numPr>
      </w:pPr>
      <w:r>
        <w:t>在专业化领域保持技术领先地位</w:t>
      </w:r>
    </w:p>
    <w:p>
      <w:pPr>
        <w:numPr>
          <w:numId w:val="7"/>
        </w:numPr>
      </w:pPr>
      <w:r>
        <w:t>开发过于复杂、难以被低成本竞争对手复制的产品</w:t>
      </w:r>
    </w:p>
    <w:p>
      <w:pPr>
        <w:numPr>
          <w:numId w:val="8"/>
        </w:numPr>
      </w:pPr>
      <w:r>
        <w:t>利用政府合同培养转化为民用市场的技术积累</w:t>
      </w:r>
    </w:p>
    <w:p>
      <w:pPr>
        <w:numPr>
          <w:numId w:val="9"/>
        </w:numPr>
      </w:pPr>
      <w:r>
        <w:t>通过质量建立品牌忠诚度</w:t>
      </w:r>
    </w:p>
    <w:p>
      <w:pPr>
        <w:spacing w:lineRule="exact"/>
        <w:jc w:val="left"/>
      </w:pPr>
      <w:r>
        <w:t>投资考量：</w:t>
      </w:r>
    </w:p>
    <w:p>
      <w:pPr>
        <w:numPr>
          <w:numId w:val="10"/>
        </w:numPr>
      </w:pPr>
      <w:r>
        <w:t>警惕在政治风险较高的海外市场有重大利益的公司</w:t>
      </w:r>
    </w:p>
    <w:p>
      <w:pPr>
        <w:numPr>
          <w:numId w:val="11"/>
        </w:numPr>
      </w:pPr>
      <w:r>
        <w:t>寻找能够从外国工业化进程中受益的企业</w:t>
      </w:r>
    </w:p>
    <w:p>
      <w:pPr>
        <w:numPr>
          <w:numId w:val="12"/>
        </w:numPr>
      </w:pPr>
      <w:r>
        <w:t>关注那些凭借产品优越性、即便劳动力成本较高也能在全球竞争中胜出的公司</w:t>
      </w:r>
    </w:p>
    <w:p>
      <w:pPr>
        <w:spacing w:lineRule="exact"/>
        <w:jc w:val="left"/>
      </w:pPr>
      <w:r>
        <w:t>4. 人口增长不等于自动繁荣</w:t>
      </w:r>
    </w:p>
    <w:p>
      <w:pPr>
        <w:spacing w:lineRule="exact"/>
        <w:jc w:val="left"/>
      </w:pPr>
      <w:r>
        <w:t>二战后婴儿潮创造了庞大的消费需求，但费雪对此持冷静态度。</w:t>
      </w:r>
    </w:p>
    <w:p>
      <w:pPr>
        <w:spacing w:lineRule="exact"/>
        <w:jc w:val="left"/>
      </w:pPr>
      <w:r>
        <w:t>关键论点： 人口增长可能引发商品需求结构的变动，但很难预测家庭具体如何调整消费支出。仅凭人口趋势做投资判断是危险的。</w:t>
      </w:r>
    </w:p>
    <w:p>
      <w:pPr>
        <w:spacing w:lineRule="exact"/>
        <w:jc w:val="left"/>
      </w:pPr>
      <w:r>
        <w:t>投资视角： 应聚焦于更广泛的技术与产业趋势，而非单纯依据人口预测做出投资决定。人口增长带来的是方向性参考，而非精确的投资信号。</w:t>
      </w:r>
    </w:p>
    <w:p>
      <w:pPr>
        <w:spacing w:lineRule="exact"/>
        <w:jc w:val="left"/>
      </w:pPr>
      <w:r>
        <w:t>5. 经济学家让位，心理学家登场</w:t>
      </w:r>
    </w:p>
    <w:p>
      <w:pPr>
        <w:spacing w:lineRule="exact"/>
        <w:jc w:val="left"/>
      </w:pPr>
      <w:r>
        <w:t>这是费雪极具洞察力的一章。他指出，市场价格的短期波动越来越多地由投资者心理而非基本面驱动。</w:t>
      </w:r>
    </w:p>
    <w:p>
      <w:pPr>
        <w:spacing w:lineRule="exact"/>
        <w:jc w:val="left"/>
      </w:pPr>
      <w:r>
        <w:t>核心观点：</w:t>
      </w:r>
    </w:p>
    <w:p>
      <w:pPr>
        <w:numPr>
          <w:numId w:val="13"/>
        </w:numPr>
      </w:pPr>
      <w:r>
        <w:t>传统经济学模型无法完全解释市场行为</w:t>
      </w:r>
    </w:p>
    <w:p>
      <w:pPr>
        <w:numPr>
          <w:numId w:val="14"/>
        </w:numPr>
      </w:pPr>
      <w:r>
        <w:t>市场参与者的集体情绪、从众心理和非理性恐惧，是造成股价偏离内在价值的主要原因</w:t>
      </w:r>
    </w:p>
    <w:p>
      <w:pPr>
        <w:numPr>
          <w:numId w:val="15"/>
        </w:numPr>
      </w:pPr>
      <w:r>
        <w:t>聪明的投资者应当利用市场的非理性波动，而非被其所左右</w:t>
      </w:r>
    </w:p>
    <w:p>
      <w:pPr>
        <w:spacing w:lineRule="exact"/>
        <w:jc w:val="left"/>
      </w:pPr>
      <w:r>
        <w:t>名言警句： "每个人似乎都相信它，所以它一定是对的。" —— 费雪以此警示投资者不要不加批判地追随大众观点。</w:t>
      </w:r>
    </w:p>
    <w:p>
      <w:pPr>
        <w:spacing w:lineRule="exact"/>
        <w:jc w:val="left"/>
      </w:pPr>
      <w:r>
        <w:t>第三部分：股票价值最大增长的来源</w:t>
      </w:r>
    </w:p>
    <w:p>
      <w:pPr>
        <w:spacing w:lineRule="exact"/>
        <w:jc w:val="left"/>
      </w:pPr>
      <w:r>
        <w:t>这是本书最核心的投资理论章节，费雪深入解析了股票价值真正增长的驱动力。</w:t>
      </w:r>
    </w:p>
    <w:p>
      <w:pPr>
        <w:spacing w:lineRule="exact"/>
        <w:jc w:val="left"/>
      </w:pPr>
      <w:r>
        <w:t>1. 管理层的核心地位</w:t>
      </w:r>
    </w:p>
    <w:p>
      <w:pPr>
        <w:spacing w:lineRule="exact"/>
        <w:jc w:val="left"/>
      </w:pPr>
      <w:r>
        <w:t>费雪最重要的论断之一：管理层占评估一只普通股时所有考量因素的90%。</w:t>
      </w:r>
    </w:p>
    <w:p>
      <w:pPr>
        <w:spacing w:lineRule="exact"/>
        <w:jc w:val="left"/>
      </w:pPr>
      <w:r>
        <w:t>他认为，股票价值的长期增长取决于公司赚钱能力的提升，而这根本上依赖于卓越的管理层。管理层不仅要能运营当前业务，更要有前瞻性地为公司寻找新的增长来源。</w:t>
      </w:r>
    </w:p>
    <w:p>
      <w:pPr>
        <w:spacing w:lineRule="exact"/>
        <w:jc w:val="left"/>
      </w:pPr>
      <w:r>
        <w:t>优秀管理层的特质：</w:t>
      </w:r>
    </w:p>
    <w:p>
      <w:pPr>
        <w:numPr>
          <w:numId w:val="16"/>
        </w:numPr>
      </w:pPr>
      <w:r>
        <w:t>诚信正直，以股东利益为先</w:t>
      </w:r>
    </w:p>
    <w:p>
      <w:pPr>
        <w:numPr>
          <w:numId w:val="17"/>
        </w:numPr>
      </w:pPr>
      <w:r>
        <w:t>具备创新精神与远见</w:t>
      </w:r>
    </w:p>
    <w:p>
      <w:pPr>
        <w:numPr>
          <w:numId w:val="18"/>
        </w:numPr>
      </w:pPr>
      <w:r>
        <w:t>保守稳健的财务管理风格</w:t>
      </w:r>
    </w:p>
    <w:p>
      <w:pPr>
        <w:numPr>
          <w:numId w:val="19"/>
        </w:numPr>
      </w:pPr>
      <w:r>
        <w:t>良好的人才管理政策</w:t>
      </w:r>
    </w:p>
    <w:p>
      <w:pPr>
        <w:numPr>
          <w:numId w:val="20"/>
        </w:numPr>
      </w:pPr>
      <w:r>
        <w:t>能坦然面对公司问题，不回避不粉饰</w:t>
      </w:r>
    </w:p>
    <w:p>
      <w:pPr>
        <w:numPr>
          <w:numId w:val="21"/>
        </w:numPr>
      </w:pPr>
      <w:r>
        <w:t>愿意与外部人士包括投资者坦诚沟通</w:t>
      </w:r>
    </w:p>
    <w:p>
      <w:pPr>
        <w:spacing w:lineRule="exact"/>
        <w:jc w:val="left"/>
      </w:pPr>
      <w:r>
        <w:t>2. 股价上涨的两大驱动力</w:t>
      </w:r>
    </w:p>
    <w:p>
      <w:pPr>
        <w:spacing w:lineRule="exact"/>
        <w:jc w:val="left"/>
      </w:pPr>
      <w:r>
        <w:t>费雪明确指出，推动股价上涨的力量本质上是两者相互作用的结果：</w:t>
      </w:r>
    </w:p>
    <w:p>
      <w:pPr>
        <w:spacing w:lineRule="exact"/>
        <w:jc w:val="left"/>
      </w:pPr>
      <w:r>
        <w:t>公司盈利能力的实质性增长</w:t>
      </w:r>
    </w:p>
    <w:p>
      <w:pPr>
        <w:spacing w:lineRule="exact"/>
        <w:jc w:val="left"/>
      </w:pPr>
      <w:r>
        <w:t>投资者群体对该公司未来盈利趋势的预期共识</w:t>
      </w:r>
    </w:p>
    <w:p>
      <w:pPr>
        <w:spacing w:lineRule="exact"/>
        <w:jc w:val="left"/>
      </w:pPr>
      <w:r>
        <w:t>这两者缺一不可。单有盈利增长而市场预期未改变，股价上涨有限；单有预期改变而无盈利基础，则只是泡沫。</w:t>
      </w:r>
    </w:p>
    <w:p>
      <w:pPr>
        <w:spacing w:lineRule="exact"/>
        <w:jc w:val="left"/>
      </w:pPr>
      <w:r>
        <w:t>3. 关于市盈率（P/E Ratio）的革命性观点</w:t>
      </w:r>
    </w:p>
    <w:p>
      <w:pPr>
        <w:spacing w:lineRule="exact"/>
        <w:jc w:val="left"/>
      </w:pPr>
      <w:r>
        <w:t>"无论一只股票是以低市盈率还是高市盈率交易，这本身与该股票是否从内在价值上便宜或高估完全没有关系。"</w:t>
      </w:r>
    </w:p>
    <w:p>
      <w:pPr>
        <w:spacing w:lineRule="exact"/>
        <w:jc w:val="left"/>
      </w:pPr>
      <w:r>
        <w:t>这是费雪对当时盛行的"低市盈率=便宜"观念的直接挑战。他认为，市盈率只是一个时间截面上的比率，不能说明股票的真实价值。只有结合公司未来的盈利增长潜力，才能判断当前价格是否合理。</w:t>
      </w:r>
    </w:p>
    <w:p>
      <w:pPr>
        <w:spacing w:lineRule="exact"/>
        <w:jc w:val="left"/>
      </w:pPr>
      <w:r>
        <w:t>4. 机构买盘的连锁效应——被忽视的回报</w:t>
      </w:r>
    </w:p>
    <w:p>
      <w:pPr>
        <w:spacing w:lineRule="exact"/>
        <w:jc w:val="left"/>
      </w:pPr>
      <w:r>
        <w:t>费雪在此提出了一个当时被广泛忽视的概念：当一家公司刚刚进入机构投资者的认可范围时，其股票会经历双重估值提升——既有基本面改善带来的盈利增长，又有机构资金涌入带来的市盈率扩张。</w:t>
      </w:r>
    </w:p>
    <w:p>
      <w:pPr>
        <w:spacing w:lineRule="exact"/>
        <w:jc w:val="left"/>
      </w:pPr>
      <w:r>
        <w:t>这是获得超额回报的最佳时机之一。</w:t>
      </w:r>
    </w:p>
    <w:p>
      <w:pPr>
        <w:spacing w:lineRule="exact"/>
        <w:jc w:val="left"/>
      </w:pPr>
      <w:r>
        <w:t>第四部分：投资者的实践路径</w:t>
      </w:r>
    </w:p>
    <w:p>
      <w:pPr>
        <w:spacing w:lineRule="exact"/>
        <w:jc w:val="left"/>
      </w:pPr>
      <w:r>
        <w:t>1. 投资评估方法</w:t>
      </w:r>
    </w:p>
    <w:p>
      <w:pPr>
        <w:spacing w:lineRule="exact"/>
        <w:jc w:val="left"/>
      </w:pPr>
      <w:r>
        <w:t>费雪在本书中延续并深化了他在《怎样选择成长股》中提出的"闲话法"（Scuttlebutt Method）：</w:t>
      </w:r>
    </w:p>
    <w:p>
      <w:pPr>
        <w:spacing w:lineRule="exact"/>
        <w:jc w:val="left"/>
      </w:pPr>
      <w:r>
        <w:t>"闲话法"的核心思想：</w:t>
      </w:r>
    </w:p>
    <w:p>
      <w:pPr>
        <w:numPr>
          <w:numId w:val="22"/>
        </w:numPr>
      </w:pPr>
      <w:r>
        <w:t>不仅仅依赖财务报表，而是通过多元信息渠道了解一家公司的真实状况</w:t>
      </w:r>
    </w:p>
    <w:p>
      <w:pPr>
        <w:numPr>
          <w:numId w:val="23"/>
        </w:numPr>
      </w:pPr>
      <w:r>
        <w:t>信息来源包括：竞争对手（他们往往坦率评价对手）、客户与供应商、前任员工、行业协会、管理层访谈</w:t>
      </w:r>
    </w:p>
    <w:p>
      <w:pPr>
        <w:numPr>
          <w:numId w:val="24"/>
        </w:numPr>
      </w:pPr>
      <w:r>
        <w:t>这种方法能够帮助投资者建立比单纯财务分析更为立体的公司认知</w:t>
      </w:r>
    </w:p>
    <w:p>
      <w:pPr>
        <w:spacing w:lineRule="exact"/>
        <w:jc w:val="left"/>
      </w:pPr>
      <w:r>
        <w:t>评估投资标的的核心标准：</w:t>
      </w:r>
    </w:p>
    <w:p>
      <w:pPr>
        <w:numPr>
          <w:numId w:val="25"/>
        </w:numPr>
      </w:pPr>
      <w:r>
        <w:t>销售额是否呈现持续且重要的上升趋势（这往往是投资吸引力的第一信号）</w:t>
      </w:r>
    </w:p>
    <w:p>
      <w:pPr>
        <w:numPr>
          <w:numId w:val="26"/>
        </w:numPr>
      </w:pPr>
      <w:r>
        <w:t>公司是否具备强大的研究与开发能力</w:t>
      </w:r>
    </w:p>
    <w:p>
      <w:pPr>
        <w:numPr>
          <w:numId w:val="27"/>
        </w:numPr>
      </w:pPr>
      <w:r>
        <w:t>管理层是否能有效分配资本，寻找能获得超常回报率的新投资机会</w:t>
      </w:r>
    </w:p>
    <w:p>
      <w:pPr>
        <w:numPr>
          <w:numId w:val="28"/>
        </w:numPr>
      </w:pPr>
      <w:r>
        <w:t>公司是否具有定价权与品牌忠诚度</w:t>
      </w:r>
    </w:p>
    <w:p>
      <w:pPr>
        <w:spacing w:lineRule="exact"/>
        <w:jc w:val="left"/>
      </w:pPr>
      <w:r>
        <w:t>2. 五步骤选择投资顾问</w:t>
      </w:r>
    </w:p>
    <w:p>
      <w:pPr>
        <w:spacing w:lineRule="exact"/>
        <w:jc w:val="left"/>
      </w:pPr>
      <w:r>
        <w:t>费雪专门用一章讲述如何选择合格的投资顾问，这在当时颇为罕见。他提出了五步骤筛选框架：</w:t>
      </w:r>
    </w:p>
    <w:p>
      <w:pPr>
        <w:spacing w:lineRule="exact"/>
        <w:jc w:val="left"/>
      </w:pPr>
      <w:r>
        <w:t>哲学认同：确认顾问的投资哲学与你的目标一致</w:t>
      </w:r>
    </w:p>
    <w:p>
      <w:pPr>
        <w:spacing w:lineRule="exact"/>
        <w:jc w:val="left"/>
      </w:pPr>
      <w:r>
        <w:t>业绩追踪：审查顾问真实的长期业绩记录，而非仅看近期表现</w:t>
      </w:r>
    </w:p>
    <w:p>
      <w:pPr>
        <w:spacing w:lineRule="exact"/>
        <w:jc w:val="left"/>
      </w:pPr>
      <w:r>
        <w:t>背景调查：深入了解顾问的从业经历与客户评价</w:t>
      </w:r>
    </w:p>
    <w:p>
      <w:pPr>
        <w:spacing w:lineRule="exact"/>
        <w:jc w:val="left"/>
      </w:pPr>
      <w:r>
        <w:t>长期导向：选择真正以客户长期财务利益为重的顾问，而非追求短期手续费收入者</w:t>
      </w:r>
    </w:p>
    <w:p>
      <w:pPr>
        <w:spacing w:lineRule="exact"/>
        <w:jc w:val="left"/>
      </w:pPr>
      <w:r>
        <w:t>利益一致：确保顾问的利益激励机制与客户利益方向一致</w:t>
      </w:r>
    </w:p>
    <w:p>
      <w:pPr>
        <w:spacing w:lineRule="exact"/>
        <w:jc w:val="left"/>
      </w:pPr>
      <w:r>
        <w:t>第五部分：琐碎但重要——并购、投票权与选举</w:t>
      </w:r>
    </w:p>
    <w:p>
      <w:pPr>
        <w:spacing w:lineRule="exact"/>
        <w:jc w:val="left"/>
      </w:pPr>
      <w:r>
        <w:t>1. 并购：双刃剑</w:t>
      </w:r>
    </w:p>
    <w:p>
      <w:pPr>
        <w:spacing w:lineRule="exact"/>
        <w:jc w:val="left"/>
      </w:pPr>
      <w:r>
        <w:t>费雪将并购比作橄榄球中的前传："如果执行得好，会让企业以远超平均的速度前进；但它本身就含有巨大的内在风险，可能导致盈利不升反降。"</w:t>
      </w:r>
    </w:p>
    <w:p>
      <w:pPr>
        <w:spacing w:lineRule="exact"/>
        <w:jc w:val="left"/>
      </w:pPr>
      <w:r>
        <w:t>并购的潜在收益：</w:t>
      </w:r>
    </w:p>
    <w:p>
      <w:pPr>
        <w:numPr>
          <w:numId w:val="29"/>
        </w:numPr>
      </w:pPr>
      <w:r>
        <w:t>快速扩大销售额与市场份额</w:t>
      </w:r>
    </w:p>
    <w:p>
      <w:pPr>
        <w:numPr>
          <w:numId w:val="30"/>
        </w:numPr>
      </w:pPr>
      <w:r>
        <w:t>通过规模经济降低成本</w:t>
      </w:r>
    </w:p>
    <w:p>
      <w:pPr>
        <w:numPr>
          <w:numId w:val="31"/>
        </w:numPr>
      </w:pPr>
      <w:r>
        <w:t>获取新技术或进入新市场</w:t>
      </w:r>
    </w:p>
    <w:p>
      <w:pPr>
        <w:spacing w:lineRule="exact"/>
        <w:jc w:val="left"/>
      </w:pPr>
      <w:r>
        <w:t>并购的固有风险：</w:t>
      </w:r>
    </w:p>
    <w:p>
      <w:pPr>
        <w:numPr>
          <w:numId w:val="32"/>
        </w:numPr>
      </w:pPr>
      <w:r>
        <w:t>文化冲突与人员摩擦</w:t>
      </w:r>
    </w:p>
    <w:p>
      <w:pPr>
        <w:numPr>
          <w:numId w:val="33"/>
        </w:numPr>
      </w:pPr>
      <w:r>
        <w:t>被收购公司存在未被发现的隐患或负债</w:t>
      </w:r>
    </w:p>
    <w:p>
      <w:pPr>
        <w:numPr>
          <w:numId w:val="34"/>
        </w:numPr>
      </w:pPr>
      <w:r>
        <w:t>管理层被分散精力，偏离核心业务</w:t>
      </w:r>
    </w:p>
    <w:p>
      <w:pPr>
        <w:spacing w:lineRule="exact"/>
        <w:jc w:val="left"/>
      </w:pPr>
      <w:r>
        <w:t>费雪的并购评估准则：</w:t>
      </w:r>
    </w:p>
    <w:p>
      <w:pPr>
        <w:numPr>
          <w:numId w:val="35"/>
        </w:numPr>
      </w:pPr>
      <w:r>
        <w:t>优先考虑产业链纵向整合（向上游或下游延伸）的并购</w:t>
      </w:r>
    </w:p>
    <w:p>
      <w:pPr>
        <w:numPr>
          <w:numId w:val="36"/>
        </w:numPr>
      </w:pPr>
      <w:r>
        <w:t>警惕跨行业差异过大的并购</w:t>
      </w:r>
    </w:p>
    <w:p>
      <w:pPr>
        <w:numPr>
          <w:numId w:val="37"/>
        </w:numPr>
      </w:pPr>
      <w:r>
        <w:t>最佳并购往往是规模较小的收购——风险有限，但能引入重要产品或杰出人才</w:t>
      </w:r>
    </w:p>
    <w:p>
      <w:pPr>
        <w:numPr>
          <w:numId w:val="38"/>
        </w:numPr>
      </w:pPr>
      <w:r>
        <w:t>回避那些不断通过并购追求增长的公司——这往往说明内部有机增长乏力</w:t>
      </w:r>
    </w:p>
    <w:p>
      <w:pPr>
        <w:numPr>
          <w:numId w:val="39"/>
        </w:numPr>
      </w:pPr>
      <w:r>
        <w:t>警惕"为多元化而多元化"的并购，这通常是价值破坏而非价值创造</w:t>
      </w:r>
    </w:p>
    <w:p>
      <w:pPr>
        <w:spacing w:lineRule="exact"/>
        <w:jc w:val="left"/>
      </w:pPr>
      <w:r>
        <w:t>2. 投票权与代理权之争</w:t>
      </w:r>
    </w:p>
    <w:p>
      <w:pPr>
        <w:spacing w:lineRule="exact"/>
        <w:jc w:val="left"/>
      </w:pPr>
      <w:r>
        <w:t>费雪专门讨论了股东投票权这一被大多数投资者忽视的领域。</w:t>
      </w:r>
    </w:p>
    <w:p>
      <w:pPr>
        <w:spacing w:lineRule="exact"/>
        <w:jc w:val="left"/>
      </w:pPr>
      <w:r>
        <w:t>关键建议： 除非管理层的提案涉及根本性的重大利益冲突，否则不要轻易投票反对管理层的日常建议。</w:t>
      </w:r>
    </w:p>
    <w:p>
      <w:pPr>
        <w:spacing w:lineRule="exact"/>
        <w:jc w:val="left"/>
      </w:pPr>
      <w:r>
        <w:t>原因： 与管理层建立良好关系，有助于投资者持续获取公司信息；无谓的对抗不仅于事无补，还可能关闭信息渠道，得不偿失。</w:t>
      </w:r>
    </w:p>
    <w:p>
      <w:pPr>
        <w:spacing w:lineRule="exact"/>
        <w:jc w:val="left"/>
      </w:pPr>
      <w:r>
        <w:t>3. 股票与政治选举前景</w:t>
      </w:r>
    </w:p>
    <w:p>
      <w:pPr>
        <w:spacing w:lineRule="exact"/>
        <w:jc w:val="left"/>
      </w:pPr>
      <w:r>
        <w:t>费雪在此提出了他对政治周期与股票市场关系的看法。他认为：</w:t>
      </w:r>
    </w:p>
    <w:p>
      <w:pPr>
        <w:numPr>
          <w:numId w:val="40"/>
        </w:numPr>
      </w:pPr>
      <w:r>
        <w:t>市场短期情绪会随政治选举结果产生波动</w:t>
      </w:r>
    </w:p>
    <w:p>
      <w:pPr>
        <w:numPr>
          <w:numId w:val="41"/>
        </w:numPr>
      </w:pPr>
      <w:r>
        <w:t>但长期来看，公司基本面的质量远比政治环境更为重要</w:t>
      </w:r>
    </w:p>
    <w:p>
      <w:pPr>
        <w:numPr>
          <w:numId w:val="42"/>
        </w:numPr>
      </w:pPr>
      <w:r>
        <w:t>聪明的投资者不应让短期政治不确定性影响对优质企业的长期持有决策</w:t>
      </w:r>
    </w:p>
    <w:p>
      <w:pPr>
        <w:spacing w:lineRule="exact"/>
        <w:jc w:val="left"/>
      </w:pPr>
      <w:r>
        <w:t>第六部分：1960年代的主要成长行业</w:t>
      </w:r>
    </w:p>
    <w:p>
      <w:pPr>
        <w:spacing w:lineRule="exact"/>
        <w:jc w:val="left"/>
      </w:pPr>
      <w:r>
        <w:t>这是本书实操性最强的部分，费雪逐一分析了他认为最具成长潜力的行业。尽管写于60年代，其分析框架与选股逻辑至今仍有极强的参考价值。</w:t>
      </w:r>
    </w:p>
    <w:p>
      <w:pPr>
        <w:spacing w:lineRule="exact"/>
        <w:jc w:val="left"/>
      </w:pPr>
      <w:r>
        <w:t>1. 化工行业</w:t>
      </w:r>
    </w:p>
    <w:p>
      <w:pPr>
        <w:spacing w:lineRule="exact"/>
        <w:jc w:val="left"/>
      </w:pPr>
      <w:r>
        <w:t>行业特征：</w:t>
      </w:r>
    </w:p>
    <w:p>
      <w:pPr>
        <w:numPr>
          <w:numId w:val="43"/>
        </w:numPr>
      </w:pPr>
      <w:r>
        <w:t>增长速度是整体经济的2.5到3倍</w:t>
      </w:r>
    </w:p>
    <w:p>
      <w:pPr>
        <w:numPr>
          <w:numId w:val="44"/>
        </w:numPr>
      </w:pPr>
      <w:r>
        <w:t>高资本需求形成进入壁垒</w:t>
      </w:r>
    </w:p>
    <w:p>
      <w:pPr>
        <w:numPr>
          <w:numId w:val="45"/>
        </w:numPr>
      </w:pPr>
      <w:r>
        <w:t>复杂的生产工艺保护了领先企业的竞争地位</w:t>
      </w:r>
    </w:p>
    <w:p>
      <w:pPr>
        <w:spacing w:lineRule="exact"/>
        <w:jc w:val="left"/>
      </w:pPr>
      <w:r>
        <w:t>投资吸引力：</w:t>
      </w:r>
    </w:p>
    <w:p>
      <w:pPr>
        <w:numPr>
          <w:numId w:val="46"/>
        </w:numPr>
      </w:pPr>
      <w:r>
        <w:t>龙头企业相对容易识别</w:t>
      </w:r>
    </w:p>
    <w:p>
      <w:pPr>
        <w:numPr>
          <w:numId w:val="47"/>
        </w:numPr>
      </w:pPr>
      <w:r>
        <w:t>受到突发性竞争冲击的风险相对较低</w:t>
      </w:r>
    </w:p>
    <w:p>
      <w:pPr>
        <w:numPr>
          <w:numId w:val="48"/>
        </w:numPr>
      </w:pPr>
      <w:r>
        <w:t>能够提供稳定的长期资本增值</w:t>
      </w:r>
    </w:p>
    <w:p>
      <w:pPr>
        <w:spacing w:lineRule="exact"/>
        <w:jc w:val="left"/>
      </w:pPr>
      <w:r>
        <w:t>策略建议： 聚焦具有强大研究能力的多元化化工公司，在经济下行期择机买入；对专业化学品公司保持谨慎，因其波动性更大。</w:t>
      </w:r>
    </w:p>
    <w:p>
      <w:pPr>
        <w:spacing w:lineRule="exact"/>
        <w:jc w:val="left"/>
      </w:pPr>
      <w:r>
        <w:t>2. 电子行业</w:t>
      </w:r>
    </w:p>
    <w:p>
      <w:pPr>
        <w:spacing w:lineRule="exact"/>
        <w:jc w:val="left"/>
      </w:pPr>
      <w:r>
        <w:t>"这是一个能够年复一年保持其他领域难以置信增长速度的领域。最好的电子公司每年能增长25%至45%。"</w:t>
      </w:r>
    </w:p>
    <w:p>
      <w:pPr>
        <w:spacing w:lineRule="exact"/>
        <w:jc w:val="left"/>
      </w:pPr>
      <w:r>
        <w:t>行业动态：</w:t>
      </w:r>
    </w:p>
    <w:p>
      <w:pPr>
        <w:numPr>
          <w:numId w:val="49"/>
        </w:numPr>
      </w:pPr>
      <w:r>
        <w:t>技术进步极为迅速</w:t>
      </w:r>
    </w:p>
    <w:p>
      <w:pPr>
        <w:numPr>
          <w:numId w:val="50"/>
        </w:numPr>
      </w:pPr>
      <w:r>
        <w:t>相比化工行业，资本需求相对较低</w:t>
      </w:r>
    </w:p>
    <w:p>
      <w:pPr>
        <w:numPr>
          <w:numId w:val="51"/>
        </w:numPr>
      </w:pPr>
      <w:r>
        <w:t>相当部分业务来自政府国防合同</w:t>
      </w:r>
    </w:p>
    <w:p>
      <w:pPr>
        <w:spacing w:lineRule="exact"/>
        <w:jc w:val="left"/>
      </w:pPr>
      <w:r>
        <w:t>成功的关键因素：</w:t>
      </w:r>
    </w:p>
    <w:p>
      <w:pPr>
        <w:numPr>
          <w:numId w:val="52"/>
        </w:numPr>
      </w:pPr>
      <w:r>
        <w:t>强大的研发能力，持续保持技术领先</w:t>
      </w:r>
    </w:p>
    <w:p>
      <w:pPr>
        <w:numPr>
          <w:numId w:val="53"/>
        </w:numPr>
      </w:pPr>
      <w:r>
        <w:t>研究、生产、销售三者的高效协同</w:t>
      </w:r>
    </w:p>
    <w:p>
      <w:pPr>
        <w:numPr>
          <w:numId w:val="54"/>
        </w:numPr>
      </w:pPr>
      <w:r>
        <w:t>国防业务与民用业务的合理平衡</w:t>
      </w:r>
    </w:p>
    <w:p>
      <w:pPr>
        <w:spacing w:lineRule="exact"/>
        <w:jc w:val="left"/>
      </w:pPr>
      <w:r>
        <w:t>投资考量：</w:t>
      </w:r>
    </w:p>
    <w:p>
      <w:pPr>
        <w:numPr>
          <w:numId w:val="55"/>
        </w:numPr>
      </w:pPr>
      <w:r>
        <w:t>成长潜力高于化工股，但风险也更高</w:t>
      </w:r>
    </w:p>
    <w:p>
      <w:pPr>
        <w:numPr>
          <w:numId w:val="56"/>
        </w:numPr>
      </w:pPr>
      <w:r>
        <w:t>优先选择民用市场销售和营销能力强的企业，因为纯依赖政府合同的企业存在政策依赖风险</w:t>
      </w:r>
    </w:p>
    <w:p>
      <w:pPr>
        <w:spacing w:lineRule="exact"/>
        <w:jc w:val="left"/>
      </w:pPr>
      <w:r>
        <w:t>3. 制药行业</w:t>
      </w:r>
    </w:p>
    <w:p>
      <w:pPr>
        <w:spacing w:lineRule="exact"/>
        <w:jc w:val="left"/>
      </w:pPr>
      <w:r>
        <w:t>"这是一个在现代意义上真正因二战期间抗生素的发展及其后的重大突破而走向成熟的行业。"</w:t>
      </w:r>
    </w:p>
    <w:p>
      <w:pPr>
        <w:spacing w:lineRule="exact"/>
        <w:jc w:val="left"/>
      </w:pPr>
      <w:r>
        <w:t>行业特征：</w:t>
      </w:r>
    </w:p>
    <w:p>
      <w:pPr>
        <w:numPr>
          <w:numId w:val="57"/>
        </w:numPr>
      </w:pPr>
      <w:r>
        <w:t>持续的医学进步驱动高速增长</w:t>
      </w:r>
    </w:p>
    <w:p>
      <w:pPr>
        <w:numPr>
          <w:numId w:val="58"/>
        </w:numPr>
      </w:pPr>
      <w:r>
        <w:t>高额研发投入是常态</w:t>
      </w:r>
    </w:p>
    <w:p>
      <w:pPr>
        <w:numPr>
          <w:numId w:val="59"/>
        </w:numPr>
      </w:pPr>
      <w:r>
        <w:t>新药上市需要监管审批，存在不确定性</w:t>
      </w:r>
    </w:p>
    <w:p>
      <w:pPr>
        <w:spacing w:lineRule="exact"/>
        <w:jc w:val="left"/>
      </w:pPr>
      <w:r>
        <w:t>市场动态：</w:t>
      </w:r>
    </w:p>
    <w:p>
      <w:pPr>
        <w:numPr>
          <w:numId w:val="60"/>
        </w:numPr>
      </w:pPr>
      <w:r>
        <w:t>新药上市并不会立即占领整个市场，旧药往往保留一定市场份额</w:t>
      </w:r>
    </w:p>
    <w:p>
      <w:pPr>
        <w:numPr>
          <w:numId w:val="61"/>
        </w:numPr>
      </w:pPr>
      <w:r>
        <w:t>"医药代表"体系在医生决策中扮演重要角色</w:t>
      </w:r>
    </w:p>
    <w:p>
      <w:pPr>
        <w:spacing w:lineRule="exact"/>
        <w:jc w:val="left"/>
      </w:pPr>
      <w:r>
        <w:t>投资策略： 聚焦拥有强大研发和营销能力的大型多元化制药公司；在行业遭遇政策压力或舆论不利时，往往是买入良机；密切关注政府监管对利润率的潜在影响。</w:t>
      </w:r>
    </w:p>
    <w:p>
      <w:pPr>
        <w:spacing w:lineRule="exact"/>
        <w:jc w:val="left"/>
      </w:pPr>
      <w:r>
        <w:t>4. 机械行业</w:t>
      </w:r>
    </w:p>
    <w:p>
      <w:pPr>
        <w:spacing w:lineRule="exact"/>
        <w:jc w:val="left"/>
      </w:pPr>
      <w:r>
        <w:t>行业吸引力：</w:t>
      </w:r>
    </w:p>
    <w:p>
      <w:pPr>
        <w:numPr>
          <w:numId w:val="62"/>
        </w:numPr>
      </w:pPr>
      <w:r>
        <w:t>工资上涨驱动对省力设备的持续需求</w:t>
      </w:r>
    </w:p>
    <w:p>
      <w:pPr>
        <w:numPr>
          <w:numId w:val="63"/>
        </w:numPr>
      </w:pPr>
      <w:r>
        <w:t>工业机械和办公设备两大细分市场均有机会</w:t>
      </w:r>
    </w:p>
    <w:p>
      <w:pPr>
        <w:spacing w:lineRule="exact"/>
        <w:jc w:val="left"/>
      </w:pPr>
      <w:r>
        <w:t>成功关键： 不断改进产品以促进更新换代销售；能够适应客户需求与技术进步的快速变化。</w:t>
      </w:r>
    </w:p>
    <w:p>
      <w:pPr>
        <w:spacing w:lineRule="exact"/>
        <w:jc w:val="left"/>
      </w:pPr>
      <w:r>
        <w:t>投资考量： 优先选择产品创新记录良好的公司；关注企业有无成功推出新产品的历史；同时考虑经济周期对机械需求的影响。</w:t>
      </w:r>
    </w:p>
    <w:p>
      <w:pPr>
        <w:spacing w:lineRule="exact"/>
        <w:jc w:val="left"/>
      </w:pPr>
      <w:r>
        <w:t>5. 其他行业与伪成长行业</w:t>
      </w:r>
    </w:p>
    <w:p>
      <w:pPr>
        <w:spacing w:lineRule="exact"/>
        <w:jc w:val="left"/>
      </w:pPr>
      <w:r>
        <w:t>费雪专门辟出一节讨论**"战后虚假成长行业"**的现象——那些在繁荣时期看似高速成长，但实质上只是周期性扩张而非真正结构性成长的行业。</w:t>
      </w:r>
    </w:p>
    <w:p>
      <w:pPr>
        <w:spacing w:lineRule="exact"/>
        <w:jc w:val="left"/>
      </w:pPr>
      <w:r>
        <w:t>辨别真假成长行业的标准：</w:t>
      </w:r>
    </w:p>
    <w:p>
      <w:pPr>
        <w:numPr>
          <w:numId w:val="64"/>
        </w:numPr>
      </w:pPr>
      <w:r>
        <w:t>真正的成长行业在经济下行期依然能维持相对较好的表现</w:t>
      </w:r>
    </w:p>
    <w:p>
      <w:pPr>
        <w:numPr>
          <w:numId w:val="65"/>
        </w:numPr>
      </w:pPr>
      <w:r>
        <w:t>依赖于非可持续需求（如战后重建）的行业，其繁荣只是暂时的</w:t>
      </w:r>
    </w:p>
    <w:p>
      <w:pPr>
        <w:numPr>
          <w:numId w:val="66"/>
        </w:numPr>
      </w:pPr>
      <w:r>
        <w:t>关键在于判断增长是内生性、可持续的，还是外生性、周期性的</w:t>
      </w:r>
    </w:p>
    <w:p>
      <w:pPr>
        <w:spacing w:lineRule="exact"/>
        <w:jc w:val="left"/>
      </w:pPr>
      <w:r>
        <w:t>6. 石油行业的特殊地位</w:t>
      </w:r>
    </w:p>
    <w:p>
      <w:pPr>
        <w:spacing w:lineRule="exact"/>
        <w:jc w:val="left"/>
      </w:pPr>
      <w:r>
        <w:t>费雪对石油行业持审慎态度。他认为石油行业受到地缘政治、政府监管和资源枯竭等复杂因素影响，并不适合所有投资者。只有深刻理解行业特性的投资者，才应参与其中。</w:t>
      </w:r>
    </w:p>
    <w:p>
      <w:pPr>
        <w:spacing w:lineRule="exact"/>
        <w:jc w:val="left"/>
      </w:pPr>
      <w:r>
        <w:t>四、费雪投资哲学的综合提炼</w:t>
      </w:r>
    </w:p>
    <w:p>
      <w:pPr>
        <w:spacing w:lineRule="exact"/>
        <w:jc w:val="left"/>
      </w:pPr>
      <w:r>
        <w:t>核心价值观</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2500"/>
          </w:tcPr>
          <w:p>
            <w:r>
              <w:t>维度</w:t>
            </w:r>
          </w:p>
        </w:tc>
        <w:tc>
          <w:tcPr>
            <w:tcW w:type="pct" w:w="2500"/>
          </w:tcPr>
          <w:p>
            <w:r>
              <w:t>费雪的立场</w:t>
            </w:r>
          </w:p>
        </w:tc>
      </w:tr>
      <w:tr>
        <w:tc>
          <w:tcPr>
            <w:tcW w:type="pct" w:w="2500"/>
          </w:tcPr>
          <w:p>
            <w:r>
              <w:t>选股标准</w:t>
            </w:r>
          </w:p>
        </w:tc>
        <w:tc>
          <w:tcPr>
            <w:tcW w:type="pct" w:w="2500"/>
          </w:tcPr>
          <w:p>
            <w:r>
              <w:t>管理质量 &gt; 财务数字</w:t>
            </w:r>
          </w:p>
        </w:tc>
      </w:tr>
      <w:tr>
        <w:tc>
          <w:tcPr>
            <w:tcW w:type="pct" w:w="2500"/>
          </w:tcPr>
          <w:p>
            <w:r>
              <w:t>持有周期</w:t>
            </w:r>
          </w:p>
        </w:tc>
        <w:tc>
          <w:tcPr>
            <w:tcW w:type="pct" w:w="2500"/>
          </w:tcPr>
          <w:p>
            <w:r>
              <w:t>长期持有（数年乃至数十年）</w:t>
            </w:r>
          </w:p>
        </w:tc>
      </w:tr>
      <w:tr>
        <w:tc>
          <w:tcPr>
            <w:tcW w:type="pct" w:w="2500"/>
          </w:tcPr>
          <w:p>
            <w:r>
              <w:t>市盈率</w:t>
            </w:r>
          </w:p>
        </w:tc>
        <w:tc>
          <w:tcPr>
            <w:tcW w:type="pct" w:w="2500"/>
          </w:tcPr>
          <w:p>
            <w:r>
              <w:t>本身无法判断贵贱，需结合增长潜力</w:t>
            </w:r>
          </w:p>
        </w:tc>
      </w:tr>
      <w:tr>
        <w:tc>
          <w:tcPr>
            <w:tcW w:type="pct" w:w="2500"/>
          </w:tcPr>
          <w:p>
            <w:r>
              <w:t>信息来源</w:t>
            </w:r>
          </w:p>
        </w:tc>
        <w:tc>
          <w:tcPr>
            <w:tcW w:type="pct" w:w="2500"/>
          </w:tcPr>
          <w:p>
            <w:r>
              <w:t>多元化定性调研（"闲话法"）</w:t>
            </w:r>
          </w:p>
        </w:tc>
      </w:tr>
      <w:tr>
        <w:tc>
          <w:tcPr>
            <w:tcW w:type="pct" w:w="2500"/>
          </w:tcPr>
          <w:p>
            <w:r>
              <w:t>并购态度</w:t>
            </w:r>
          </w:p>
        </w:tc>
        <w:tc>
          <w:tcPr>
            <w:tcW w:type="pct" w:w="2500"/>
          </w:tcPr>
          <w:p>
            <w:r>
              <w:t>谨慎，优先小型战略性收购</w:t>
            </w:r>
          </w:p>
        </w:tc>
      </w:tr>
      <w:tr>
        <w:tc>
          <w:tcPr>
            <w:tcW w:type="pct" w:w="2500"/>
          </w:tcPr>
          <w:p>
            <w:r>
              <w:t>机构资金</w:t>
            </w:r>
          </w:p>
        </w:tc>
        <w:tc>
          <w:tcPr>
            <w:tcW w:type="pct" w:w="2500"/>
          </w:tcPr>
          <w:p>
            <w:r>
              <w:t>顺势而为，寻找机构认可前夕的企业</w:t>
            </w:r>
          </w:p>
        </w:tc>
      </w:tr>
      <w:tr>
        <w:tc>
          <w:tcPr>
            <w:tcW w:type="pct" w:w="2500"/>
          </w:tcPr>
          <w:p>
            <w:r>
              <w:t>通货膨胀</w:t>
            </w:r>
          </w:p>
        </w:tc>
        <w:tc>
          <w:tcPr>
            <w:tcW w:type="pct" w:w="2500"/>
          </w:tcPr>
          <w:p>
            <w:r>
              <w:t>不可逃避，需通过持有优质企业对抗</w:t>
            </w:r>
          </w:p>
        </w:tc>
      </w:tr>
    </w:tbl>
    <w:p>
      <w:pPr>
        <w:spacing w:lineRule="exact"/>
        <w:jc w:val="left"/>
      </w:pPr>
      <w:r>
        <w:t>费雪与格雷厄姆的对比</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1667"/>
          </w:tcPr>
          <w:p>
            <w:r>
              <w:t>特征</w:t>
            </w:r>
          </w:p>
        </w:tc>
        <w:tc>
          <w:tcPr>
            <w:tcW w:type="pct" w:w="1667"/>
          </w:tcPr>
          <w:p>
            <w:r>
              <w:t>菲利普·费雪</w:t>
            </w:r>
          </w:p>
        </w:tc>
        <w:tc>
          <w:tcPr>
            <w:tcW w:type="pct" w:w="1667"/>
          </w:tcPr>
          <w:p>
            <w:r>
              <w:t>本杰明·格雷厄姆</w:t>
            </w:r>
          </w:p>
        </w:tc>
      </w:tr>
      <w:tr>
        <w:tc>
          <w:tcPr>
            <w:tcW w:type="pct" w:w="1667"/>
          </w:tcPr>
          <w:p>
            <w:r>
              <w:t>核心方法</w:t>
            </w:r>
          </w:p>
        </w:tc>
        <w:tc>
          <w:tcPr>
            <w:tcW w:type="pct" w:w="1667"/>
          </w:tcPr>
          <w:p>
            <w:r>
              <w:t>定性分析为主</w:t>
            </w:r>
          </w:p>
        </w:tc>
        <w:tc>
          <w:tcPr>
            <w:tcW w:type="pct" w:w="1667"/>
          </w:tcPr>
          <w:p>
            <w:r>
              <w:t>定量分析为主</w:t>
            </w:r>
          </w:p>
        </w:tc>
      </w:tr>
      <w:tr>
        <w:tc>
          <w:tcPr>
            <w:tcW w:type="pct" w:w="1667"/>
          </w:tcPr>
          <w:p>
            <w:r>
              <w:t>关注重点</w:t>
            </w:r>
          </w:p>
        </w:tc>
        <w:tc>
          <w:tcPr>
            <w:tcW w:type="pct" w:w="1667"/>
          </w:tcPr>
          <w:p>
            <w:r>
              <w:t>成长潜力、管理质量</w:t>
            </w:r>
          </w:p>
        </w:tc>
        <w:tc>
          <w:tcPr>
            <w:tcW w:type="pct" w:w="1667"/>
          </w:tcPr>
          <w:p>
            <w:r>
              <w:t>安全边际、资产价值</w:t>
            </w:r>
          </w:p>
        </w:tc>
      </w:tr>
      <w:tr>
        <w:tc>
          <w:tcPr>
            <w:tcW w:type="pct" w:w="1667"/>
          </w:tcPr>
          <w:p>
            <w:r>
              <w:t>买入时机</w:t>
            </w:r>
          </w:p>
        </w:tc>
        <w:tc>
          <w:tcPr>
            <w:tcW w:type="pct" w:w="1667"/>
          </w:tcPr>
          <w:p>
            <w:r>
              <w:t>优质企业任何合理价位</w:t>
            </w:r>
          </w:p>
        </w:tc>
        <w:tc>
          <w:tcPr>
            <w:tcW w:type="pct" w:w="1667"/>
          </w:tcPr>
          <w:p>
            <w:r>
              <w:t>严格低于内在价值时</w:t>
            </w:r>
          </w:p>
        </w:tc>
      </w:tr>
      <w:tr>
        <w:tc>
          <w:tcPr>
            <w:tcW w:type="pct" w:w="1667"/>
          </w:tcPr>
          <w:p>
            <w:r>
              <w:t>持有策略</w:t>
            </w:r>
          </w:p>
        </w:tc>
        <w:tc>
          <w:tcPr>
            <w:tcW w:type="pct" w:w="1667"/>
          </w:tcPr>
          <w:p>
            <w:r>
              <w:t>长期集中持有</w:t>
            </w:r>
          </w:p>
        </w:tc>
        <w:tc>
          <w:tcPr>
            <w:tcW w:type="pct" w:w="1667"/>
          </w:tcPr>
          <w:p>
            <w:r>
              <w:t>达到合理价格后卖出</w:t>
            </w:r>
          </w:p>
        </w:tc>
      </w:tr>
      <w:tr>
        <w:tc>
          <w:tcPr>
            <w:tcW w:type="pct" w:w="1667"/>
          </w:tcPr>
          <w:p>
            <w:r>
              <w:t>信息渠道</w:t>
            </w:r>
          </w:p>
        </w:tc>
        <w:tc>
          <w:tcPr>
            <w:tcW w:type="pct" w:w="1667"/>
          </w:tcPr>
          <w:p>
            <w:r>
              <w:t>深度行业调研</w:t>
            </w:r>
          </w:p>
        </w:tc>
        <w:tc>
          <w:tcPr>
            <w:tcW w:type="pct" w:w="1667"/>
          </w:tcPr>
          <w:p>
            <w:r>
              <w:t>财务报表分析</w:t>
            </w:r>
          </w:p>
        </w:tc>
      </w:tr>
    </w:tbl>
    <w:p>
      <w:pPr>
        <w:spacing w:lineRule="exact"/>
        <w:jc w:val="left"/>
      </w:pPr>
      <w:r>
        <w:t>五、经典语录</w:t>
      </w:r>
    </w:p>
    <w:p>
      <w:pPr>
        <w:spacing w:lineRule="exact"/>
        <w:jc w:val="left"/>
      </w:pPr>
      <w:r>
        <w:t>"股票市场正常波动所带来的一次下跌，可以提供足以抵御数年通胀的反弹收益。"</w:t>
      </w:r>
    </w:p>
    <w:p>
      <w:pPr>
        <w:spacing w:lineRule="exact"/>
        <w:jc w:val="left"/>
      </w:pPr>
      <w:r>
        <w:t>"推动股价上涨的是两件相互关联的事情：公司盈利能力的提升，以及投资者群体对该盈利能力未来走向的共识。"</w:t>
      </w:r>
    </w:p>
    <w:p>
      <w:pPr>
        <w:spacing w:lineRule="exact"/>
        <w:jc w:val="left"/>
      </w:pPr>
      <w:r>
        <w:t>"无论一只股票市盈率高低，本身与该股票内在是否便宜或高估完全没有关系。"</w:t>
      </w:r>
    </w:p>
    <w:p>
      <w:pPr>
        <w:spacing w:lineRule="exact"/>
        <w:jc w:val="left"/>
      </w:pPr>
      <w:r>
        <w:t>"管理层是评估一只普通股时，占比高达90%的核心要素。"</w:t>
      </w:r>
    </w:p>
    <w:p>
      <w:pPr>
        <w:spacing w:lineRule="exact"/>
        <w:jc w:val="left"/>
      </w:pPr>
      <w:r>
        <w:t>"销售额持续且重要的上升趋势，往往是投资吸引力异常突出的第一个信号。"</w:t>
      </w:r>
    </w:p>
    <w:p>
      <w:pPr>
        <w:spacing w:lineRule="exact"/>
        <w:jc w:val="left"/>
      </w:pPr>
      <w:r>
        <w:t>"并购与前传完全一样——成功则令企业大幅加速，但其本质就带有相当大的固有风险。"</w:t>
      </w:r>
    </w:p>
    <w:p>
      <w:pPr>
        <w:spacing w:lineRule="exact"/>
        <w:jc w:val="left"/>
      </w:pPr>
      <w:r>
        <w:t>"在家庭中，富有的成员往往是其他人所嫉妒和不喜欢的。"（隐喻：真正的财富往往需要走一条与众不同的路）</w:t>
      </w:r>
    </w:p>
    <w:p>
      <w:pPr>
        <w:spacing w:lineRule="exact"/>
        <w:jc w:val="left"/>
      </w:pPr>
      <w:r>
        <w:t>六、本书的历史意义与现实价值</w:t>
      </w:r>
    </w:p>
    <w:p>
      <w:pPr>
        <w:spacing w:lineRule="exact"/>
        <w:jc w:val="left"/>
      </w:pPr>
      <w:r>
        <w:t>历史地位</w:t>
      </w:r>
    </w:p>
    <w:p>
      <w:pPr>
        <w:spacing w:lineRule="exact"/>
        <w:jc w:val="left"/>
      </w:pPr>
      <w:r>
        <w:t>《普通股的致富道路》与《怎样选择成长股》共同构成了成长型价值投资这一流派的理论基石。费雪的思想深刻影响了：</w:t>
      </w:r>
    </w:p>
    <w:p>
      <w:pPr>
        <w:numPr>
          <w:numId w:val="67"/>
        </w:numPr>
      </w:pPr>
      <w:r>
        <w:t>沃伦·巴菲特：从格雷厄姆式"烟蒂股"转向费雪式"优质企业"的关键推手</w:t>
      </w:r>
    </w:p>
    <w:p>
      <w:pPr>
        <w:numPr>
          <w:numId w:val="68"/>
        </w:numPr>
      </w:pPr>
      <w:r>
        <w:t>彼得·林奇：对成长行业的深度研究方法</w:t>
      </w:r>
    </w:p>
    <w:p>
      <w:pPr>
        <w:numPr>
          <w:numId w:val="69"/>
        </w:numPr>
      </w:pPr>
      <w:r>
        <w:t>查理·芒格：对管理质量与企业文化的高度重视</w:t>
      </w:r>
    </w:p>
    <w:p>
      <w:pPr>
        <w:spacing w:lineRule="exact"/>
        <w:jc w:val="left"/>
      </w:pPr>
      <w:r>
        <w:t>现代适用性</w:t>
      </w:r>
    </w:p>
    <w:p>
      <w:pPr>
        <w:spacing w:lineRule="exact"/>
        <w:jc w:val="left"/>
      </w:pPr>
      <w:r>
        <w:t>尽管本书写于1960年代，许多章节所描述的具体行业背景已经发生根本变化，但其核心分析框架至今仍高度有效：</w:t>
      </w:r>
    </w:p>
    <w:p>
      <w:pPr>
        <w:numPr>
          <w:numId w:val="70"/>
        </w:numPr>
      </w:pPr>
      <w:r>
        <w:t>通胀永远是投资者必须面对的问题</w:t>
      </w:r>
    </w:p>
    <w:p>
      <w:pPr>
        <w:numPr>
          <w:numId w:val="71"/>
        </w:numPr>
      </w:pPr>
      <w:r>
        <w:t>机构资金流向仍然是重要的市场信号</w:t>
      </w:r>
    </w:p>
    <w:p>
      <w:pPr>
        <w:numPr>
          <w:numId w:val="72"/>
        </w:numPr>
      </w:pPr>
      <w:r>
        <w:t>管理质量依然是企业长期价值的最核心决定因素</w:t>
      </w:r>
    </w:p>
    <w:p>
      <w:pPr>
        <w:numPr>
          <w:numId w:val="73"/>
        </w:numPr>
      </w:pPr>
      <w:r>
        <w:t>并购的风险逻辑在今天同样适用</w:t>
      </w:r>
    </w:p>
    <w:p>
      <w:pPr>
        <w:numPr>
          <w:numId w:val="74"/>
        </w:numPr>
      </w:pPr>
      <w:r>
        <w:t>市场心理的力量从未减弱</w:t>
      </w:r>
    </w:p>
    <w:p>
      <w:pPr>
        <w:spacing w:lineRule="exact"/>
        <w:jc w:val="left"/>
      </w:pPr>
      <w:r>
        <w:t>读者评价</w:t>
      </w:r>
    </w:p>
    <w:p>
      <w:pPr>
        <w:spacing w:lineRule="exact"/>
        <w:jc w:val="left"/>
      </w:pPr>
      <w:r>
        <w:t>在Goodreads上，本书获得4.14分（满分5分），190人评分。读者普遍认为这是价值投资者的必读经典，尤其推崇其对管理质量评估、并购策略分析以及市场心理洞察的深刻论述。</w:t>
      </w:r>
    </w:p>
    <w:p>
      <w:pPr>
        <w:spacing w:lineRule="exact"/>
        <w:jc w:val="left"/>
      </w:pPr>
      <w:r>
        <w:t>七、推荐阅读路径</w:t>
      </w:r>
    </w:p>
    <w:p>
      <w:pPr>
        <w:spacing w:lineRule="exact"/>
        <w:jc w:val="left"/>
      </w:pPr>
      <w:r>
        <w:t>如果您希望系统学习菲利普·费雪的完整投资思想，建议按以下顺序阅读：</w:t>
      </w:r>
    </w:p>
    <w:p>
      <w:pPr>
        <w:spacing w:lineRule="exact"/>
        <w:jc w:val="left"/>
      </w:pPr>
      <w:r>
        <w:t>《怎样选择成长股》（Common Stocks and Uncommon Profits，1958）—— 费雪思想的起点，包含著名的"15个要点"</w:t>
      </w:r>
    </w:p>
    <w:p>
      <w:pPr>
        <w:spacing w:lineRule="exact"/>
        <w:jc w:val="left"/>
      </w:pPr>
      <w:r>
        <w:t>《普通股的致富道路》（Paths to Wealth Through Common Stocks，1960）—— 本书，宏观视野与实践整合</w:t>
      </w:r>
    </w:p>
    <w:p>
      <w:pPr>
        <w:spacing w:lineRule="exact"/>
        <w:jc w:val="left"/>
      </w:pPr>
      <w:r>
        <w:t>《保守的投资者夜夜安眠》（Conservative Investors Sleep Well，1975）—— 进一步阐述如何在保守原则下获取成长</w:t>
      </w:r>
    </w:p>
    <w:p>
      <w:pPr>
        <w:spacing w:lineRule="exact"/>
        <w:jc w:val="left"/>
      </w:pPr>
      <w:r>
        <w:t>《发展一套投资哲学》（Developing an Investment Philosophy，1980）—— 费雪投资生涯的哲学总结</w:t>
      </w:r>
    </w:p>
    <w:p>
      <w:pPr>
        <w:spacing w:lineRule="exact"/>
        <w:jc w:val="left"/>
      </w:pPr>
      <w:r>
        <w:t>本文档综合整理自本书原著内容及多方权威资料，力求全面、准确、系统地还原菲利普·费雪在《普通股的致富道路》中所表达的全部核心思想与观点。</w:t>
      </w:r>
    </w:p>
  </w:body>
</w:document>
</file>

<file path=word/numbering.xml><?xml version="1.0" encoding="utf-8"?>
<w:numbering xmlns:w="http://schemas.openxmlformats.org/wordprocessingml/2006/main">
  <w:abstractNum w:abstractNumId="1">
    <w:lvl>
      <w:numFmt w:val="bullet"/>
      <w:lvlText w:val="•"/>
    </w:lvl>
  </w:abstractNum>
  <w:abstractNum w:abstractNumId="2">
    <w:lvl>
      <w:numFmt w:val="bullet"/>
      <w:lvlText w:val="•"/>
    </w:lvl>
  </w:abstractNum>
  <w:abstractNum w:abstractNumId="3">
    <w:lvl>
      <w:numFmt w:val="bullet"/>
      <w:lvlText w:val="•"/>
    </w:lvl>
  </w:abstractNum>
  <w:abstractNum w:abstractNumId="4">
    <w:lvl>
      <w:numFmt w:val="bullet"/>
      <w:lvlText w:val="•"/>
    </w:lvl>
  </w:abstractNum>
  <w:abstractNum w:abstractNumId="5">
    <w:lvl>
      <w:numFmt w:val="bullet"/>
      <w:lvlText w:val="•"/>
    </w:lvl>
  </w:abstractNum>
  <w:abstractNum w:abstractNumId="6">
    <w:lvl>
      <w:numFmt w:val="bullet"/>
      <w:lvlText w:val="•"/>
    </w:lvl>
  </w:abstractNum>
  <w:abstractNum w:abstractNumId="7">
    <w:lvl>
      <w:numFmt w:val="bullet"/>
      <w:lvlText w:val="•"/>
    </w:lvl>
  </w:abstractNum>
  <w:abstractNum w:abstractNumId="8">
    <w:lvl>
      <w:numFmt w:val="bullet"/>
      <w:lvlText w:val="•"/>
    </w:lvl>
  </w:abstractNum>
  <w:abstractNum w:abstractNumId="9">
    <w:lvl>
      <w:numFmt w:val="bullet"/>
      <w:lvlText w:val="•"/>
    </w:lvl>
  </w:abstractNum>
  <w:abstractNum w:abstractNumId="10">
    <w:lvl>
      <w:numFmt w:val="bullet"/>
      <w:lvlText w:val="•"/>
    </w:lvl>
  </w:abstractNum>
  <w:abstractNum w:abstractNumId="11">
    <w:lvl>
      <w:numFmt w:val="bullet"/>
      <w:lvlText w:val="•"/>
    </w:lvl>
  </w:abstractNum>
  <w:abstractNum w:abstractNumId="12">
    <w:lvl>
      <w:numFmt w:val="bullet"/>
      <w:lvlText w:val="•"/>
    </w:lvl>
  </w:abstractNum>
  <w:abstractNum w:abstractNumId="13">
    <w:lvl>
      <w:numFmt w:val="bullet"/>
      <w:lvlText w:val="•"/>
    </w:lvl>
  </w:abstractNum>
  <w:abstractNum w:abstractNumId="14">
    <w:lvl>
      <w:numFmt w:val="bullet"/>
      <w:lvlText w:val="•"/>
    </w:lvl>
  </w:abstractNum>
  <w:abstractNum w:abstractNumId="15">
    <w:lvl>
      <w:numFmt w:val="bullet"/>
      <w:lvlText w:val="•"/>
    </w:lvl>
  </w:abstractNum>
  <w:abstractNum w:abstractNumId="16">
    <w:lvl>
      <w:numFmt w:val="bullet"/>
      <w:lvlText w:val="•"/>
    </w:lvl>
  </w:abstractNum>
  <w:abstractNum w:abstractNumId="17">
    <w:lvl>
      <w:numFmt w:val="bullet"/>
      <w:lvlText w:val="•"/>
    </w:lvl>
  </w:abstractNum>
  <w:abstractNum w:abstractNumId="18">
    <w:lvl>
      <w:numFmt w:val="bullet"/>
      <w:lvlText w:val="•"/>
    </w:lvl>
  </w:abstractNum>
  <w:abstractNum w:abstractNumId="19">
    <w:lvl>
      <w:numFmt w:val="bullet"/>
      <w:lvlText w:val="•"/>
    </w:lvl>
  </w:abstractNum>
  <w:abstractNum w:abstractNumId="20">
    <w:lvl>
      <w:numFmt w:val="bullet"/>
      <w:lvlText w:val="•"/>
    </w:lvl>
  </w:abstractNum>
  <w:abstractNum w:abstractNumId="21">
    <w:lvl>
      <w:numFmt w:val="bullet"/>
      <w:lvlText w:val="•"/>
    </w:lvl>
  </w:abstractNum>
  <w:abstractNum w:abstractNumId="22">
    <w:lvl>
      <w:numFmt w:val="bullet"/>
      <w:lvlText w:val="•"/>
    </w:lvl>
  </w:abstractNum>
  <w:abstractNum w:abstractNumId="23">
    <w:lvl>
      <w:numFmt w:val="bullet"/>
      <w:lvlText w:val="•"/>
    </w:lvl>
  </w:abstractNum>
  <w:abstractNum w:abstractNumId="24">
    <w:lvl>
      <w:numFmt w:val="bullet"/>
      <w:lvlText w:val="•"/>
    </w:lvl>
  </w:abstractNum>
  <w:abstractNum w:abstractNumId="25">
    <w:lvl>
      <w:numFmt w:val="bullet"/>
      <w:lvlText w:val="•"/>
    </w:lvl>
  </w:abstractNum>
  <w:abstractNum w:abstractNumId="26">
    <w:lvl>
      <w:numFmt w:val="bullet"/>
      <w:lvlText w:val="•"/>
    </w:lvl>
  </w:abstractNum>
  <w:abstractNum w:abstractNumId="27">
    <w:lvl>
      <w:numFmt w:val="bullet"/>
      <w:lvlText w:val="•"/>
    </w:lvl>
  </w:abstractNum>
  <w:abstractNum w:abstractNumId="28">
    <w:lvl>
      <w:numFmt w:val="bullet"/>
      <w:lvlText w:val="•"/>
    </w:lvl>
  </w:abstractNum>
  <w:abstractNum w:abstractNumId="29">
    <w:lvl>
      <w:numFmt w:val="bullet"/>
      <w:lvlText w:val="•"/>
    </w:lvl>
  </w:abstractNum>
  <w:abstractNum w:abstractNumId="30">
    <w:lvl>
      <w:numFmt w:val="bullet"/>
      <w:lvlText w:val="•"/>
    </w:lvl>
  </w:abstractNum>
  <w:abstractNum w:abstractNumId="31">
    <w:lvl>
      <w:numFmt w:val="bullet"/>
      <w:lvlText w:val="•"/>
    </w:lvl>
  </w:abstractNum>
  <w:abstractNum w:abstractNumId="32">
    <w:lvl>
      <w:numFmt w:val="bullet"/>
      <w:lvlText w:val="•"/>
    </w:lvl>
  </w:abstractNum>
  <w:abstractNum w:abstractNumId="33">
    <w:lvl>
      <w:numFmt w:val="bullet"/>
      <w:lvlText w:val="•"/>
    </w:lvl>
  </w:abstractNum>
  <w:abstractNum w:abstractNumId="34">
    <w:lvl>
      <w:numFmt w:val="bullet"/>
      <w:lvlText w:val="•"/>
    </w:lvl>
  </w:abstractNum>
  <w:abstractNum w:abstractNumId="35">
    <w:lvl>
      <w:numFmt w:val="bullet"/>
      <w:lvlText w:val="•"/>
    </w:lvl>
  </w:abstractNum>
  <w:abstractNum w:abstractNumId="36">
    <w:lvl>
      <w:numFmt w:val="bullet"/>
      <w:lvlText w:val="•"/>
    </w:lvl>
  </w:abstractNum>
  <w:abstractNum w:abstractNumId="37">
    <w:lvl>
      <w:numFmt w:val="bullet"/>
      <w:lvlText w:val="•"/>
    </w:lvl>
  </w:abstractNum>
  <w:abstractNum w:abstractNumId="38">
    <w:lvl>
      <w:numFmt w:val="bullet"/>
      <w:lvlText w:val="•"/>
    </w:lvl>
  </w:abstractNum>
  <w:abstractNum w:abstractNumId="39">
    <w:lvl>
      <w:numFmt w:val="bullet"/>
      <w:lvlText w:val="•"/>
    </w:lvl>
  </w:abstractNum>
  <w:abstractNum w:abstractNumId="40">
    <w:lvl>
      <w:numFmt w:val="bullet"/>
      <w:lvlText w:val="•"/>
    </w:lvl>
  </w:abstractNum>
  <w:abstractNum w:abstractNumId="41">
    <w:lvl>
      <w:numFmt w:val="bullet"/>
      <w:lvlText w:val="•"/>
    </w:lvl>
  </w:abstractNum>
  <w:abstractNum w:abstractNumId="42">
    <w:lvl>
      <w:numFmt w:val="bullet"/>
      <w:lvlText w:val="•"/>
    </w:lvl>
  </w:abstractNum>
  <w:abstractNum w:abstractNumId="43">
    <w:lvl>
      <w:numFmt w:val="bullet"/>
      <w:lvlText w:val="•"/>
    </w:lvl>
  </w:abstractNum>
  <w:abstractNum w:abstractNumId="44">
    <w:lvl>
      <w:numFmt w:val="bullet"/>
      <w:lvlText w:val="•"/>
    </w:lvl>
  </w:abstractNum>
  <w:abstractNum w:abstractNumId="45">
    <w:lvl>
      <w:numFmt w:val="bullet"/>
      <w:lvlText w:val="•"/>
    </w:lvl>
  </w:abstractNum>
  <w:abstractNum w:abstractNumId="46">
    <w:lvl>
      <w:numFmt w:val="bullet"/>
      <w:lvlText w:val="•"/>
    </w:lvl>
  </w:abstractNum>
  <w:abstractNum w:abstractNumId="47">
    <w:lvl>
      <w:numFmt w:val="bullet"/>
      <w:lvlText w:val="•"/>
    </w:lvl>
  </w:abstractNum>
  <w:abstractNum w:abstractNumId="48">
    <w:lvl>
      <w:numFmt w:val="bullet"/>
      <w:lvlText w:val="•"/>
    </w:lvl>
  </w:abstractNum>
  <w:abstractNum w:abstractNumId="49">
    <w:lvl>
      <w:numFmt w:val="bullet"/>
      <w:lvlText w:val="•"/>
    </w:lvl>
  </w:abstractNum>
  <w:abstractNum w:abstractNumId="50">
    <w:lvl>
      <w:numFmt w:val="bullet"/>
      <w:lvlText w:val="•"/>
    </w:lvl>
  </w:abstractNum>
  <w:abstractNum w:abstractNumId="51">
    <w:lvl>
      <w:numFmt w:val="bullet"/>
      <w:lvlText w:val="•"/>
    </w:lvl>
  </w:abstractNum>
  <w:abstractNum w:abstractNumId="52">
    <w:lvl>
      <w:numFmt w:val="bullet"/>
      <w:lvlText w:val="•"/>
    </w:lvl>
  </w:abstractNum>
  <w:abstractNum w:abstractNumId="53">
    <w:lvl>
      <w:numFmt w:val="bullet"/>
      <w:lvlText w:val="•"/>
    </w:lvl>
  </w:abstractNum>
  <w:abstractNum w:abstractNumId="54">
    <w:lvl>
      <w:numFmt w:val="bullet"/>
      <w:lvlText w:val="•"/>
    </w:lvl>
  </w:abstractNum>
  <w:abstractNum w:abstractNumId="55">
    <w:lvl>
      <w:numFmt w:val="bullet"/>
      <w:lvlText w:val="•"/>
    </w:lvl>
  </w:abstractNum>
  <w:abstractNum w:abstractNumId="56">
    <w:lvl>
      <w:numFmt w:val="bullet"/>
      <w:lvlText w:val="•"/>
    </w:lvl>
  </w:abstractNum>
  <w:abstractNum w:abstractNumId="57">
    <w:lvl>
      <w:numFmt w:val="bullet"/>
      <w:lvlText w:val="•"/>
    </w:lvl>
  </w:abstractNum>
  <w:abstractNum w:abstractNumId="58">
    <w:lvl>
      <w:numFmt w:val="bullet"/>
      <w:lvlText w:val="•"/>
    </w:lvl>
  </w:abstractNum>
  <w:abstractNum w:abstractNumId="59">
    <w:lvl>
      <w:numFmt w:val="bullet"/>
      <w:lvlText w:val="•"/>
    </w:lvl>
  </w:abstractNum>
  <w:abstractNum w:abstractNumId="60">
    <w:lvl>
      <w:numFmt w:val="bullet"/>
      <w:lvlText w:val="•"/>
    </w:lvl>
  </w:abstractNum>
  <w:abstractNum w:abstractNumId="61">
    <w:lvl>
      <w:numFmt w:val="bullet"/>
      <w:lvlText w:val="•"/>
    </w:lvl>
  </w:abstractNum>
  <w:abstractNum w:abstractNumId="62">
    <w:lvl>
      <w:numFmt w:val="bullet"/>
      <w:lvlText w:val="•"/>
    </w:lvl>
  </w:abstractNum>
  <w:abstractNum w:abstractNumId="63">
    <w:lvl>
      <w:numFmt w:val="bullet"/>
      <w:lvlText w:val="•"/>
    </w:lvl>
  </w:abstractNum>
  <w:abstractNum w:abstractNumId="64">
    <w:lvl>
      <w:numFmt w:val="bullet"/>
      <w:lvlText w:val="•"/>
    </w:lvl>
  </w:abstractNum>
  <w:abstractNum w:abstractNumId="65">
    <w:lvl>
      <w:numFmt w:val="bullet"/>
      <w:lvlText w:val="•"/>
    </w:lvl>
  </w:abstractNum>
  <w:abstractNum w:abstractNumId="66">
    <w:lvl>
      <w:numFmt w:val="bullet"/>
      <w:lvlText w:val="•"/>
    </w:lvl>
  </w:abstractNum>
  <w:abstractNum w:abstractNumId="67">
    <w:lvl>
      <w:numFmt w:val="bullet"/>
      <w:lvlText w:val="•"/>
    </w:lvl>
  </w:abstractNum>
  <w:abstractNum w:abstractNumId="68">
    <w:lvl>
      <w:numFmt w:val="bullet"/>
      <w:lvlText w:val="•"/>
    </w:lvl>
  </w:abstractNum>
  <w:abstractNum w:abstractNumId="69">
    <w:lvl>
      <w:numFmt w:val="bullet"/>
      <w:lvlText w:val="•"/>
    </w:lvl>
  </w:abstractNum>
  <w:abstractNum w:abstractNumId="70">
    <w:lvl>
      <w:numFmt w:val="bullet"/>
      <w:lvlText w:val="•"/>
    </w:lvl>
  </w:abstractNum>
  <w:abstractNum w:abstractNumId="71">
    <w:lvl>
      <w:numFmt w:val="bullet"/>
      <w:lvlText w:val="•"/>
    </w:lvl>
  </w:abstractNum>
  <w:abstractNum w:abstractNumId="72">
    <w:lvl>
      <w:numFmt w:val="bullet"/>
      <w:lvlText w:val="•"/>
    </w:lvl>
  </w:abstractNum>
  <w:abstractNum w:abstractNumId="73">
    <w:lvl>
      <w:numFmt w:val="bullet"/>
      <w:lvlText w:val="•"/>
    </w:lvl>
  </w:abstractNum>
  <w:abstractNum w:abstractNumId="74">
    <w:lvl>
      <w:numFmt w:val="bullet"/>
      <w:lvlText w:val="•"/>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2026-04-11T04:36:13Z</dcterms:created>
  <dc:creator>Apache POI</dc:creator>
</cp:coreProperties>
</file>