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费雪skill-3</w:t>
      </w:r>
    </w:p>
    <w:p>
      <w:pPr>
        <w:spacing w:lineRule="exact"/>
        <w:jc w:val="left"/>
      </w:pPr>
      <w:r>
        <w:t>《保守的投资者夜夜安眠》完整内容总结</w:t>
      </w:r>
    </w:p>
    <w:p>
      <w:pPr>
        <w:spacing w:lineRule="exact"/>
        <w:jc w:val="left"/>
      </w:pPr>
      <w:r>
        <w:t>书籍基本信息</w:t>
      </w:r>
    </w:p>
    <w:p>
      <w:pPr>
        <w:numPr>
          <w:numId w:val="1"/>
        </w:numPr>
      </w:pPr>
      <w:r>
        <w:t>作者：菲利普·A·费雪（Philip A. Fisher）</w:t>
      </w:r>
    </w:p>
    <w:p>
      <w:pPr>
        <w:numPr>
          <w:numId w:val="2"/>
        </w:numPr>
      </w:pPr>
      <w:r>
        <w:t>出版年份：1975年</w:t>
      </w:r>
    </w:p>
    <w:p>
      <w:pPr>
        <w:numPr>
          <w:numId w:val="3"/>
        </w:numPr>
      </w:pPr>
      <w:r>
        <w:t>性质：《怎样选择成长股》（Common Stocks and Uncommon Profits, 1958）的续作与深化</w:t>
      </w:r>
    </w:p>
    <w:p>
      <w:pPr>
        <w:spacing w:lineRule="exact"/>
        <w:jc w:val="left"/>
      </w:pPr>
      <w:r>
        <w:t>一、核心前提：重新定义"保守"</w:t>
      </w:r>
    </w:p>
    <w:p>
      <w:pPr>
        <w:spacing w:lineRule="exact"/>
        <w:jc w:val="left"/>
      </w:pPr>
      <w:r>
        <w:t>1.1 传统观念的谬误</w:t>
      </w:r>
    </w:p>
    <w:p>
      <w:pPr>
        <w:spacing w:lineRule="exact"/>
        <w:jc w:val="left"/>
      </w:pPr>
      <w:r>
        <w:t>费雪首先挑战了当时华尔街和大众投资者对"保守投资"的主流定义。传统观点认为：</w:t>
      </w:r>
    </w:p>
    <w:p>
      <w:pPr>
        <w:numPr>
          <w:numId w:val="4"/>
        </w:numPr>
      </w:pPr>
      <w:r>
        <w:t>债券、国债、固定收益工具 = 保守</w:t>
      </w:r>
    </w:p>
    <w:p>
      <w:pPr>
        <w:numPr>
          <w:numId w:val="5"/>
        </w:numPr>
      </w:pPr>
      <w:r>
        <w:t>普通股 = 投机、风险</w:t>
      </w:r>
    </w:p>
    <w:p>
      <w:pPr>
        <w:spacing w:lineRule="exact"/>
        <w:jc w:val="left"/>
      </w:pPr>
      <w:r>
        <w:t>费雪认为这种观念是根本性的错误。他指出，"保守"不应该被定义为"不会亏损本金"，而应该被定义为：在保护购买力的同时实现财富的持续增长。</w:t>
      </w:r>
    </w:p>
    <w:p>
      <w:pPr>
        <w:spacing w:lineRule="exact"/>
        <w:jc w:val="left"/>
      </w:pPr>
      <w:r>
        <w:t>1.2 通货膨胀是真正的敌人</w:t>
      </w:r>
    </w:p>
    <w:p>
      <w:pPr>
        <w:spacing w:lineRule="exact"/>
        <w:jc w:val="left"/>
      </w:pPr>
      <w:r>
        <w:t>费雪在书中花了大量篇幅论述通货膨胀对投资的侵蚀：</w:t>
      </w:r>
    </w:p>
    <w:p>
      <w:pPr>
        <w:numPr>
          <w:numId w:val="6"/>
        </w:numPr>
      </w:pPr>
      <w:r>
        <w:t>看似"安全"的债券，在通货膨胀面前实际上是在确定性地亏损购买力</w:t>
      </w:r>
    </w:p>
    <w:p>
      <w:pPr>
        <w:numPr>
          <w:numId w:val="7"/>
        </w:numPr>
      </w:pPr>
      <w:r>
        <w:t>一个持有30年国债的投资者，其实际购买力可能只剩下原来的一小部分</w:t>
      </w:r>
    </w:p>
    <w:p>
      <w:pPr>
        <w:numPr>
          <w:numId w:val="8"/>
        </w:numPr>
      </w:pPr>
      <w:r>
        <w:t>"传统意义上的保守"实际上是将风险从本金名义损失转移到了购买力损失，后者往往更致命</w:t>
      </w:r>
    </w:p>
    <w:p>
      <w:pPr>
        <w:spacing w:lineRule="exact"/>
        <w:jc w:val="left"/>
      </w:pPr>
      <w:r>
        <w:t>1.3 正确的保守定义</w:t>
      </w:r>
    </w:p>
    <w:p>
      <w:pPr>
        <w:spacing w:lineRule="exact"/>
        <w:jc w:val="left"/>
      </w:pPr>
      <w:r>
        <w:t>费雪给出的保守投资定义：</w:t>
      </w:r>
    </w:p>
    <w:p>
      <w:pPr>
        <w:spacing w:lineRule="exact"/>
        <w:jc w:val="left"/>
      </w:pPr>
      <w:r>
        <w:t>保守投资是指以最小的风险，在经过合理时间后，在不危及本金的前提下，实现购买力的维持乃至增值。</w:t>
      </w:r>
    </w:p>
    <w:p>
      <w:pPr>
        <w:spacing w:lineRule="exact"/>
        <w:jc w:val="left"/>
      </w:pPr>
      <w:r>
        <w:t>这一定义的核心是实际购买力，而非名义价值。基于此，他得出结论：精心挑选的优质成长股，才是真正的保守投资。</w:t>
      </w:r>
    </w:p>
    <w:p>
      <w:pPr>
        <w:spacing w:lineRule="exact"/>
        <w:jc w:val="left"/>
      </w:pPr>
      <w:r>
        <w:t>二、第一维度——卓越的产品与服务</w:t>
      </w:r>
    </w:p>
    <w:p>
      <w:pPr>
        <w:spacing w:lineRule="exact"/>
        <w:jc w:val="left"/>
      </w:pPr>
      <w:r>
        <w:t>2.1 充足的市场潜力</w:t>
      </w:r>
    </w:p>
    <w:p>
      <w:pPr>
        <w:spacing w:lineRule="exact"/>
        <w:jc w:val="left"/>
      </w:pPr>
      <w:r>
        <w:t>保守投资的第一个维度，是公司必须具备以下特征：</w:t>
      </w:r>
    </w:p>
    <w:p>
      <w:pPr>
        <w:numPr>
          <w:numId w:val="9"/>
        </w:numPr>
      </w:pPr>
      <w:r>
        <w:t>拥有能够持续增长的产品或服务</w:t>
      </w:r>
    </w:p>
    <w:p>
      <w:pPr>
        <w:numPr>
          <w:numId w:val="10"/>
        </w:numPr>
      </w:pPr>
      <w:r>
        <w:t>所在市场规模足够大，或有能力开拓新市场</w:t>
      </w:r>
    </w:p>
    <w:p>
      <w:pPr>
        <w:numPr>
          <w:numId w:val="11"/>
        </w:numPr>
      </w:pPr>
      <w:r>
        <w:t>不仅依赖现有产品，还必须持续开发新一代产品</w:t>
      </w:r>
    </w:p>
    <w:p>
      <w:pPr>
        <w:spacing w:lineRule="exact"/>
        <w:jc w:val="left"/>
      </w:pPr>
      <w:r>
        <w:t>费雪特别强调：一家伟大的公司不能仅仅靠一两款产品吃老本，而必须建立持续创新的能力和文化。</w:t>
      </w:r>
    </w:p>
    <w:p>
      <w:pPr>
        <w:spacing w:lineRule="exact"/>
        <w:jc w:val="left"/>
      </w:pPr>
      <w:r>
        <w:t>2.2 研发能力的重要性</w:t>
      </w:r>
    </w:p>
    <w:p>
      <w:pPr>
        <w:spacing w:lineRule="exact"/>
        <w:jc w:val="left"/>
      </w:pPr>
      <w:r>
        <w:t>费雪将研发（R&amp;D）视为判断公司能否长期保持竞争力的关键指标：</w:t>
      </w:r>
    </w:p>
    <w:p>
      <w:pPr>
        <w:numPr>
          <w:numId w:val="12"/>
        </w:numPr>
      </w:pPr>
      <w:r>
        <w:t>研发投入必须是系统性的、有成效的，而不是象征性的</w:t>
      </w:r>
    </w:p>
    <w:p>
      <w:pPr>
        <w:numPr>
          <w:numId w:val="13"/>
        </w:numPr>
      </w:pPr>
      <w:r>
        <w:t>研发成果必须能转化为实际的商业产品</w:t>
      </w:r>
    </w:p>
    <w:p>
      <w:pPr>
        <w:numPr>
          <w:numId w:val="14"/>
        </w:numPr>
      </w:pPr>
      <w:r>
        <w:t>要区分"科学研究"和"商业研发"——真正有价值的是后者</w:t>
      </w:r>
    </w:p>
    <w:p>
      <w:pPr>
        <w:spacing w:lineRule="exact"/>
        <w:jc w:val="left"/>
      </w:pPr>
      <w:r>
        <w:t>2.3 产品的护城河</w:t>
      </w:r>
    </w:p>
    <w:p>
      <w:pPr>
        <w:spacing w:lineRule="exact"/>
        <w:jc w:val="left"/>
      </w:pPr>
      <w:r>
        <w:t>虽然费雪没有明确使用"护城河"这个词（这是巴菲特后来推广的），但他实质上描述了同样的概念：</w:t>
      </w:r>
    </w:p>
    <w:p>
      <w:pPr>
        <w:numPr>
          <w:numId w:val="15"/>
        </w:numPr>
      </w:pPr>
      <w:r>
        <w:t>公司产品是否具有独特性？竞争对手是否难以复制？</w:t>
      </w:r>
    </w:p>
    <w:p>
      <w:pPr>
        <w:numPr>
          <w:numId w:val="16"/>
        </w:numPr>
      </w:pPr>
      <w:r>
        <w:t>是否有专利保护、品牌溢价或技术壁垒？</w:t>
      </w:r>
    </w:p>
    <w:p>
      <w:pPr>
        <w:numPr>
          <w:numId w:val="17"/>
        </w:numPr>
      </w:pPr>
      <w:r>
        <w:t>公司在其细分领域是否处于领导地位？</w:t>
      </w:r>
    </w:p>
    <w:p>
      <w:pPr>
        <w:spacing w:lineRule="exact"/>
        <w:jc w:val="left"/>
      </w:pPr>
      <w:r>
        <w:t>三、第二维度——卓越的管理层</w:t>
      </w:r>
    </w:p>
    <w:p>
      <w:pPr>
        <w:spacing w:lineRule="exact"/>
        <w:jc w:val="left"/>
      </w:pPr>
      <w:r>
        <w:t>费雪认为，这是四个维度中最重要的一个，因为管理层决定了企业的一切。</w:t>
      </w:r>
    </w:p>
    <w:p>
      <w:pPr>
        <w:spacing w:lineRule="exact"/>
        <w:jc w:val="left"/>
      </w:pPr>
      <w:r>
        <w:t>3.1 管理层能力的判断</w:t>
      </w:r>
    </w:p>
    <w:p>
      <w:pPr>
        <w:spacing w:lineRule="exact"/>
        <w:jc w:val="left"/>
      </w:pPr>
      <w:r>
        <w:t>费雪将管理层分为"A类"和"B类"：</w:t>
      </w:r>
    </w:p>
    <w:p>
      <w:pPr>
        <w:spacing w:lineRule="exact"/>
        <w:jc w:val="left"/>
      </w:pPr>
      <w:r>
        <w:t>A类管理层的特征：</w:t>
      </w:r>
    </w:p>
    <w:p>
      <w:pPr>
        <w:numPr>
          <w:numId w:val="18"/>
        </w:numPr>
      </w:pPr>
      <w:r>
        <w:t>具有强烈的进取心，不满足于现状</w:t>
      </w:r>
    </w:p>
    <w:p>
      <w:pPr>
        <w:numPr>
          <w:numId w:val="19"/>
        </w:numPr>
      </w:pPr>
      <w:r>
        <w:t>能够识别并有效解决未来的问题</w:t>
      </w:r>
    </w:p>
    <w:p>
      <w:pPr>
        <w:numPr>
          <w:numId w:val="20"/>
        </w:numPr>
      </w:pPr>
      <w:r>
        <w:t>在公司顺风时不骄傲自满，在逆境时能带领公司渡过难关</w:t>
      </w:r>
    </w:p>
    <w:p>
      <w:pPr>
        <w:numPr>
          <w:numId w:val="21"/>
        </w:numPr>
      </w:pPr>
      <w:r>
        <w:t>善于培养和利用人才，而不是压制有能力的下属</w:t>
      </w:r>
    </w:p>
    <w:p>
      <w:pPr>
        <w:numPr>
          <w:numId w:val="22"/>
        </w:numPr>
      </w:pPr>
      <w:r>
        <w:t>能够客观分析形势，不回避坏消息</w:t>
      </w:r>
    </w:p>
    <w:p>
      <w:pPr>
        <w:spacing w:lineRule="exact"/>
        <w:jc w:val="left"/>
      </w:pPr>
      <w:r>
        <w:t>B类管理层的特征：</w:t>
      </w:r>
    </w:p>
    <w:p>
      <w:pPr>
        <w:numPr>
          <w:numId w:val="23"/>
        </w:numPr>
      </w:pPr>
      <w:r>
        <w:t>倾向于雇用比自己能力弱的人（担心被取代）</w:t>
      </w:r>
    </w:p>
    <w:p>
      <w:pPr>
        <w:numPr>
          <w:numId w:val="24"/>
        </w:numPr>
      </w:pPr>
      <w:r>
        <w:t>结果导致整个组织能力越来越弱——费雪称之为"B类管理层带来C类员工"效应</w:t>
      </w:r>
    </w:p>
    <w:p>
      <w:pPr>
        <w:numPr>
          <w:numId w:val="25"/>
        </w:numPr>
      </w:pPr>
      <w:r>
        <w:t>过于依赖财务报表，缺乏对业务本质的理解</w:t>
      </w:r>
    </w:p>
    <w:p>
      <w:pPr>
        <w:spacing w:lineRule="exact"/>
        <w:jc w:val="left"/>
      </w:pPr>
      <w:r>
        <w:t>3.2 管理层的诚信</w:t>
      </w:r>
    </w:p>
    <w:p>
      <w:pPr>
        <w:spacing w:lineRule="exact"/>
        <w:jc w:val="left"/>
      </w:pPr>
      <w:r>
        <w:t>诚信是费雪选股标准中的底线要求：</w:t>
      </w:r>
    </w:p>
    <w:p>
      <w:pPr>
        <w:numPr>
          <w:numId w:val="26"/>
        </w:numPr>
      </w:pPr>
      <w:r>
        <w:t>管理层是否将股东利益放在首位？</w:t>
      </w:r>
    </w:p>
    <w:p>
      <w:pPr>
        <w:numPr>
          <w:numId w:val="27"/>
        </w:numPr>
      </w:pPr>
      <w:r>
        <w:t>是否存在关联交易、利益输送、操纵报表等行为？</w:t>
      </w:r>
    </w:p>
    <w:p>
      <w:pPr>
        <w:numPr>
          <w:numId w:val="28"/>
        </w:numPr>
      </w:pPr>
      <w:r>
        <w:t>遇到困境时，是否诚实地向股东披露？</w:t>
      </w:r>
    </w:p>
    <w:p>
      <w:pPr>
        <w:numPr>
          <w:numId w:val="29"/>
        </w:numPr>
      </w:pPr>
      <w:r>
        <w:t>对待员工和供应商是否公平？</w:t>
      </w:r>
    </w:p>
    <w:p>
      <w:pPr>
        <w:spacing w:lineRule="exact"/>
        <w:jc w:val="left"/>
      </w:pPr>
      <w:r>
        <w:t>费雪特别指出：管理层的诚信问题是"一票否决"条件，发现诚信问题应立即离场，不论公司其他指标多么优秀。</w:t>
      </w:r>
    </w:p>
    <w:p>
      <w:pPr>
        <w:spacing w:lineRule="exact"/>
        <w:jc w:val="left"/>
      </w:pPr>
      <w:r>
        <w:t>3.3 管理层的接班人计划</w:t>
      </w:r>
    </w:p>
    <w:p>
      <w:pPr>
        <w:spacing w:lineRule="exact"/>
        <w:jc w:val="left"/>
      </w:pPr>
      <w:r>
        <w:t>费雪非常重视管理层的传承问题：</w:t>
      </w:r>
    </w:p>
    <w:p>
      <w:pPr>
        <w:numPr>
          <w:numId w:val="30"/>
        </w:numPr>
      </w:pPr>
      <w:r>
        <w:t>优秀的管理层会主动培养继任者</w:t>
      </w:r>
    </w:p>
    <w:p>
      <w:pPr>
        <w:numPr>
          <w:numId w:val="31"/>
        </w:numPr>
      </w:pPr>
      <w:r>
        <w:t>公司不应该"人治"，而应该建立体制化的管理体系</w:t>
      </w:r>
    </w:p>
    <w:p>
      <w:pPr>
        <w:numPr>
          <w:numId w:val="32"/>
        </w:numPr>
      </w:pPr>
      <w:r>
        <w:t>一家完全依赖某一个人的公司，存在巨大的单点风险</w:t>
      </w:r>
    </w:p>
    <w:p>
      <w:pPr>
        <w:spacing w:lineRule="exact"/>
        <w:jc w:val="left"/>
      </w:pPr>
      <w:r>
        <w:t>3.4 管理层与员工的关系</w:t>
      </w:r>
    </w:p>
    <w:p>
      <w:pPr>
        <w:spacing w:lineRule="exact"/>
        <w:jc w:val="left"/>
      </w:pPr>
      <w:r>
        <w:t>费雪认为，管理层对待员工的方式是洞察管理文化的重要窗口：</w:t>
      </w:r>
    </w:p>
    <w:p>
      <w:pPr>
        <w:numPr>
          <w:numId w:val="33"/>
        </w:numPr>
      </w:pPr>
      <w:r>
        <w:t>优秀的公司有低员工流失率</w:t>
      </w:r>
    </w:p>
    <w:p>
      <w:pPr>
        <w:numPr>
          <w:numId w:val="34"/>
        </w:numPr>
      </w:pPr>
      <w:r>
        <w:t>员工是否认为公司是一个"公平"的雇主？</w:t>
      </w:r>
    </w:p>
    <w:p>
      <w:pPr>
        <w:numPr>
          <w:numId w:val="35"/>
        </w:numPr>
      </w:pPr>
      <w:r>
        <w:t>公司是否在员工培训和发展上有持续投入？</w:t>
      </w:r>
    </w:p>
    <w:p>
      <w:pPr>
        <w:numPr>
          <w:numId w:val="36"/>
        </w:numPr>
      </w:pPr>
      <w:r>
        <w:t>公司是否能吸引并留住优秀人才？</w:t>
      </w:r>
    </w:p>
    <w:p>
      <w:pPr>
        <w:spacing w:lineRule="exact"/>
        <w:jc w:val="left"/>
      </w:pPr>
      <w:r>
        <w:t>3.5 劳动关系</w:t>
      </w:r>
    </w:p>
    <w:p>
      <w:pPr>
        <w:spacing w:lineRule="exact"/>
        <w:jc w:val="left"/>
      </w:pPr>
      <w:r>
        <w:t>费雪专门讨论了公司与工会的关系：</w:t>
      </w:r>
    </w:p>
    <w:p>
      <w:pPr>
        <w:numPr>
          <w:numId w:val="37"/>
        </w:numPr>
      </w:pPr>
      <w:r>
        <w:t>良好的劳动关系是公司文化健康的体现</w:t>
      </w:r>
    </w:p>
    <w:p>
      <w:pPr>
        <w:numPr>
          <w:numId w:val="38"/>
        </w:numPr>
      </w:pPr>
      <w:r>
        <w:t>频繁的劳资纠纷往往是管理层问题的症状，而非原因</w:t>
      </w:r>
    </w:p>
    <w:p>
      <w:pPr>
        <w:numPr>
          <w:numId w:val="39"/>
        </w:numPr>
      </w:pPr>
      <w:r>
        <w:t>优秀公司通常主动为员工创造好的工作环境，从而避免劳动纠纷</w:t>
      </w:r>
    </w:p>
    <w:p>
      <w:pPr>
        <w:spacing w:lineRule="exact"/>
        <w:jc w:val="left"/>
      </w:pPr>
      <w:r>
        <w:t>四、第三维度——企业的投资特质</w:t>
      </w:r>
    </w:p>
    <w:p>
      <w:pPr>
        <w:spacing w:lineRule="exact"/>
        <w:jc w:val="left"/>
      </w:pPr>
      <w:r>
        <w:t>4.1 利润率</w:t>
      </w:r>
    </w:p>
    <w:p>
      <w:pPr>
        <w:spacing w:lineRule="exact"/>
        <w:jc w:val="left"/>
      </w:pPr>
      <w:r>
        <w:t>费雪认为，持续高于行业平均水平的利润率，是公司具有竞争优势的有力证据：</w:t>
      </w:r>
    </w:p>
    <w:p>
      <w:pPr>
        <w:numPr>
          <w:numId w:val="40"/>
        </w:numPr>
      </w:pPr>
      <w:r>
        <w:t>高利润率说明公司有定价权</w:t>
      </w:r>
    </w:p>
    <w:p>
      <w:pPr>
        <w:numPr>
          <w:numId w:val="41"/>
        </w:numPr>
      </w:pPr>
      <w:r>
        <w:t>保守投资者应关注利润率的趋势，而不仅仅是当期数字</w:t>
      </w:r>
    </w:p>
    <w:p>
      <w:pPr>
        <w:numPr>
          <w:numId w:val="42"/>
        </w:numPr>
      </w:pPr>
      <w:r>
        <w:t>优秀的公司能够在规模增长的同时维持甚至提升利润率</w:t>
      </w:r>
    </w:p>
    <w:p>
      <w:pPr>
        <w:spacing w:lineRule="exact"/>
        <w:jc w:val="left"/>
      </w:pPr>
      <w:r>
        <w:t>4.2 资本回报率</w:t>
      </w:r>
    </w:p>
    <w:p>
      <w:pPr>
        <w:spacing w:lineRule="exact"/>
        <w:jc w:val="left"/>
      </w:pPr>
      <w:r>
        <w:t>费雪特别看重资本回报率（Return on Capital Employed）：</w:t>
      </w:r>
    </w:p>
    <w:p>
      <w:pPr>
        <w:numPr>
          <w:numId w:val="43"/>
        </w:numPr>
      </w:pPr>
      <w:r>
        <w:t>高资本回报率意味着公司每投入一元钱，能够创造更多价值</w:t>
      </w:r>
    </w:p>
    <w:p>
      <w:pPr>
        <w:numPr>
          <w:numId w:val="44"/>
        </w:numPr>
      </w:pPr>
      <w:r>
        <w:t>这是区分优秀企业与平庸企业的核心指标</w:t>
      </w:r>
    </w:p>
    <w:p>
      <w:pPr>
        <w:numPr>
          <w:numId w:val="45"/>
        </w:numPr>
      </w:pPr>
      <w:r>
        <w:t>能够在不大量举债的情况下实现高资本回报，是最优质的企业形态</w:t>
      </w:r>
    </w:p>
    <w:p>
      <w:pPr>
        <w:spacing w:lineRule="exact"/>
        <w:jc w:val="left"/>
      </w:pPr>
      <w:r>
        <w:t>4.3 销售组织的效率</w:t>
      </w:r>
    </w:p>
    <w:p>
      <w:pPr>
        <w:spacing w:lineRule="exact"/>
        <w:jc w:val="left"/>
      </w:pPr>
      <w:r>
        <w:t>费雪将销售能力视为企业能力的重要组成部分：</w:t>
      </w:r>
    </w:p>
    <w:p>
      <w:pPr>
        <w:numPr>
          <w:numId w:val="46"/>
        </w:numPr>
      </w:pPr>
      <w:r>
        <w:t>一家好产品、坏销售的公司不如一家好产品、好销售的公司</w:t>
      </w:r>
    </w:p>
    <w:p>
      <w:pPr>
        <w:numPr>
          <w:numId w:val="47"/>
        </w:numPr>
      </w:pPr>
      <w:r>
        <w:t>销售团队的质量和激励机制是关键</w:t>
      </w:r>
    </w:p>
    <w:p>
      <w:pPr>
        <w:numPr>
          <w:numId w:val="48"/>
        </w:numPr>
      </w:pPr>
      <w:r>
        <w:t>公司是否能有效地将产品价值传递给客户？</w:t>
      </w:r>
    </w:p>
    <w:p>
      <w:pPr>
        <w:spacing w:lineRule="exact"/>
        <w:jc w:val="left"/>
      </w:pPr>
      <w:r>
        <w:t>4.4 财务控制与成本意识</w:t>
      </w:r>
    </w:p>
    <w:p>
      <w:pPr>
        <w:spacing w:lineRule="exact"/>
        <w:jc w:val="left"/>
      </w:pPr>
      <w:r>
        <w:t>费雪注重公司的财务纪律：</w:t>
      </w:r>
    </w:p>
    <w:p>
      <w:pPr>
        <w:numPr>
          <w:numId w:val="49"/>
        </w:numPr>
      </w:pPr>
      <w:r>
        <w:t>公司是否有健全的财务控制体系？</w:t>
      </w:r>
    </w:p>
    <w:p>
      <w:pPr>
        <w:numPr>
          <w:numId w:val="50"/>
        </w:numPr>
      </w:pPr>
      <w:r>
        <w:t>是否有强烈的成本意识，但又不是短视地削减必要投入？</w:t>
      </w:r>
    </w:p>
    <w:p>
      <w:pPr>
        <w:numPr>
          <w:numId w:val="51"/>
        </w:numPr>
      </w:pPr>
      <w:r>
        <w:t>财务控制的目的是为了更好地配置资源，而不仅仅是节省开支</w:t>
      </w:r>
    </w:p>
    <w:p>
      <w:pPr>
        <w:spacing w:lineRule="exact"/>
        <w:jc w:val="left"/>
      </w:pPr>
      <w:r>
        <w:t>4.5 长期增长的可持续性</w:t>
      </w:r>
    </w:p>
    <w:p>
      <w:pPr>
        <w:spacing w:lineRule="exact"/>
        <w:jc w:val="left"/>
      </w:pPr>
      <w:r>
        <w:t>费雪认为，真正的保守投资标的，必须具备可持续的长期增长能力：</w:t>
      </w:r>
    </w:p>
    <w:p>
      <w:pPr>
        <w:numPr>
          <w:numId w:val="52"/>
        </w:numPr>
      </w:pPr>
      <w:r>
        <w:t>不是依靠周期性繁荣的一次性增长</w:t>
      </w:r>
    </w:p>
    <w:p>
      <w:pPr>
        <w:numPr>
          <w:numId w:val="53"/>
        </w:numPr>
      </w:pPr>
      <w:r>
        <w:t>而是由竞争优势和持续创新驱动的内生增长</w:t>
      </w:r>
    </w:p>
    <w:p>
      <w:pPr>
        <w:numPr>
          <w:numId w:val="54"/>
        </w:numPr>
      </w:pPr>
      <w:r>
        <w:t>费雪区分了"周期性增长"与"结构性增长"，保守投资者应关注后者</w:t>
      </w:r>
    </w:p>
    <w:p>
      <w:pPr>
        <w:spacing w:lineRule="exact"/>
        <w:jc w:val="left"/>
      </w:pPr>
      <w:r>
        <w:t>五、第四维度——合理的价格</w:t>
      </w:r>
    </w:p>
    <w:p>
      <w:pPr>
        <w:spacing w:lineRule="exact"/>
        <w:jc w:val="left"/>
      </w:pPr>
      <w:r>
        <w:t>5.1 价格的相对性</w:t>
      </w:r>
    </w:p>
    <w:p>
      <w:pPr>
        <w:spacing w:lineRule="exact"/>
        <w:jc w:val="left"/>
      </w:pPr>
      <w:r>
        <w:t>费雪在这里表现出了他与"价值投资"传统（格雷厄姆流派）的一个重要区别：他认为优质成长股不应该仅用传统的低市盈率标准来衡量。</w:t>
      </w:r>
    </w:p>
    <w:p>
      <w:pPr>
        <w:numPr>
          <w:numId w:val="55"/>
        </w:numPr>
      </w:pPr>
      <w:r>
        <w:t>一家高质量、高增长的公司，即使市盈率较高，也可能比低市盈率的平庸公司更"便宜"</w:t>
      </w:r>
    </w:p>
    <w:p>
      <w:pPr>
        <w:numPr>
          <w:numId w:val="56"/>
        </w:numPr>
      </w:pPr>
      <w:r>
        <w:t>关键是：你支付的价格是否与未来的收益增长相匹配？</w:t>
      </w:r>
    </w:p>
    <w:p>
      <w:pPr>
        <w:spacing w:lineRule="exact"/>
        <w:jc w:val="left"/>
      </w:pPr>
      <w:r>
        <w:t>5.2 市盈率的正确使用方式</w:t>
      </w:r>
    </w:p>
    <w:p>
      <w:pPr>
        <w:spacing w:lineRule="exact"/>
        <w:jc w:val="left"/>
      </w:pPr>
      <w:r>
        <w:t>费雪对市盈率的使用提出了更细致的框架：</w:t>
      </w:r>
    </w:p>
    <w:p>
      <w:pPr>
        <w:numPr>
          <w:numId w:val="57"/>
        </w:numPr>
      </w:pPr>
      <w:r>
        <w:t>不同行业的合理市盈率区间不同，不能跨行业简单比较</w:t>
      </w:r>
    </w:p>
    <w:p>
      <w:pPr>
        <w:numPr>
          <w:numId w:val="58"/>
        </w:numPr>
      </w:pPr>
      <w:r>
        <w:t>市盈率必须结合增长率来看（这实际上是后来"PEG"指标的前身）</w:t>
      </w:r>
    </w:p>
    <w:p>
      <w:pPr>
        <w:numPr>
          <w:numId w:val="59"/>
        </w:numPr>
      </w:pPr>
      <w:r>
        <w:t>高增长公司在高市盈率下买入，仍然可能是非常保守的投资</w:t>
      </w:r>
    </w:p>
    <w:p>
      <w:pPr>
        <w:spacing w:lineRule="exact"/>
        <w:jc w:val="left"/>
      </w:pPr>
      <w:r>
        <w:t>5.3 何时价格太贵</w:t>
      </w:r>
    </w:p>
    <w:p>
      <w:pPr>
        <w:spacing w:lineRule="exact"/>
        <w:jc w:val="left"/>
      </w:pPr>
      <w:r>
        <w:t>尽管费雪不拘泥于低市盈率，但他同样强调了价格纪律：</w:t>
      </w:r>
    </w:p>
    <w:p>
      <w:pPr>
        <w:numPr>
          <w:numId w:val="60"/>
        </w:numPr>
      </w:pPr>
      <w:r>
        <w:t>当一只优质股票被市场过度追捧、估值远超其增长前景时，即便是最好的公司也不值得买入</w:t>
      </w:r>
    </w:p>
    <w:p>
      <w:pPr>
        <w:numPr>
          <w:numId w:val="61"/>
        </w:numPr>
      </w:pPr>
      <w:r>
        <w:t>情绪性的市场高估（如泡沫期间）会使保守投资者面临下行风险</w:t>
      </w:r>
    </w:p>
    <w:p>
      <w:pPr>
        <w:numPr>
          <w:numId w:val="62"/>
        </w:numPr>
      </w:pPr>
      <w:r>
        <w:t>费雪建议在这种情况下，宁愿等待也不要追高买入</w:t>
      </w:r>
    </w:p>
    <w:p>
      <w:pPr>
        <w:spacing w:lineRule="exact"/>
        <w:jc w:val="left"/>
      </w:pPr>
      <w:r>
        <w:t>5.4 股息与价格的关系</w:t>
      </w:r>
    </w:p>
    <w:p>
      <w:pPr>
        <w:spacing w:lineRule="exact"/>
        <w:jc w:val="left"/>
      </w:pPr>
      <w:r>
        <w:t>费雪对股息持有独特的看法（与传统观念不同）：</w:t>
      </w:r>
    </w:p>
    <w:p>
      <w:pPr>
        <w:numPr>
          <w:numId w:val="63"/>
        </w:numPr>
      </w:pPr>
      <w:r>
        <w:t>他认为，高股息并不一定是好事</w:t>
      </w:r>
    </w:p>
    <w:p>
      <w:pPr>
        <w:numPr>
          <w:numId w:val="64"/>
        </w:numPr>
      </w:pPr>
      <w:r>
        <w:t>如果公司有高质量的再投资机会（即高资本回报率），留存利润再投资比派发股息更有价值</w:t>
      </w:r>
    </w:p>
    <w:p>
      <w:pPr>
        <w:numPr>
          <w:numId w:val="65"/>
        </w:numPr>
      </w:pPr>
      <w:r>
        <w:t>投资者不应为了追求股息而放弃选择高质量再投资型公司的机会</w:t>
      </w:r>
    </w:p>
    <w:p>
      <w:pPr>
        <w:numPr>
          <w:numId w:val="66"/>
        </w:numPr>
      </w:pPr>
      <w:r>
        <w:t>高派息往往意味着公司缺乏好的内部投资机会</w:t>
      </w:r>
    </w:p>
    <w:p>
      <w:pPr>
        <w:spacing w:lineRule="exact"/>
        <w:jc w:val="left"/>
      </w:pPr>
      <w:r>
        <w:t>六、"闲聊法"（Scuttlebutt Method）的深化</w:t>
      </w:r>
    </w:p>
    <w:p>
      <w:pPr>
        <w:spacing w:lineRule="exact"/>
        <w:jc w:val="left"/>
      </w:pPr>
      <w:r>
        <w:t>费雪在这本书中进一步阐述了他著名的"闲聊法"（又译"人脉调研法"）：</w:t>
      </w:r>
    </w:p>
    <w:p>
      <w:pPr>
        <w:spacing w:lineRule="exact"/>
        <w:jc w:val="left"/>
      </w:pPr>
      <w:r>
        <w:t>6.1 信息来源的多样性</w:t>
      </w:r>
    </w:p>
    <w:p>
      <w:pPr>
        <w:numPr>
          <w:numId w:val="67"/>
        </w:numPr>
      </w:pPr>
      <w:r>
        <w:t>竞争对手：是了解一家公司真实实力的最好信息来源之一。竞争对手不会有理由美化对手</w:t>
      </w:r>
    </w:p>
    <w:p>
      <w:pPr>
        <w:numPr>
          <w:numId w:val="68"/>
        </w:numPr>
      </w:pPr>
      <w:r>
        <w:t>供应商：了解公司的付款习惯、商业道德、技术要求</w:t>
      </w:r>
    </w:p>
    <w:p>
      <w:pPr>
        <w:numPr>
          <w:numId w:val="69"/>
        </w:numPr>
      </w:pPr>
      <w:r>
        <w:t>客户：了解产品实际质量、服务水平、客户满意度</w:t>
      </w:r>
    </w:p>
    <w:p>
      <w:pPr>
        <w:numPr>
          <w:numId w:val="70"/>
        </w:numPr>
      </w:pPr>
      <w:r>
        <w:t>前员工：了解公司内部文化、管理风格</w:t>
      </w:r>
    </w:p>
    <w:p>
      <w:pPr>
        <w:numPr>
          <w:numId w:val="71"/>
        </w:numPr>
      </w:pPr>
      <w:r>
        <w:t>行业专家和学者：了解技术趋势和行业动态</w:t>
      </w:r>
    </w:p>
    <w:p>
      <w:pPr>
        <w:spacing w:lineRule="exact"/>
        <w:jc w:val="left"/>
      </w:pPr>
      <w:r>
        <w:t>6.2 闲聊法的局限性</w:t>
      </w:r>
    </w:p>
    <w:p>
      <w:pPr>
        <w:spacing w:lineRule="exact"/>
        <w:jc w:val="left"/>
      </w:pPr>
      <w:r>
        <w:t>费雪也坦诚地指出了这一方法的局限：</w:t>
      </w:r>
    </w:p>
    <w:p>
      <w:pPr>
        <w:numPr>
          <w:numId w:val="72"/>
        </w:numPr>
      </w:pPr>
      <w:r>
        <w:t>需要大量时间和人脉资源</w:t>
      </w:r>
    </w:p>
    <w:p>
      <w:pPr>
        <w:numPr>
          <w:numId w:val="73"/>
        </w:numPr>
      </w:pPr>
      <w:r>
        <w:t>单一渠道的信息可能有偏差，必须多方交叉验证</w:t>
      </w:r>
    </w:p>
    <w:p>
      <w:pPr>
        <w:numPr>
          <w:numId w:val="74"/>
        </w:numPr>
      </w:pPr>
      <w:r>
        <w:t>信息的质量参差不齐，需要判断力</w:t>
      </w:r>
    </w:p>
    <w:p>
      <w:pPr>
        <w:spacing w:lineRule="exact"/>
        <w:jc w:val="left"/>
      </w:pPr>
      <w:r>
        <w:t>七、关于集中投资与分散投资</w:t>
      </w:r>
    </w:p>
    <w:p>
      <w:pPr>
        <w:spacing w:lineRule="exact"/>
        <w:jc w:val="left"/>
      </w:pPr>
      <w:r>
        <w:t>7.1 费雪的集中投资哲学</w:t>
      </w:r>
    </w:p>
    <w:p>
      <w:pPr>
        <w:spacing w:lineRule="exact"/>
        <w:jc w:val="left"/>
      </w:pPr>
      <w:r>
        <w:t>费雪明确反对过度分散化：</w:t>
      </w:r>
    </w:p>
    <w:p>
      <w:pPr>
        <w:numPr>
          <w:numId w:val="75"/>
        </w:numPr>
      </w:pPr>
      <w:r>
        <w:t>"把所有鸡蛋放在不同篮子里"实际上是用不了解取代了了解</w:t>
      </w:r>
    </w:p>
    <w:p>
      <w:pPr>
        <w:numPr>
          <w:numId w:val="76"/>
        </w:numPr>
      </w:pPr>
      <w:r>
        <w:t>持有过多股票，意味着不可能深入了解每一家公司</w:t>
      </w:r>
    </w:p>
    <w:p>
      <w:pPr>
        <w:numPr>
          <w:numId w:val="77"/>
        </w:numPr>
      </w:pPr>
      <w:r>
        <w:t>真正的风险管理来自于深入研究后的选择，而不是分散</w:t>
      </w:r>
    </w:p>
    <w:p>
      <w:pPr>
        <w:spacing w:lineRule="exact"/>
        <w:jc w:val="left"/>
      </w:pPr>
      <w:r>
        <w:t>7.2 合理的持股数量</w:t>
      </w:r>
    </w:p>
    <w:p>
      <w:pPr>
        <w:spacing w:lineRule="exact"/>
        <w:jc w:val="left"/>
      </w:pPr>
      <w:r>
        <w:t>费雪认为对大多数投资者而言：</w:t>
      </w:r>
    </w:p>
    <w:p>
      <w:pPr>
        <w:numPr>
          <w:numId w:val="78"/>
        </w:numPr>
      </w:pPr>
      <w:r>
        <w:t>持有5-10只股票已经足够分散</w:t>
      </w:r>
    </w:p>
    <w:p>
      <w:pPr>
        <w:numPr>
          <w:numId w:val="79"/>
        </w:numPr>
      </w:pPr>
      <w:r>
        <w:t>每只股票都应该是经过深入研究的"确信级别"投资</w:t>
      </w:r>
    </w:p>
    <w:p>
      <w:pPr>
        <w:numPr>
          <w:numId w:val="80"/>
        </w:numPr>
      </w:pPr>
      <w:r>
        <w:t>宁愿持有更少但更确定的股票，也不要持有一大堆一知半解的股票</w:t>
      </w:r>
    </w:p>
    <w:p>
      <w:pPr>
        <w:spacing w:lineRule="exact"/>
        <w:jc w:val="left"/>
      </w:pPr>
      <w:r>
        <w:t>八、何时卖出</w:t>
      </w:r>
    </w:p>
    <w:p>
      <w:pPr>
        <w:spacing w:lineRule="exact"/>
        <w:jc w:val="left"/>
      </w:pPr>
      <w:r>
        <w:t>费雪认为，卖出决策比买入决策更难，错误的卖出往往比错误的买入代价更大。</w:t>
      </w:r>
    </w:p>
    <w:p>
      <w:pPr>
        <w:spacing w:lineRule="exact"/>
        <w:jc w:val="left"/>
      </w:pPr>
      <w:r>
        <w:t>8.1 应该卖出的情况</w:t>
      </w:r>
    </w:p>
    <w:p>
      <w:pPr>
        <w:spacing w:lineRule="exact"/>
        <w:jc w:val="left"/>
      </w:pPr>
      <w:r>
        <w:t>最初的买入判断是错误的：当发现自己对公司基本面的判断有误，应果断离场，而不是抱着"等回来"的心态</w:t>
      </w:r>
    </w:p>
    <w:p>
      <w:pPr>
        <w:spacing w:lineRule="exact"/>
        <w:jc w:val="left"/>
      </w:pPr>
      <w:r>
        <w:t>公司基本面发生了根本性的恶化：管理层质量下降、竞争优势丧失、行业结构破坏</w:t>
      </w:r>
    </w:p>
    <w:p>
      <w:pPr>
        <w:spacing w:lineRule="exact"/>
        <w:jc w:val="left"/>
      </w:pPr>
      <w:r>
        <w:t>发现了更好的投资机会，且当前持仓的机会成本显著更高：但费雪警告这条标准很容易被滥用，导致频繁换股</w:t>
      </w:r>
    </w:p>
    <w:p>
      <w:pPr>
        <w:spacing w:lineRule="exact"/>
        <w:jc w:val="left"/>
      </w:pPr>
      <w:r>
        <w:t>8.2 不应该卖出的情况</w:t>
      </w:r>
    </w:p>
    <w:p>
      <w:pPr>
        <w:spacing w:lineRule="exact"/>
        <w:jc w:val="left"/>
      </w:pPr>
      <w:r>
        <w:t>费雪对以下几种常见的"卖出理由"提出了批评：</w:t>
      </w:r>
    </w:p>
    <w:p>
      <w:pPr>
        <w:numPr>
          <w:numId w:val="81"/>
        </w:numPr>
      </w:pPr>
      <w:r>
        <w:t>股价涨了很多，所以要卖：如果公司基本面没有变化，价格上涨本身不是卖出的理由</w:t>
      </w:r>
    </w:p>
    <w:p>
      <w:pPr>
        <w:numPr>
          <w:numId w:val="82"/>
        </w:numPr>
      </w:pPr>
      <w:r>
        <w:t>市场整体下跌，担心继续跌：基本面良好的公司短期价格波动不影响内在价值</w:t>
      </w:r>
    </w:p>
    <w:p>
      <w:pPr>
        <w:numPr>
          <w:numId w:val="83"/>
        </w:numPr>
      </w:pPr>
      <w:r>
        <w:t>需要兑现利润：这是情绪化的决策，而非理性分析</w:t>
      </w:r>
    </w:p>
    <w:p>
      <w:pPr>
        <w:spacing w:lineRule="exact"/>
        <w:jc w:val="left"/>
      </w:pPr>
      <w:r>
        <w:t>8.3 长期持有的复利威力</w:t>
      </w:r>
    </w:p>
    <w:p>
      <w:pPr>
        <w:spacing w:lineRule="exact"/>
        <w:jc w:val="left"/>
      </w:pPr>
      <w:r>
        <w:t>费雪通过数字说明了长期持有优质成长股的复利效应：</w:t>
      </w:r>
    </w:p>
    <w:p>
      <w:pPr>
        <w:numPr>
          <w:numId w:val="84"/>
        </w:numPr>
      </w:pPr>
      <w:r>
        <w:t>每次卖出和买入都需要支付税费和交易成本</w:t>
      </w:r>
    </w:p>
    <w:p>
      <w:pPr>
        <w:numPr>
          <w:numId w:val="85"/>
        </w:numPr>
      </w:pPr>
      <w:r>
        <w:t>频繁换股的累计摩擦成本惊人</w:t>
      </w:r>
    </w:p>
    <w:p>
      <w:pPr>
        <w:numPr>
          <w:numId w:val="86"/>
        </w:numPr>
      </w:pPr>
      <w:r>
        <w:t>持有一只以20%年化增长的公司20年，所创造的财富远超频繁交易</w:t>
      </w:r>
    </w:p>
    <w:p>
      <w:pPr>
        <w:spacing w:lineRule="exact"/>
        <w:jc w:val="left"/>
      </w:pPr>
      <w:r>
        <w:t>九、成长股的特征模型</w:t>
      </w:r>
    </w:p>
    <w:p>
      <w:pPr>
        <w:spacing w:lineRule="exact"/>
        <w:jc w:val="left"/>
      </w:pPr>
      <w:r>
        <w:t>费雪在书中构建了一个完整的"优质成长股"画像：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2500"/>
          </w:tcPr>
          <w:p>
            <w:r>
              <w:t>特征</w:t>
            </w:r>
          </w:p>
        </w:tc>
        <w:tc>
          <w:tcPr>
            <w:tcW w:type="pct" w:w="2500"/>
          </w:tcPr>
          <w:p>
            <w:r>
              <w:t>说明</w:t>
            </w:r>
          </w:p>
        </w:tc>
      </w:tr>
      <w:tr>
        <w:tc>
          <w:tcPr>
            <w:tcW w:type="pct" w:w="2500"/>
          </w:tcPr>
          <w:p>
            <w:r>
              <w:t>市场地位</w:t>
            </w:r>
          </w:p>
        </w:tc>
        <w:tc>
          <w:tcPr>
            <w:tcW w:type="pct" w:w="2500"/>
          </w:tcPr>
          <w:p>
            <w:r>
              <w:t>细分领域的领导者或强有力的挑战者</w:t>
            </w:r>
          </w:p>
        </w:tc>
      </w:tr>
      <w:tr>
        <w:tc>
          <w:tcPr>
            <w:tcW w:type="pct" w:w="2500"/>
          </w:tcPr>
          <w:p>
            <w:r>
              <w:t>创新能力</w:t>
            </w:r>
          </w:p>
        </w:tc>
        <w:tc>
          <w:tcPr>
            <w:tcW w:type="pct" w:w="2500"/>
          </w:tcPr>
          <w:p>
            <w:r>
              <w:t>持续的产品研发和技术创新</w:t>
            </w:r>
          </w:p>
        </w:tc>
      </w:tr>
      <w:tr>
        <w:tc>
          <w:tcPr>
            <w:tcW w:type="pct" w:w="2500"/>
          </w:tcPr>
          <w:p>
            <w:r>
              <w:t>利润率</w:t>
            </w:r>
          </w:p>
        </w:tc>
        <w:tc>
          <w:tcPr>
            <w:tcW w:type="pct" w:w="2500"/>
          </w:tcPr>
          <w:p>
            <w:r>
              <w:t>长期稳定在行业前列</w:t>
            </w:r>
          </w:p>
        </w:tc>
      </w:tr>
      <w:tr>
        <w:tc>
          <w:tcPr>
            <w:tcW w:type="pct" w:w="2500"/>
          </w:tcPr>
          <w:p>
            <w:r>
              <w:t>资本回报</w:t>
            </w:r>
          </w:p>
        </w:tc>
        <w:tc>
          <w:tcPr>
            <w:tcW w:type="pct" w:w="2500"/>
          </w:tcPr>
          <w:p>
            <w:r>
              <w:t>高于资本成本，且可持续</w:t>
            </w:r>
          </w:p>
        </w:tc>
      </w:tr>
      <w:tr>
        <w:tc>
          <w:tcPr>
            <w:tcW w:type="pct" w:w="2500"/>
          </w:tcPr>
          <w:p>
            <w:r>
              <w:t>管理层质量</w:t>
            </w:r>
          </w:p>
        </w:tc>
        <w:tc>
          <w:tcPr>
            <w:tcW w:type="pct" w:w="2500"/>
          </w:tcPr>
          <w:p>
            <w:r>
              <w:t>A类管理层，高诚信，善培养人才</w:t>
            </w:r>
          </w:p>
        </w:tc>
      </w:tr>
      <w:tr>
        <w:tc>
          <w:tcPr>
            <w:tcW w:type="pct" w:w="2500"/>
          </w:tcPr>
          <w:p>
            <w:r>
              <w:t>财务健康</w:t>
            </w:r>
          </w:p>
        </w:tc>
        <w:tc>
          <w:tcPr>
            <w:tcW w:type="pct" w:w="2500"/>
          </w:tcPr>
          <w:p>
            <w:r>
              <w:t>不依赖过度杠杆，现金流良好</w:t>
            </w:r>
          </w:p>
        </w:tc>
      </w:tr>
      <w:tr>
        <w:tc>
          <w:tcPr>
            <w:tcW w:type="pct" w:w="2500"/>
          </w:tcPr>
          <w:p>
            <w:r>
              <w:t>增长驱动力</w:t>
            </w:r>
          </w:p>
        </w:tc>
        <w:tc>
          <w:tcPr>
            <w:tcW w:type="pct" w:w="2500"/>
          </w:tcPr>
          <w:p>
            <w:r>
              <w:t>内生增长为主，而非纯粹依赖并购</w:t>
            </w:r>
          </w:p>
        </w:tc>
      </w:tr>
    </w:tbl>
    <w:p>
      <w:pPr>
        <w:spacing w:lineRule="exact"/>
        <w:jc w:val="left"/>
      </w:pPr>
      <w:r>
        <w:t>十、对市场和行业的宏观观察</w:t>
      </w:r>
    </w:p>
    <w:p>
      <w:pPr>
        <w:spacing w:lineRule="exact"/>
        <w:jc w:val="left"/>
      </w:pPr>
      <w:r>
        <w:t>10.1 对华尔街分析文化的批评</w:t>
      </w:r>
    </w:p>
    <w:p>
      <w:pPr>
        <w:spacing w:lineRule="exact"/>
        <w:jc w:val="left"/>
      </w:pPr>
      <w:r>
        <w:t>费雪对当时的证券分析行业提出了尖锐批评：</w:t>
      </w:r>
    </w:p>
    <w:p>
      <w:pPr>
        <w:numPr>
          <w:numId w:val="87"/>
        </w:numPr>
      </w:pPr>
      <w:r>
        <w:t>过于依赖财务报表数据，忽视质化因素</w:t>
      </w:r>
    </w:p>
    <w:p>
      <w:pPr>
        <w:numPr>
          <w:numId w:val="88"/>
        </w:numPr>
      </w:pPr>
      <w:r>
        <w:t>过于关注短期业绩，缺乏长期视角</w:t>
      </w:r>
    </w:p>
    <w:p>
      <w:pPr>
        <w:numPr>
          <w:numId w:val="89"/>
        </w:numPr>
      </w:pPr>
      <w:r>
        <w:t>分析师的报告往往是"集体思维"的产物，缺乏独立判断</w:t>
      </w:r>
    </w:p>
    <w:p>
      <w:pPr>
        <w:numPr>
          <w:numId w:val="90"/>
        </w:numPr>
      </w:pPr>
      <w:r>
        <w:t>机构投资者的羊群效应放大了市场的非理性波动</w:t>
      </w:r>
    </w:p>
    <w:p>
      <w:pPr>
        <w:spacing w:lineRule="exact"/>
        <w:jc w:val="left"/>
      </w:pPr>
      <w:r>
        <w:t>10.2 关于市场先生</w:t>
      </w:r>
    </w:p>
    <w:p>
      <w:pPr>
        <w:spacing w:lineRule="exact"/>
        <w:jc w:val="left"/>
      </w:pPr>
      <w:r>
        <w:t>费雪认为市场短期的非理性波动是聪明长期投资者的朋友：</w:t>
      </w:r>
    </w:p>
    <w:p>
      <w:pPr>
        <w:numPr>
          <w:numId w:val="91"/>
        </w:numPr>
      </w:pPr>
      <w:r>
        <w:t>优质公司在市场恐慌时被错杀，是难得的买入机会</w:t>
      </w:r>
    </w:p>
    <w:p>
      <w:pPr>
        <w:numPr>
          <w:numId w:val="92"/>
        </w:numPr>
      </w:pPr>
      <w:r>
        <w:t>不要因市场短期噪音而动摇对优质公司的长期判断</w:t>
      </w:r>
    </w:p>
    <w:p>
      <w:pPr>
        <w:numPr>
          <w:numId w:val="93"/>
        </w:numPr>
      </w:pPr>
      <w:r>
        <w:t>但他也警告：不要以"长期"为借口回避真正的基本面恶化</w:t>
      </w:r>
    </w:p>
    <w:p>
      <w:pPr>
        <w:spacing w:lineRule="exact"/>
        <w:jc w:val="left"/>
      </w:pPr>
      <w:r>
        <w:t>十一、保守投资者"夜夜安眠"的真谛</w:t>
      </w:r>
    </w:p>
    <w:p>
      <w:pPr>
        <w:spacing w:lineRule="exact"/>
        <w:jc w:val="left"/>
      </w:pPr>
      <w:r>
        <w:t>书名的核心含义在最后几章得到了完整诠释：</w:t>
      </w:r>
    </w:p>
    <w:p>
      <w:pPr>
        <w:spacing w:lineRule="exact"/>
        <w:jc w:val="left"/>
      </w:pPr>
      <w:r>
        <w:t>11.1 安眠的条件</w:t>
      </w:r>
    </w:p>
    <w:p>
      <w:pPr>
        <w:spacing w:lineRule="exact"/>
        <w:jc w:val="left"/>
      </w:pPr>
      <w:r>
        <w:t>保守投资者之所以能夜夜安眠，并非因为他们的投资"不会亏损"，而是因为：</w:t>
      </w:r>
    </w:p>
    <w:p>
      <w:pPr>
        <w:spacing w:lineRule="exact"/>
        <w:jc w:val="left"/>
      </w:pPr>
      <w:r>
        <w:t>深度研究带来的确信：他们对持有的每一家公司都有深入的了解，波动不能动摇他们的判断</w:t>
      </w:r>
    </w:p>
    <w:p>
      <w:pPr>
        <w:spacing w:lineRule="exact"/>
        <w:jc w:val="left"/>
      </w:pPr>
      <w:r>
        <w:t>长期视角的平静：短期的市场波动对他们的长期财富创造没有实质影响</w:t>
      </w:r>
    </w:p>
    <w:p>
      <w:pPr>
        <w:spacing w:lineRule="exact"/>
        <w:jc w:val="left"/>
      </w:pPr>
      <w:r>
        <w:t>诚信管理层的托付：他们选择的公司由A类管理层掌舵，不需要每天盯着管理层行为</w:t>
      </w:r>
    </w:p>
    <w:p>
      <w:pPr>
        <w:spacing w:lineRule="exact"/>
        <w:jc w:val="left"/>
      </w:pPr>
      <w:r>
        <w:t>竞争优势的保护：持有的公司有坚实的护城河，不需要担忧竞争对手的突然颠覆</w:t>
      </w:r>
    </w:p>
    <w:p>
      <w:pPr>
        <w:spacing w:lineRule="exact"/>
        <w:jc w:val="left"/>
      </w:pPr>
      <w:r>
        <w:t>11.2 "传统保守"投资者为何睡不好</w:t>
      </w:r>
    </w:p>
    <w:p>
      <w:pPr>
        <w:spacing w:lineRule="exact"/>
        <w:jc w:val="left"/>
      </w:pPr>
      <w:r>
        <w:t>反讽的是，持有"传统保守"资产的投资者反而难以安眠：</w:t>
      </w:r>
    </w:p>
    <w:p>
      <w:pPr>
        <w:numPr>
          <w:numId w:val="94"/>
        </w:numPr>
      </w:pPr>
      <w:r>
        <w:t>债券投资者担心通货膨胀侵蚀购买力</w:t>
      </w:r>
    </w:p>
    <w:p>
      <w:pPr>
        <w:numPr>
          <w:numId w:val="95"/>
        </w:numPr>
      </w:pPr>
      <w:r>
        <w:t>持有大量平庸股票的分散化投资者，既无法深入了解每一家公司，又难以获得超额收益</w:t>
      </w:r>
    </w:p>
    <w:p>
      <w:pPr>
        <w:numPr>
          <w:numId w:val="96"/>
        </w:numPr>
      </w:pPr>
      <w:r>
        <w:t>频繁交易者被每日的市场噪音所困扰</w:t>
      </w:r>
    </w:p>
    <w:p>
      <w:pPr>
        <w:spacing w:lineRule="exact"/>
        <w:jc w:val="left"/>
      </w:pPr>
      <w:r>
        <w:t>11.3 投资哲学的统一</w:t>
      </w:r>
    </w:p>
    <w:p>
      <w:pPr>
        <w:spacing w:lineRule="exact"/>
        <w:jc w:val="left"/>
      </w:pPr>
      <w:r>
        <w:t>费雪最终将全书的逻辑线索收拢：</w:t>
      </w:r>
    </w:p>
    <w:p>
      <w:pPr>
        <w:numPr>
          <w:numId w:val="97"/>
        </w:numPr>
      </w:pPr>
      <w:r>
        <w:t>真正的保守 = 深度研究 + 优质公司 + 合理价格 + 长期持有</w:t>
      </w:r>
    </w:p>
    <w:p>
      <w:pPr>
        <w:numPr>
          <w:numId w:val="98"/>
        </w:numPr>
      </w:pPr>
      <w:r>
        <w:t>这四者缺一不可，共同构成了"夜夜安眠"的基础</w:t>
      </w:r>
    </w:p>
    <w:p>
      <w:pPr>
        <w:numPr>
          <w:numId w:val="99"/>
        </w:numPr>
      </w:pPr>
      <w:r>
        <w:t>投资的最终目标不是击败市场、不是炫耀业绩，而是在合理风险下实现长期财富的持续增值</w:t>
      </w:r>
    </w:p>
    <w:p>
      <w:pPr>
        <w:spacing w:lineRule="exact"/>
        <w:jc w:val="left"/>
      </w:pPr>
      <w:r>
        <w:t>十二、与《怎样选择成长股》的关系与传承</w:t>
      </w:r>
    </w:p>
    <w:p>
      <w:pPr>
        <w:spacing w:lineRule="exact"/>
        <w:jc w:val="left"/>
      </w:pPr>
      <w:r>
        <w:t>12.1 核心框架的延伸</w:t>
      </w:r>
    </w:p>
    <w:p>
      <w:pPr>
        <w:spacing w:lineRule="exact"/>
        <w:jc w:val="left"/>
      </w:pPr>
      <w:r>
        <w:t>《保守的投资者夜夜安眠》是对《怎样选择成长股》中"15条标准"的哲学层面深化：</w:t>
      </w:r>
    </w:p>
    <w:p>
      <w:pPr>
        <w:numPr>
          <w:numId w:val="100"/>
        </w:numPr>
      </w:pPr>
      <w:r>
        <w:t>前书更侧重操作层面：如何找到成长股、具体的调研标准</w:t>
      </w:r>
    </w:p>
    <w:p>
      <w:pPr>
        <w:numPr>
          <w:numId w:val="101"/>
        </w:numPr>
      </w:pPr>
      <w:r>
        <w:t>本书更侧重理念层面：为什么这样做、保守主义的本质是什么</w:t>
      </w:r>
    </w:p>
    <w:p>
      <w:pPr>
        <w:spacing w:lineRule="exact"/>
        <w:jc w:val="left"/>
      </w:pPr>
      <w:r>
        <w:t>12.2 新增的洞见</w:t>
      </w:r>
    </w:p>
    <w:p>
      <w:pPr>
        <w:spacing w:lineRule="exact"/>
        <w:jc w:val="left"/>
      </w:pPr>
      <w:r>
        <w:t>相比前书，本书新增或深化了以下内容：</w:t>
      </w:r>
    </w:p>
    <w:p>
      <w:pPr>
        <w:numPr>
          <w:numId w:val="102"/>
        </w:numPr>
      </w:pPr>
      <w:r>
        <w:t>对通货膨胀与保守主义关系的系统论述</w:t>
      </w:r>
    </w:p>
    <w:p>
      <w:pPr>
        <w:numPr>
          <w:numId w:val="103"/>
        </w:numPr>
      </w:pPr>
      <w:r>
        <w:t>对"四个维度"框架的完整构建</w:t>
      </w:r>
    </w:p>
    <w:p>
      <w:pPr>
        <w:numPr>
          <w:numId w:val="104"/>
        </w:numPr>
      </w:pPr>
      <w:r>
        <w:t>对股息政策的更明确立场</w:t>
      </w:r>
    </w:p>
    <w:p>
      <w:pPr>
        <w:numPr>
          <w:numId w:val="105"/>
        </w:numPr>
      </w:pPr>
      <w:r>
        <w:t>对卖出决策的更深入分析</w:t>
      </w:r>
    </w:p>
    <w:p>
      <w:pPr>
        <w:spacing w:lineRule="exact"/>
        <w:jc w:val="left"/>
      </w:pPr>
      <w:r>
        <w:t>十三、对后世投资思想的影响</w:t>
      </w:r>
    </w:p>
    <w:p>
      <w:pPr>
        <w:spacing w:lineRule="exact"/>
        <w:jc w:val="left"/>
      </w:pPr>
      <w:r>
        <w:t>虽然书中未涉及，但可以从历史角度指出，费雪的这本书对后世产生了深远影响：</w:t>
      </w:r>
    </w:p>
    <w:p>
      <w:pPr>
        <w:numPr>
          <w:numId w:val="106"/>
        </w:numPr>
      </w:pPr>
      <w:r>
        <w:t>巴菲特多次公开表示受到费雪的深刻影响，称自己"85%是格雷厄姆，15%是费雪"（但许多研究者认为费雪的影响更大）</w:t>
      </w:r>
    </w:p>
    <w:p>
      <w:pPr>
        <w:numPr>
          <w:numId w:val="107"/>
        </w:numPr>
      </w:pPr>
      <w:r>
        <w:t>书中关于管理层质量、竞争优势、长期持有的思想，成为现代价值成长投资的核心框架</w:t>
      </w:r>
    </w:p>
    <w:p>
      <w:pPr>
        <w:numPr>
          <w:numId w:val="108"/>
        </w:numPr>
      </w:pPr>
      <w:r>
        <w:t>"PEG估值法"、"护城河"等后来流行的概念，都可以在本书中找到思想源头</w:t>
      </w:r>
    </w:p>
    <w:p>
      <w:pPr>
        <w:spacing w:lineRule="exact"/>
        <w:jc w:val="left"/>
      </w:pPr>
      <w:r>
        <w:t>总结：全书核心论点一览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2500"/>
          </w:tcPr>
          <w:p>
            <w:r>
              <w:t>核心论点</w:t>
            </w:r>
          </w:p>
        </w:tc>
        <w:tc>
          <w:tcPr>
            <w:tcW w:type="pct" w:w="2500"/>
          </w:tcPr>
          <w:p>
            <w:r>
              <w:t>简述</w:t>
            </w:r>
          </w:p>
        </w:tc>
      </w:tr>
      <w:tr>
        <w:tc>
          <w:tcPr>
            <w:tcW w:type="pct" w:w="2500"/>
          </w:tcPr>
          <w:p>
            <w:r>
              <w:t>重新定义保守</w:t>
            </w:r>
          </w:p>
        </w:tc>
        <w:tc>
          <w:tcPr>
            <w:tcW w:type="pct" w:w="2500"/>
          </w:tcPr>
          <w:p>
            <w:r>
              <w:t>保守=保护购买力，而非保护名义本金</w:t>
            </w:r>
          </w:p>
        </w:tc>
      </w:tr>
      <w:tr>
        <w:tc>
          <w:tcPr>
            <w:tcW w:type="pct" w:w="2500"/>
          </w:tcPr>
          <w:p>
            <w:r>
              <w:t>债券的真实风险</w:t>
            </w:r>
          </w:p>
        </w:tc>
        <w:tc>
          <w:tcPr>
            <w:tcW w:type="pct" w:w="2500"/>
          </w:tcPr>
          <w:p>
            <w:r>
              <w:t>通胀使固定收益资产是"慢性亏损"</w:t>
            </w:r>
          </w:p>
        </w:tc>
      </w:tr>
      <w:tr>
        <w:tc>
          <w:tcPr>
            <w:tcW w:type="pct" w:w="2500"/>
          </w:tcPr>
          <w:p>
            <w:r>
              <w:t>四维度框架</w:t>
            </w:r>
          </w:p>
        </w:tc>
        <w:tc>
          <w:tcPr>
            <w:tcW w:type="pct" w:w="2500"/>
          </w:tcPr>
          <w:p>
            <w:r>
              <w:t>产品、管理、企业特质、价格，缺一不可</w:t>
            </w:r>
          </w:p>
        </w:tc>
      </w:tr>
      <w:tr>
        <w:tc>
          <w:tcPr>
            <w:tcW w:type="pct" w:w="2500"/>
          </w:tcPr>
          <w:p>
            <w:r>
              <w:t>管理层第一</w:t>
            </w:r>
          </w:p>
        </w:tc>
        <w:tc>
          <w:tcPr>
            <w:tcW w:type="pct" w:w="2500"/>
          </w:tcPr>
          <w:p>
            <w:r>
              <w:t>人是最重要的变量，诚信是底线</w:t>
            </w:r>
          </w:p>
        </w:tc>
      </w:tr>
      <w:tr>
        <w:tc>
          <w:tcPr>
            <w:tcW w:type="pct" w:w="2500"/>
          </w:tcPr>
          <w:p>
            <w:r>
              <w:t>研发驱动增长</w:t>
            </w:r>
          </w:p>
        </w:tc>
        <w:tc>
          <w:tcPr>
            <w:tcW w:type="pct" w:w="2500"/>
          </w:tcPr>
          <w:p>
            <w:r>
              <w:t>持续创新能力决定企业长期价值</w:t>
            </w:r>
          </w:p>
        </w:tc>
      </w:tr>
      <w:tr>
        <w:tc>
          <w:tcPr>
            <w:tcW w:type="pct" w:w="2500"/>
          </w:tcPr>
          <w:p>
            <w:r>
              <w:t>集中好于分散</w:t>
            </w:r>
          </w:p>
        </w:tc>
        <w:tc>
          <w:tcPr>
            <w:tcW w:type="pct" w:w="2500"/>
          </w:tcPr>
          <w:p>
            <w:r>
              <w:t>了解比分散更重要</w:t>
            </w:r>
          </w:p>
        </w:tc>
      </w:tr>
      <w:tr>
        <w:tc>
          <w:tcPr>
            <w:tcW w:type="pct" w:w="2500"/>
          </w:tcPr>
          <w:p>
            <w:r>
              <w:t>轻易不卖出</w:t>
            </w:r>
          </w:p>
        </w:tc>
        <w:tc>
          <w:tcPr>
            <w:tcW w:type="pct" w:w="2500"/>
          </w:tcPr>
          <w:p>
            <w:r>
              <w:t>复利和税费效应使长期持有威力巨大</w:t>
            </w:r>
          </w:p>
        </w:tc>
      </w:tr>
      <w:tr>
        <w:tc>
          <w:tcPr>
            <w:tcW w:type="pct" w:w="2500"/>
          </w:tcPr>
          <w:p>
            <w:r>
              <w:t>股息非目的</w:t>
            </w:r>
          </w:p>
        </w:tc>
        <w:tc>
          <w:tcPr>
            <w:tcW w:type="pct" w:w="2500"/>
          </w:tcPr>
          <w:p>
            <w:r>
              <w:t>高质量再投资比派发股息更创造价值</w:t>
            </w:r>
          </w:p>
        </w:tc>
      </w:tr>
      <w:tr>
        <w:tc>
          <w:tcPr>
            <w:tcW w:type="pct" w:w="2500"/>
          </w:tcPr>
          <w:p>
            <w:r>
              <w:t>闲聊法</w:t>
            </w:r>
          </w:p>
        </w:tc>
        <w:tc>
          <w:tcPr>
            <w:tcW w:type="pct" w:w="2500"/>
          </w:tcPr>
          <w:p>
            <w:r>
              <w:t>多方交叉调研是获取真实信息的最佳途径</w:t>
            </w:r>
          </w:p>
        </w:tc>
      </w:tr>
      <w:tr>
        <w:tc>
          <w:tcPr>
            <w:tcW w:type="pct" w:w="2500"/>
          </w:tcPr>
          <w:p>
            <w:r>
              <w:t>安眠的真谛</w:t>
            </w:r>
          </w:p>
        </w:tc>
        <w:tc>
          <w:tcPr>
            <w:tcW w:type="pct" w:w="2500"/>
          </w:tcPr>
          <w:p>
            <w:r>
              <w:t>深度研究+优质公司+合理价格+长期持有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1">
    <w:lvl>
      <w:numFmt w:val="bullet"/>
      <w:lvlText w:val="•"/>
    </w:lvl>
  </w:abstractNum>
  <w:abstractNum w:abstractNumId="2">
    <w:lvl>
      <w:numFmt w:val="bullet"/>
      <w:lvlText w:val="•"/>
    </w:lvl>
  </w:abstractNum>
  <w:abstractNum w:abstractNumId="3">
    <w:lvl>
      <w:numFmt w:val="bullet"/>
      <w:lvlText w:val="•"/>
    </w:lvl>
  </w:abstractNum>
  <w:abstractNum w:abstractNumId="4">
    <w:lvl>
      <w:numFmt w:val="bullet"/>
      <w:lvlText w:val="•"/>
    </w:lvl>
  </w:abstractNum>
  <w:abstractNum w:abstractNumId="5">
    <w:lvl>
      <w:numFmt w:val="bullet"/>
      <w:lvlText w:val="•"/>
    </w:lvl>
  </w:abstractNum>
  <w:abstractNum w:abstractNumId="6">
    <w:lvl>
      <w:numFmt w:val="bullet"/>
      <w:lvlText w:val="•"/>
    </w:lvl>
  </w:abstractNum>
  <w:abstractNum w:abstractNumId="7">
    <w:lvl>
      <w:numFmt w:val="bullet"/>
      <w:lvlText w:val="•"/>
    </w:lvl>
  </w:abstractNum>
  <w:abstractNum w:abstractNumId="8">
    <w:lvl>
      <w:numFmt w:val="bullet"/>
      <w:lvlText w:val="•"/>
    </w:lvl>
  </w:abstractNum>
  <w:abstractNum w:abstractNumId="9">
    <w:lvl>
      <w:numFmt w:val="bullet"/>
      <w:lvlText w:val="•"/>
    </w:lvl>
  </w:abstractNum>
  <w:abstractNum w:abstractNumId="10">
    <w:lvl>
      <w:numFmt w:val="bullet"/>
      <w:lvlText w:val="•"/>
    </w:lvl>
  </w:abstractNum>
  <w:abstractNum w:abstractNumId="11">
    <w:lvl>
      <w:numFmt w:val="bullet"/>
      <w:lvlText w:val="•"/>
    </w:lvl>
  </w:abstractNum>
  <w:abstractNum w:abstractNumId="12">
    <w:lvl>
      <w:numFmt w:val="bullet"/>
      <w:lvlText w:val="•"/>
    </w:lvl>
  </w:abstractNum>
  <w:abstractNum w:abstractNumId="13">
    <w:lvl>
      <w:numFmt w:val="bullet"/>
      <w:lvlText w:val="•"/>
    </w:lvl>
  </w:abstractNum>
  <w:abstractNum w:abstractNumId="14">
    <w:lvl>
      <w:numFmt w:val="bullet"/>
      <w:lvlText w:val="•"/>
    </w:lvl>
  </w:abstractNum>
  <w:abstractNum w:abstractNumId="15">
    <w:lvl>
      <w:numFmt w:val="bullet"/>
      <w:lvlText w:val="•"/>
    </w:lvl>
  </w:abstractNum>
  <w:abstractNum w:abstractNumId="16">
    <w:lvl>
      <w:numFmt w:val="bullet"/>
      <w:lvlText w:val="•"/>
    </w:lvl>
  </w:abstractNum>
  <w:abstractNum w:abstractNumId="17">
    <w:lvl>
      <w:numFmt w:val="bullet"/>
      <w:lvlText w:val="•"/>
    </w:lvl>
  </w:abstractNum>
  <w:abstractNum w:abstractNumId="18">
    <w:lvl>
      <w:numFmt w:val="bullet"/>
      <w:lvlText w:val="•"/>
    </w:lvl>
  </w:abstractNum>
  <w:abstractNum w:abstractNumId="19">
    <w:lvl>
      <w:numFmt w:val="bullet"/>
      <w:lvlText w:val="•"/>
    </w:lvl>
  </w:abstractNum>
  <w:abstractNum w:abstractNumId="20">
    <w:lvl>
      <w:numFmt w:val="bullet"/>
      <w:lvlText w:val="•"/>
    </w:lvl>
  </w:abstractNum>
  <w:abstractNum w:abstractNumId="21">
    <w:lvl>
      <w:numFmt w:val="bullet"/>
      <w:lvlText w:val="•"/>
    </w:lvl>
  </w:abstractNum>
  <w:abstractNum w:abstractNumId="22">
    <w:lvl>
      <w:numFmt w:val="bullet"/>
      <w:lvlText w:val="•"/>
    </w:lvl>
  </w:abstractNum>
  <w:abstractNum w:abstractNumId="23">
    <w:lvl>
      <w:numFmt w:val="bullet"/>
      <w:lvlText w:val="•"/>
    </w:lvl>
  </w:abstractNum>
  <w:abstractNum w:abstractNumId="24">
    <w:lvl>
      <w:numFmt w:val="bullet"/>
      <w:lvlText w:val="•"/>
    </w:lvl>
  </w:abstractNum>
  <w:abstractNum w:abstractNumId="25">
    <w:lvl>
      <w:numFmt w:val="bullet"/>
      <w:lvlText w:val="•"/>
    </w:lvl>
  </w:abstractNum>
  <w:abstractNum w:abstractNumId="26">
    <w:lvl>
      <w:numFmt w:val="bullet"/>
      <w:lvlText w:val="•"/>
    </w:lvl>
  </w:abstractNum>
  <w:abstractNum w:abstractNumId="27">
    <w:lvl>
      <w:numFmt w:val="bullet"/>
      <w:lvlText w:val="•"/>
    </w:lvl>
  </w:abstractNum>
  <w:abstractNum w:abstractNumId="28">
    <w:lvl>
      <w:numFmt w:val="bullet"/>
      <w:lvlText w:val="•"/>
    </w:lvl>
  </w:abstractNum>
  <w:abstractNum w:abstractNumId="29">
    <w:lvl>
      <w:numFmt w:val="bullet"/>
      <w:lvlText w:val="•"/>
    </w:lvl>
  </w:abstractNum>
  <w:abstractNum w:abstractNumId="30">
    <w:lvl>
      <w:numFmt w:val="bullet"/>
      <w:lvlText w:val="•"/>
    </w:lvl>
  </w:abstractNum>
  <w:abstractNum w:abstractNumId="31">
    <w:lvl>
      <w:numFmt w:val="bullet"/>
      <w:lvlText w:val="•"/>
    </w:lvl>
  </w:abstractNum>
  <w:abstractNum w:abstractNumId="32">
    <w:lvl>
      <w:numFmt w:val="bullet"/>
      <w:lvlText w:val="•"/>
    </w:lvl>
  </w:abstractNum>
  <w:abstractNum w:abstractNumId="33">
    <w:lvl>
      <w:numFmt w:val="bullet"/>
      <w:lvlText w:val="•"/>
    </w:lvl>
  </w:abstractNum>
  <w:abstractNum w:abstractNumId="34">
    <w:lvl>
      <w:numFmt w:val="bullet"/>
      <w:lvlText w:val="•"/>
    </w:lvl>
  </w:abstractNum>
  <w:abstractNum w:abstractNumId="35">
    <w:lvl>
      <w:numFmt w:val="bullet"/>
      <w:lvlText w:val="•"/>
    </w:lvl>
  </w:abstractNum>
  <w:abstractNum w:abstractNumId="36">
    <w:lvl>
      <w:numFmt w:val="bullet"/>
      <w:lvlText w:val="•"/>
    </w:lvl>
  </w:abstractNum>
  <w:abstractNum w:abstractNumId="37">
    <w:lvl>
      <w:numFmt w:val="bullet"/>
      <w:lvlText w:val="•"/>
    </w:lvl>
  </w:abstractNum>
  <w:abstractNum w:abstractNumId="38">
    <w:lvl>
      <w:numFmt w:val="bullet"/>
      <w:lvlText w:val="•"/>
    </w:lvl>
  </w:abstractNum>
  <w:abstractNum w:abstractNumId="39">
    <w:lvl>
      <w:numFmt w:val="bullet"/>
      <w:lvlText w:val="•"/>
    </w:lvl>
  </w:abstractNum>
  <w:abstractNum w:abstractNumId="40">
    <w:lvl>
      <w:numFmt w:val="bullet"/>
      <w:lvlText w:val="•"/>
    </w:lvl>
  </w:abstractNum>
  <w:abstractNum w:abstractNumId="41">
    <w:lvl>
      <w:numFmt w:val="bullet"/>
      <w:lvlText w:val="•"/>
    </w:lvl>
  </w:abstractNum>
  <w:abstractNum w:abstractNumId="42">
    <w:lvl>
      <w:numFmt w:val="bullet"/>
      <w:lvlText w:val="•"/>
    </w:lvl>
  </w:abstractNum>
  <w:abstractNum w:abstractNumId="43">
    <w:lvl>
      <w:numFmt w:val="bullet"/>
      <w:lvlText w:val="•"/>
    </w:lvl>
  </w:abstractNum>
  <w:abstractNum w:abstractNumId="44">
    <w:lvl>
      <w:numFmt w:val="bullet"/>
      <w:lvlText w:val="•"/>
    </w:lvl>
  </w:abstractNum>
  <w:abstractNum w:abstractNumId="45">
    <w:lvl>
      <w:numFmt w:val="bullet"/>
      <w:lvlText w:val="•"/>
    </w:lvl>
  </w:abstractNum>
  <w:abstractNum w:abstractNumId="46">
    <w:lvl>
      <w:numFmt w:val="bullet"/>
      <w:lvlText w:val="•"/>
    </w:lvl>
  </w:abstractNum>
  <w:abstractNum w:abstractNumId="47">
    <w:lvl>
      <w:numFmt w:val="bullet"/>
      <w:lvlText w:val="•"/>
    </w:lvl>
  </w:abstractNum>
  <w:abstractNum w:abstractNumId="48">
    <w:lvl>
      <w:numFmt w:val="bullet"/>
      <w:lvlText w:val="•"/>
    </w:lvl>
  </w:abstractNum>
  <w:abstractNum w:abstractNumId="49">
    <w:lvl>
      <w:numFmt w:val="bullet"/>
      <w:lvlText w:val="•"/>
    </w:lvl>
  </w:abstractNum>
  <w:abstractNum w:abstractNumId="50">
    <w:lvl>
      <w:numFmt w:val="bullet"/>
      <w:lvlText w:val="•"/>
    </w:lvl>
  </w:abstractNum>
  <w:abstractNum w:abstractNumId="51">
    <w:lvl>
      <w:numFmt w:val="bullet"/>
      <w:lvlText w:val="•"/>
    </w:lvl>
  </w:abstractNum>
  <w:abstractNum w:abstractNumId="52">
    <w:lvl>
      <w:numFmt w:val="bullet"/>
      <w:lvlText w:val="•"/>
    </w:lvl>
  </w:abstractNum>
  <w:abstractNum w:abstractNumId="53">
    <w:lvl>
      <w:numFmt w:val="bullet"/>
      <w:lvlText w:val="•"/>
    </w:lvl>
  </w:abstractNum>
  <w:abstractNum w:abstractNumId="54">
    <w:lvl>
      <w:numFmt w:val="bullet"/>
      <w:lvlText w:val="•"/>
    </w:lvl>
  </w:abstractNum>
  <w:abstractNum w:abstractNumId="55">
    <w:lvl>
      <w:numFmt w:val="bullet"/>
      <w:lvlText w:val="•"/>
    </w:lvl>
  </w:abstractNum>
  <w:abstractNum w:abstractNumId="56">
    <w:lvl>
      <w:numFmt w:val="bullet"/>
      <w:lvlText w:val="•"/>
    </w:lvl>
  </w:abstractNum>
  <w:abstractNum w:abstractNumId="57">
    <w:lvl>
      <w:numFmt w:val="bullet"/>
      <w:lvlText w:val="•"/>
    </w:lvl>
  </w:abstractNum>
  <w:abstractNum w:abstractNumId="58">
    <w:lvl>
      <w:numFmt w:val="bullet"/>
      <w:lvlText w:val="•"/>
    </w:lvl>
  </w:abstractNum>
  <w:abstractNum w:abstractNumId="59">
    <w:lvl>
      <w:numFmt w:val="bullet"/>
      <w:lvlText w:val="•"/>
    </w:lvl>
  </w:abstractNum>
  <w:abstractNum w:abstractNumId="60">
    <w:lvl>
      <w:numFmt w:val="bullet"/>
      <w:lvlText w:val="•"/>
    </w:lvl>
  </w:abstractNum>
  <w:abstractNum w:abstractNumId="61">
    <w:lvl>
      <w:numFmt w:val="bullet"/>
      <w:lvlText w:val="•"/>
    </w:lvl>
  </w:abstractNum>
  <w:abstractNum w:abstractNumId="62">
    <w:lvl>
      <w:numFmt w:val="bullet"/>
      <w:lvlText w:val="•"/>
    </w:lvl>
  </w:abstractNum>
  <w:abstractNum w:abstractNumId="63">
    <w:lvl>
      <w:numFmt w:val="bullet"/>
      <w:lvlText w:val="•"/>
    </w:lvl>
  </w:abstractNum>
  <w:abstractNum w:abstractNumId="64">
    <w:lvl>
      <w:numFmt w:val="bullet"/>
      <w:lvlText w:val="•"/>
    </w:lvl>
  </w:abstractNum>
  <w:abstractNum w:abstractNumId="65">
    <w:lvl>
      <w:numFmt w:val="bullet"/>
      <w:lvlText w:val="•"/>
    </w:lvl>
  </w:abstractNum>
  <w:abstractNum w:abstractNumId="66">
    <w:lvl>
      <w:numFmt w:val="bullet"/>
      <w:lvlText w:val="•"/>
    </w:lvl>
  </w:abstractNum>
  <w:abstractNum w:abstractNumId="67">
    <w:lvl>
      <w:numFmt w:val="bullet"/>
      <w:lvlText w:val="•"/>
    </w:lvl>
  </w:abstractNum>
  <w:abstractNum w:abstractNumId="68">
    <w:lvl>
      <w:numFmt w:val="bullet"/>
      <w:lvlText w:val="•"/>
    </w:lvl>
  </w:abstractNum>
  <w:abstractNum w:abstractNumId="69">
    <w:lvl>
      <w:numFmt w:val="bullet"/>
      <w:lvlText w:val="•"/>
    </w:lvl>
  </w:abstractNum>
  <w:abstractNum w:abstractNumId="70">
    <w:lvl>
      <w:numFmt w:val="bullet"/>
      <w:lvlText w:val="•"/>
    </w:lvl>
  </w:abstractNum>
  <w:abstractNum w:abstractNumId="71">
    <w:lvl>
      <w:numFmt w:val="bullet"/>
      <w:lvlText w:val="•"/>
    </w:lvl>
  </w:abstractNum>
  <w:abstractNum w:abstractNumId="72">
    <w:lvl>
      <w:numFmt w:val="bullet"/>
      <w:lvlText w:val="•"/>
    </w:lvl>
  </w:abstractNum>
  <w:abstractNum w:abstractNumId="73">
    <w:lvl>
      <w:numFmt w:val="bullet"/>
      <w:lvlText w:val="•"/>
    </w:lvl>
  </w:abstractNum>
  <w:abstractNum w:abstractNumId="74">
    <w:lvl>
      <w:numFmt w:val="bullet"/>
      <w:lvlText w:val="•"/>
    </w:lvl>
  </w:abstractNum>
  <w:abstractNum w:abstractNumId="75">
    <w:lvl>
      <w:numFmt w:val="bullet"/>
      <w:lvlText w:val="•"/>
    </w:lvl>
  </w:abstractNum>
  <w:abstractNum w:abstractNumId="76">
    <w:lvl>
      <w:numFmt w:val="bullet"/>
      <w:lvlText w:val="•"/>
    </w:lvl>
  </w:abstractNum>
  <w:abstractNum w:abstractNumId="77">
    <w:lvl>
      <w:numFmt w:val="bullet"/>
      <w:lvlText w:val="•"/>
    </w:lvl>
  </w:abstractNum>
  <w:abstractNum w:abstractNumId="78">
    <w:lvl>
      <w:numFmt w:val="bullet"/>
      <w:lvlText w:val="•"/>
    </w:lvl>
  </w:abstractNum>
  <w:abstractNum w:abstractNumId="79">
    <w:lvl>
      <w:numFmt w:val="bullet"/>
      <w:lvlText w:val="•"/>
    </w:lvl>
  </w:abstractNum>
  <w:abstractNum w:abstractNumId="80">
    <w:lvl>
      <w:numFmt w:val="bullet"/>
      <w:lvlText w:val="•"/>
    </w:lvl>
  </w:abstractNum>
  <w:abstractNum w:abstractNumId="81">
    <w:lvl>
      <w:numFmt w:val="bullet"/>
      <w:lvlText w:val="•"/>
    </w:lvl>
  </w:abstractNum>
  <w:abstractNum w:abstractNumId="82">
    <w:lvl>
      <w:numFmt w:val="bullet"/>
      <w:lvlText w:val="•"/>
    </w:lvl>
  </w:abstractNum>
  <w:abstractNum w:abstractNumId="83">
    <w:lvl>
      <w:numFmt w:val="bullet"/>
      <w:lvlText w:val="•"/>
    </w:lvl>
  </w:abstractNum>
  <w:abstractNum w:abstractNumId="84">
    <w:lvl>
      <w:numFmt w:val="bullet"/>
      <w:lvlText w:val="•"/>
    </w:lvl>
  </w:abstractNum>
  <w:abstractNum w:abstractNumId="85">
    <w:lvl>
      <w:numFmt w:val="bullet"/>
      <w:lvlText w:val="•"/>
    </w:lvl>
  </w:abstractNum>
  <w:abstractNum w:abstractNumId="86">
    <w:lvl>
      <w:numFmt w:val="bullet"/>
      <w:lvlText w:val="•"/>
    </w:lvl>
  </w:abstractNum>
  <w:abstractNum w:abstractNumId="87">
    <w:lvl>
      <w:numFmt w:val="bullet"/>
      <w:lvlText w:val="•"/>
    </w:lvl>
  </w:abstractNum>
  <w:abstractNum w:abstractNumId="88">
    <w:lvl>
      <w:numFmt w:val="bullet"/>
      <w:lvlText w:val="•"/>
    </w:lvl>
  </w:abstractNum>
  <w:abstractNum w:abstractNumId="89">
    <w:lvl>
      <w:numFmt w:val="bullet"/>
      <w:lvlText w:val="•"/>
    </w:lvl>
  </w:abstractNum>
  <w:abstractNum w:abstractNumId="90">
    <w:lvl>
      <w:numFmt w:val="bullet"/>
      <w:lvlText w:val="•"/>
    </w:lvl>
  </w:abstractNum>
  <w:abstractNum w:abstractNumId="91">
    <w:lvl>
      <w:numFmt w:val="bullet"/>
      <w:lvlText w:val="•"/>
    </w:lvl>
  </w:abstractNum>
  <w:abstractNum w:abstractNumId="92">
    <w:lvl>
      <w:numFmt w:val="bullet"/>
      <w:lvlText w:val="•"/>
    </w:lvl>
  </w:abstractNum>
  <w:abstractNum w:abstractNumId="93">
    <w:lvl>
      <w:numFmt w:val="bullet"/>
      <w:lvlText w:val="•"/>
    </w:lvl>
  </w:abstractNum>
  <w:abstractNum w:abstractNumId="94">
    <w:lvl>
      <w:numFmt w:val="bullet"/>
      <w:lvlText w:val="•"/>
    </w:lvl>
  </w:abstractNum>
  <w:abstractNum w:abstractNumId="95">
    <w:lvl>
      <w:numFmt w:val="bullet"/>
      <w:lvlText w:val="•"/>
    </w:lvl>
  </w:abstractNum>
  <w:abstractNum w:abstractNumId="96">
    <w:lvl>
      <w:numFmt w:val="bullet"/>
      <w:lvlText w:val="•"/>
    </w:lvl>
  </w:abstractNum>
  <w:abstractNum w:abstractNumId="97">
    <w:lvl>
      <w:numFmt w:val="bullet"/>
      <w:lvlText w:val="•"/>
    </w:lvl>
  </w:abstractNum>
  <w:abstractNum w:abstractNumId="98">
    <w:lvl>
      <w:numFmt w:val="bullet"/>
      <w:lvlText w:val="•"/>
    </w:lvl>
  </w:abstractNum>
  <w:abstractNum w:abstractNumId="99">
    <w:lvl>
      <w:numFmt w:val="bullet"/>
      <w:lvlText w:val="•"/>
    </w:lvl>
  </w:abstractNum>
  <w:abstractNum w:abstractNumId="100">
    <w:lvl>
      <w:numFmt w:val="bullet"/>
      <w:lvlText w:val="•"/>
    </w:lvl>
  </w:abstractNum>
  <w:abstractNum w:abstractNumId="101">
    <w:lvl>
      <w:numFmt w:val="bullet"/>
      <w:lvlText w:val="•"/>
    </w:lvl>
  </w:abstractNum>
  <w:abstractNum w:abstractNumId="102">
    <w:lvl>
      <w:numFmt w:val="bullet"/>
      <w:lvlText w:val="•"/>
    </w:lvl>
  </w:abstractNum>
  <w:abstractNum w:abstractNumId="103">
    <w:lvl>
      <w:numFmt w:val="bullet"/>
      <w:lvlText w:val="•"/>
    </w:lvl>
  </w:abstractNum>
  <w:abstractNum w:abstractNumId="104">
    <w:lvl>
      <w:numFmt w:val="bullet"/>
      <w:lvlText w:val="•"/>
    </w:lvl>
  </w:abstractNum>
  <w:abstractNum w:abstractNumId="105">
    <w:lvl>
      <w:numFmt w:val="bullet"/>
      <w:lvlText w:val="•"/>
    </w:lvl>
  </w:abstractNum>
  <w:abstractNum w:abstractNumId="106">
    <w:lvl>
      <w:numFmt w:val="bullet"/>
      <w:lvlText w:val="•"/>
    </w:lvl>
  </w:abstractNum>
  <w:abstractNum w:abstractNumId="107">
    <w:lvl>
      <w:numFmt w:val="bullet"/>
      <w:lvlText w:val="•"/>
    </w:lvl>
  </w:abstractNum>
  <w:abstractNum w:abstractNumId="108">
    <w:lvl>
      <w:numFmt w:val="bullet"/>
      <w:lvlText w:val="•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2026-04-11T04:36:12Z</dcterms:created>
  <dc:creator>Apache POI</dc:creator>
</cp:coreProperties>
</file>