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ind w:firstLine="872"/>
        <w:jc w:val="left"/>
        <w:rPr>
          <w:rFonts w:ascii="方正小标宋简体" w:hAnsi="黑体" w:eastAsia="方正小标宋简体"/>
          <w:sz w:val="44"/>
          <w:szCs w:val="44"/>
        </w:rPr>
      </w:pPr>
    </w:p>
    <w:p>
      <w:pPr>
        <w:widowControl/>
        <w:ind w:firstLine="872"/>
        <w:jc w:val="left"/>
        <w:rPr>
          <w:rFonts w:ascii="方正小标宋简体" w:hAnsi="黑体" w:eastAsia="方正小标宋简体"/>
          <w:sz w:val="44"/>
          <w:szCs w:val="44"/>
        </w:rPr>
      </w:pPr>
    </w:p>
    <w:p>
      <w:pPr>
        <w:widowControl/>
        <w:ind w:firstLine="872"/>
        <w:jc w:val="left"/>
        <w:rPr>
          <w:rFonts w:ascii="方正小标宋简体" w:hAnsi="黑体" w:eastAsia="方正小标宋简体"/>
          <w:sz w:val="44"/>
          <w:szCs w:val="44"/>
        </w:rPr>
      </w:pPr>
    </w:p>
    <w:p>
      <w:pPr>
        <w:widowControl/>
        <w:spacing w:line="700" w:lineRule="exact"/>
        <w:ind w:firstLine="872"/>
        <w:jc w:val="center"/>
        <w:rPr>
          <w:rFonts w:ascii="方正小标宋简体" w:hAnsi="黑体" w:eastAsia="方正小标宋简体"/>
          <w:sz w:val="44"/>
          <w:szCs w:val="44"/>
        </w:rPr>
      </w:pPr>
      <w:r>
        <w:rPr>
          <w:rFonts w:hint="eastAsia" w:ascii="方正小标宋简体" w:hAnsi="黑体" w:eastAsia="方正小标宋简体"/>
          <w:sz w:val="44"/>
          <w:szCs w:val="44"/>
        </w:rPr>
        <w:t>跨平台智能算法模型转化工具技术方案</w:t>
      </w:r>
    </w:p>
    <w:p>
      <w:pPr>
        <w:widowControl/>
        <w:jc w:val="left"/>
        <w:rPr>
          <w:sz w:val="32"/>
          <w:szCs w:val="32"/>
        </w:rPr>
      </w:pPr>
    </w:p>
    <w:p>
      <w:pPr>
        <w:widowControl/>
        <w:jc w:val="left"/>
        <w:rPr>
          <w:sz w:val="32"/>
          <w:szCs w:val="32"/>
        </w:rPr>
      </w:pPr>
    </w:p>
    <w:p>
      <w:pPr>
        <w:widowControl/>
        <w:jc w:val="left"/>
        <w:rPr>
          <w:sz w:val="32"/>
          <w:szCs w:val="32"/>
        </w:rPr>
      </w:pPr>
    </w:p>
    <w:p>
      <w:pPr>
        <w:widowControl/>
        <w:jc w:val="left"/>
        <w:rPr>
          <w:sz w:val="32"/>
          <w:szCs w:val="32"/>
        </w:rPr>
      </w:pPr>
    </w:p>
    <w:p>
      <w:pPr>
        <w:pStyle w:val="2"/>
        <w:rPr>
          <w:sz w:val="32"/>
          <w:szCs w:val="32"/>
        </w:rPr>
      </w:pPr>
    </w:p>
    <w:p>
      <w:pPr>
        <w:pStyle w:val="2"/>
        <w:rPr>
          <w:sz w:val="32"/>
          <w:szCs w:val="32"/>
        </w:rPr>
      </w:pPr>
    </w:p>
    <w:p>
      <w:pPr>
        <w:pStyle w:val="2"/>
        <w:rPr>
          <w:sz w:val="32"/>
          <w:szCs w:val="32"/>
        </w:rPr>
      </w:pPr>
    </w:p>
    <w:p>
      <w:pPr>
        <w:widowControl/>
        <w:ind w:firstLine="0" w:firstLineChars="0"/>
        <w:jc w:val="left"/>
        <w:rPr>
          <w:sz w:val="32"/>
          <w:szCs w:val="32"/>
        </w:rPr>
      </w:pPr>
    </w:p>
    <w:p>
      <w:pPr>
        <w:pStyle w:val="2"/>
        <w:ind w:firstLine="0" w:firstLineChars="0"/>
        <w:rPr>
          <w:sz w:val="32"/>
          <w:szCs w:val="32"/>
        </w:rPr>
      </w:pPr>
    </w:p>
    <w:p>
      <w:pPr>
        <w:widowControl/>
        <w:ind w:firstLine="0" w:firstLineChars="0"/>
        <w:jc w:val="left"/>
        <w:rPr>
          <w:sz w:val="32"/>
          <w:szCs w:val="32"/>
        </w:rPr>
      </w:pPr>
    </w:p>
    <w:p>
      <w:pPr>
        <w:widowControl/>
        <w:ind w:firstLine="712"/>
        <w:jc w:val="center"/>
        <w:rPr>
          <w:rFonts w:hint="eastAsia" w:ascii="楷体_GB2312" w:eastAsia="楷体_GB2312"/>
          <w:sz w:val="36"/>
          <w:szCs w:val="36"/>
        </w:rPr>
      </w:pPr>
      <w:r>
        <w:rPr>
          <w:rFonts w:hint="eastAsia" w:ascii="楷体_GB2312" w:eastAsia="楷体_GB2312"/>
          <w:sz w:val="36"/>
          <w:szCs w:val="36"/>
          <w:lang w:val="en-US" w:eastAsia="zh-CN"/>
        </w:rPr>
        <w:t>西南交通大学</w:t>
      </w:r>
    </w:p>
    <w:p>
      <w:pPr>
        <w:pStyle w:val="2"/>
      </w:pPr>
    </w:p>
    <w:p>
      <w:pPr>
        <w:pStyle w:val="2"/>
        <w:jc w:val="center"/>
        <w:rPr>
          <w:rFonts w:hint="default" w:ascii="楷体_GB2312" w:hAnsi="仿宋" w:eastAsia="楷体_GB2312" w:cs="仿宋"/>
          <w:kern w:val="2"/>
          <w:sz w:val="36"/>
          <w:szCs w:val="36"/>
          <w:lang w:val="en-US" w:eastAsia="zh-CN" w:bidi="ar-SA"/>
        </w:rPr>
        <w:sectPr>
          <w:headerReference r:id="rId6" w:type="first"/>
          <w:footerReference r:id="rId9" w:type="first"/>
          <w:footerReference r:id="rId7" w:type="default"/>
          <w:headerReference r:id="rId5" w:type="even"/>
          <w:footerReference r:id="rId8" w:type="even"/>
          <w:pgSz w:w="11907" w:h="16840"/>
          <w:pgMar w:top="2098" w:right="1474" w:bottom="1814" w:left="1587" w:header="851" w:footer="1607" w:gutter="0"/>
          <w:cols w:space="720" w:num="1"/>
          <w:docGrid w:type="linesAndChars" w:linePitch="586" w:charSpace="-842"/>
        </w:sectPr>
      </w:pPr>
      <w:r>
        <w:rPr>
          <w:rFonts w:hint="eastAsia" w:ascii="楷体_GB2312" w:hAnsi="仿宋" w:eastAsia="楷体_GB2312" w:cs="仿宋"/>
          <w:kern w:val="2"/>
          <w:sz w:val="36"/>
          <w:szCs w:val="36"/>
          <w:lang w:val="en-US" w:eastAsia="zh-CN" w:bidi="ar-SA"/>
        </w:rPr>
        <w:t>2025年</w:t>
      </w:r>
      <w:r>
        <w:rPr>
          <w:rFonts w:hint="eastAsia" w:ascii="楷体_GB2312" w:eastAsia="楷体_GB2312" w:cs="仿宋"/>
          <w:kern w:val="2"/>
          <w:sz w:val="36"/>
          <w:szCs w:val="36"/>
          <w:lang w:val="en-US" w:eastAsia="zh-CN" w:bidi="ar-SA"/>
        </w:rPr>
        <w:t>10</w:t>
      </w:r>
      <w:r>
        <w:rPr>
          <w:rFonts w:hint="eastAsia" w:ascii="楷体_GB2312" w:hAnsi="仿宋" w:eastAsia="楷体_GB2312" w:cs="仿宋"/>
          <w:kern w:val="2"/>
          <w:sz w:val="36"/>
          <w:szCs w:val="36"/>
          <w:lang w:val="en-US" w:eastAsia="zh-CN" w:bidi="ar-SA"/>
        </w:rPr>
        <w:t>月</w:t>
      </w:r>
      <w:r>
        <w:rPr>
          <w:rFonts w:hint="eastAsia" w:ascii="楷体_GB2312" w:eastAsia="楷体_GB2312" w:cs="仿宋"/>
          <w:kern w:val="2"/>
          <w:sz w:val="36"/>
          <w:szCs w:val="36"/>
          <w:lang w:val="en-US" w:eastAsia="zh" w:bidi="ar-SA"/>
        </w:rPr>
        <w:t>25</w:t>
      </w:r>
      <w:r>
        <w:rPr>
          <w:rFonts w:hint="eastAsia" w:ascii="楷体_GB2312" w:hAnsi="仿宋" w:eastAsia="楷体_GB2312" w:cs="仿宋"/>
          <w:kern w:val="2"/>
          <w:sz w:val="36"/>
          <w:szCs w:val="36"/>
          <w:lang w:val="en-US" w:eastAsia="zh-CN" w:bidi="ar-SA"/>
        </w:rPr>
        <w:t>日</w:t>
      </w:r>
    </w:p>
    <w:sdt>
      <w:sdtPr>
        <w:rPr>
          <w:rFonts w:ascii="宋体" w:hAnsi="宋体" w:eastAsia="宋体"/>
          <w:b/>
          <w:bCs/>
        </w:rPr>
        <w:id w:val="140857531"/>
        <w15:color w:val="DBDBDB"/>
        <w:docPartObj>
          <w:docPartGallery w:val="Table of Contents"/>
          <w:docPartUnique/>
        </w:docPartObj>
      </w:sdtPr>
      <w:sdtEndPr>
        <w:rPr>
          <w:rFonts w:ascii="仿宋_GB2312" w:hAnsi="仿宋" w:eastAsia="仿宋_GB2312"/>
          <w:b/>
          <w:bCs/>
          <w:szCs w:val="32"/>
        </w:rPr>
      </w:sdtEndPr>
      <w:sdtContent>
        <w:p>
          <w:pPr>
            <w:spacing w:line="360" w:lineRule="auto"/>
            <w:ind w:firstLine="0" w:firstLineChars="0"/>
            <w:jc w:val="center"/>
            <w:rPr>
              <w:b/>
              <w:bCs/>
            </w:rPr>
          </w:pPr>
          <w:r>
            <w:rPr>
              <w:rFonts w:hint="eastAsia" w:hAnsi="宋体"/>
              <w:b/>
              <w:bCs/>
            </w:rPr>
            <w:t>目录</w:t>
          </w:r>
        </w:p>
        <w:p>
          <w:pPr>
            <w:pStyle w:val="17"/>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TOC \o "1-3" \f \h \u </w:instrText>
          </w:r>
          <w:r>
            <w:fldChar w:fldCharType="separate"/>
          </w:r>
          <w:r>
            <w:fldChar w:fldCharType="begin"/>
          </w:r>
          <w:r>
            <w:instrText xml:space="preserve"> HYPERLINK \l _Toc1104178134 </w:instrText>
          </w:r>
          <w:r>
            <w:fldChar w:fldCharType="separate"/>
          </w:r>
          <w:r>
            <w:rPr>
              <w:rFonts w:hint="default" w:ascii="楷体_GB2312" w:hAnsi="楷体_GB2312" w:eastAsia="楷体_GB2312" w:cs="楷体_GB2312"/>
              <w:szCs w:val="32"/>
              <w:lang w:val="en-US" w:eastAsia="zh-CN"/>
            </w:rPr>
            <w:t xml:space="preserve">1. </w:t>
          </w:r>
          <w:r>
            <w:rPr>
              <w:rFonts w:hint="eastAsia" w:ascii="楷体_GB2312" w:hAnsi="楷体_GB2312" w:eastAsia="楷体_GB2312" w:cs="楷体_GB2312"/>
              <w:szCs w:val="32"/>
              <w:lang w:val="en-US" w:eastAsia="zh-CN"/>
            </w:rPr>
            <w:t>基本情况</w:t>
          </w:r>
          <w:r>
            <w:tab/>
          </w:r>
          <w:r>
            <w:fldChar w:fldCharType="begin"/>
          </w:r>
          <w:r>
            <w:instrText xml:space="preserve"> PAGEREF _Toc1104178134 \h </w:instrText>
          </w:r>
          <w:r>
            <w:fldChar w:fldCharType="separate"/>
          </w:r>
          <w:r>
            <w:t>1</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_Toc1515704411 </w:instrText>
          </w:r>
          <w:r>
            <w:fldChar w:fldCharType="separate"/>
          </w:r>
          <w:r>
            <w:rPr>
              <w:rFonts w:hint="default" w:ascii="楷体_GB2312" w:hAnsi="楷体_GB2312" w:eastAsia="楷体_GB2312" w:cs="楷体_GB2312"/>
              <w:szCs w:val="32"/>
              <w:lang w:val="en-US" w:eastAsia="zh-CN"/>
            </w:rPr>
            <w:t xml:space="preserve">1.1. </w:t>
          </w:r>
          <w:r>
            <w:rPr>
              <w:rFonts w:hint="eastAsia" w:ascii="楷体_GB2312" w:hAnsi="楷体_GB2312" w:eastAsia="楷体_GB2312" w:cs="楷体_GB2312"/>
              <w:szCs w:val="32"/>
              <w:lang w:val="en-US" w:eastAsia="zh-CN"/>
            </w:rPr>
            <w:t>项目背景</w:t>
          </w:r>
          <w:r>
            <w:tab/>
          </w:r>
          <w:r>
            <w:fldChar w:fldCharType="begin"/>
          </w:r>
          <w:r>
            <w:instrText xml:space="preserve"> PAGEREF _Toc1515704411 \h </w:instrText>
          </w:r>
          <w:r>
            <w:fldChar w:fldCharType="separate"/>
          </w:r>
          <w:r>
            <w:t>1</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_Toc993014963 </w:instrText>
          </w:r>
          <w:r>
            <w:fldChar w:fldCharType="separate"/>
          </w:r>
          <w:r>
            <w:rPr>
              <w:rFonts w:hint="default" w:ascii="楷体_GB2312" w:hAnsi="楷体_GB2312" w:eastAsia="楷体_GB2312" w:cs="楷体_GB2312"/>
              <w:szCs w:val="32"/>
              <w:lang w:val="en-US" w:eastAsia="zh-CN"/>
            </w:rPr>
            <w:t xml:space="preserve">1.2. </w:t>
          </w:r>
          <w:r>
            <w:rPr>
              <w:rFonts w:hint="eastAsia" w:ascii="楷体_GB2312" w:hAnsi="楷体_GB2312" w:eastAsia="楷体_GB2312" w:cs="楷体_GB2312"/>
              <w:szCs w:val="32"/>
              <w:lang w:val="en-US" w:eastAsia="zh-CN"/>
            </w:rPr>
            <w:t>项目内容</w:t>
          </w:r>
          <w:r>
            <w:tab/>
          </w:r>
          <w:r>
            <w:fldChar w:fldCharType="begin"/>
          </w:r>
          <w:r>
            <w:instrText xml:space="preserve"> PAGEREF _Toc993014963 \h </w:instrText>
          </w:r>
          <w:r>
            <w:fldChar w:fldCharType="separate"/>
          </w:r>
          <w:r>
            <w:t>1</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_Toc1507062304 </w:instrText>
          </w:r>
          <w:r>
            <w:fldChar w:fldCharType="separate"/>
          </w:r>
          <w:r>
            <w:rPr>
              <w:rFonts w:hint="default"/>
              <w:szCs w:val="32"/>
            </w:rPr>
            <w:t xml:space="preserve">1.2.1. </w:t>
          </w:r>
          <w:r>
            <w:rPr>
              <w:rFonts w:hint="eastAsia"/>
              <w:szCs w:val="32"/>
            </w:rPr>
            <w:t>功能</w:t>
          </w:r>
          <w:r>
            <w:rPr>
              <w:rFonts w:hint="eastAsia" w:ascii="楷体_GB2312" w:hAnsi="楷体_GB2312" w:eastAsia="楷体_GB2312" w:cs="楷体_GB2312"/>
              <w:szCs w:val="32"/>
              <w:lang w:val="en-US" w:eastAsia="zh-CN"/>
            </w:rPr>
            <w:t>指标</w:t>
          </w:r>
          <w:r>
            <w:tab/>
          </w:r>
          <w:r>
            <w:fldChar w:fldCharType="begin"/>
          </w:r>
          <w:r>
            <w:instrText xml:space="preserve"> PAGEREF _Toc1507062304 \h </w:instrText>
          </w:r>
          <w:r>
            <w:fldChar w:fldCharType="separate"/>
          </w:r>
          <w:r>
            <w:t>1</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_Toc1774010610 </w:instrText>
          </w:r>
          <w:r>
            <w:fldChar w:fldCharType="separate"/>
          </w:r>
          <w:r>
            <w:rPr>
              <w:rFonts w:hint="default"/>
              <w:szCs w:val="32"/>
            </w:rPr>
            <w:t xml:space="preserve">1.2.2. </w:t>
          </w:r>
          <w:r>
            <w:rPr>
              <w:rFonts w:hint="eastAsia"/>
              <w:szCs w:val="32"/>
            </w:rPr>
            <w:t>性能指标</w:t>
          </w:r>
          <w:r>
            <w:tab/>
          </w:r>
          <w:r>
            <w:fldChar w:fldCharType="begin"/>
          </w:r>
          <w:r>
            <w:instrText xml:space="preserve"> PAGEREF _Toc1774010610 \h </w:instrText>
          </w:r>
          <w:r>
            <w:fldChar w:fldCharType="separate"/>
          </w:r>
          <w:r>
            <w:t>1</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_Toc133367322 </w:instrText>
          </w:r>
          <w:r>
            <w:fldChar w:fldCharType="separate"/>
          </w:r>
          <w:r>
            <w:rPr>
              <w:rFonts w:hint="default" w:ascii="楷体_GB2312" w:hAnsi="楷体_GB2312" w:eastAsia="楷体_GB2312" w:cs="楷体_GB2312"/>
              <w:szCs w:val="32"/>
              <w:lang w:val="en-US" w:eastAsia="zh-CN"/>
            </w:rPr>
            <w:t xml:space="preserve">1.3. </w:t>
          </w:r>
          <w:r>
            <w:rPr>
              <w:rFonts w:hint="eastAsia" w:ascii="楷体_GB2312" w:hAnsi="楷体_GB2312" w:eastAsia="楷体_GB2312" w:cs="楷体_GB2312"/>
              <w:szCs w:val="32"/>
              <w:lang w:val="en-US" w:eastAsia="zh-CN"/>
            </w:rPr>
            <w:t>项目范围</w:t>
          </w:r>
          <w:r>
            <w:tab/>
          </w:r>
          <w:r>
            <w:fldChar w:fldCharType="begin"/>
          </w:r>
          <w:r>
            <w:instrText xml:space="preserve"> PAGEREF _Toc133367322 \h </w:instrText>
          </w:r>
          <w:r>
            <w:fldChar w:fldCharType="separate"/>
          </w:r>
          <w:r>
            <w:t>1</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_Toc1679137033 </w:instrText>
          </w:r>
          <w:r>
            <w:fldChar w:fldCharType="separate"/>
          </w:r>
          <w:r>
            <w:rPr>
              <w:rFonts w:hint="default" w:ascii="楷体_GB2312" w:hAnsi="楷体_GB2312" w:eastAsia="楷体_GB2312" w:cs="楷体_GB2312"/>
              <w:szCs w:val="32"/>
              <w:lang w:val="en-US" w:eastAsia="zh-CN"/>
            </w:rPr>
            <w:t xml:space="preserve">1.4. </w:t>
          </w:r>
          <w:r>
            <w:rPr>
              <w:rFonts w:hint="eastAsia" w:ascii="楷体_GB2312" w:hAnsi="楷体_GB2312" w:eastAsia="楷体_GB2312" w:cs="楷体_GB2312"/>
              <w:szCs w:val="32"/>
              <w:lang w:val="en-US" w:eastAsia="zh-CN"/>
            </w:rPr>
            <w:t>核心价值</w:t>
          </w:r>
          <w:r>
            <w:tab/>
          </w:r>
          <w:r>
            <w:fldChar w:fldCharType="begin"/>
          </w:r>
          <w:r>
            <w:instrText xml:space="preserve"> PAGEREF _Toc1679137033 \h </w:instrText>
          </w:r>
          <w:r>
            <w:fldChar w:fldCharType="separate"/>
          </w:r>
          <w:r>
            <w:t>2</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_Toc1173508404 </w:instrText>
          </w:r>
          <w:r>
            <w:fldChar w:fldCharType="separate"/>
          </w:r>
          <w:r>
            <w:rPr>
              <w:rFonts w:hint="default" w:ascii="楷体_GB2312" w:hAnsi="楷体_GB2312" w:eastAsia="楷体_GB2312" w:cs="楷体_GB2312"/>
              <w:szCs w:val="32"/>
            </w:rPr>
            <w:t xml:space="preserve">1.5. </w:t>
          </w:r>
          <w:r>
            <w:rPr>
              <w:rFonts w:hint="eastAsia" w:ascii="楷体_GB2312" w:hAnsi="楷体_GB2312" w:eastAsia="楷体_GB2312" w:cs="楷体_GB2312"/>
              <w:szCs w:val="32"/>
              <w:lang w:val="en-US" w:eastAsia="zh-CN"/>
            </w:rPr>
            <w:t>项目</w:t>
          </w:r>
          <w:r>
            <w:rPr>
              <w:rFonts w:hint="eastAsia" w:ascii="楷体_GB2312" w:hAnsi="楷体_GB2312" w:eastAsia="楷体_GB2312" w:cs="楷体_GB2312"/>
              <w:szCs w:val="32"/>
            </w:rPr>
            <w:t>周期</w:t>
          </w:r>
          <w:r>
            <w:tab/>
          </w:r>
          <w:r>
            <w:fldChar w:fldCharType="begin"/>
          </w:r>
          <w:r>
            <w:instrText xml:space="preserve"> PAGEREF _Toc1173508404 \h </w:instrText>
          </w:r>
          <w:r>
            <w:fldChar w:fldCharType="separate"/>
          </w:r>
          <w:r>
            <w:t>2</w:t>
          </w:r>
          <w:r>
            <w:fldChar w:fldCharType="end"/>
          </w:r>
          <w:r>
            <w:fldChar w:fldCharType="end"/>
          </w:r>
        </w:p>
        <w:p>
          <w:pPr>
            <w:pStyle w:val="17"/>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_Toc665931980 </w:instrText>
          </w:r>
          <w:r>
            <w:fldChar w:fldCharType="separate"/>
          </w:r>
          <w:r>
            <w:rPr>
              <w:rFonts w:hint="default" w:ascii="黑体" w:hAnsi="黑体" w:eastAsia="黑体"/>
              <w:szCs w:val="32"/>
            </w:rPr>
            <w:t xml:space="preserve">2. </w:t>
          </w:r>
          <w:r>
            <w:rPr>
              <w:rFonts w:hint="eastAsia" w:ascii="黑体" w:hAnsi="黑体" w:eastAsia="黑体"/>
              <w:szCs w:val="32"/>
            </w:rPr>
            <w:t>系统总体设计</w:t>
          </w:r>
          <w:r>
            <w:tab/>
          </w:r>
          <w:r>
            <w:fldChar w:fldCharType="begin"/>
          </w:r>
          <w:r>
            <w:instrText xml:space="preserve"> PAGEREF _Toc665931980 \h </w:instrText>
          </w:r>
          <w:r>
            <w:fldChar w:fldCharType="separate"/>
          </w:r>
          <w:r>
            <w:t>4</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_Toc1781503343 </w:instrText>
          </w:r>
          <w:r>
            <w:fldChar w:fldCharType="separate"/>
          </w:r>
          <w:r>
            <w:rPr>
              <w:rFonts w:hint="default" w:ascii="楷体_GB2312" w:hAnsi="楷体_GB2312" w:eastAsia="楷体_GB2312" w:cs="楷体_GB2312"/>
              <w:szCs w:val="32"/>
              <w:lang w:val="en-US" w:eastAsia="zh-CN"/>
            </w:rPr>
            <w:t xml:space="preserve">2.1. </w:t>
          </w:r>
          <w:r>
            <w:rPr>
              <w:rFonts w:hint="eastAsia" w:ascii="楷体_GB2312" w:hAnsi="楷体_GB2312" w:eastAsia="楷体_GB2312" w:cs="楷体_GB2312"/>
              <w:szCs w:val="32"/>
              <w:lang w:val="en-US" w:eastAsia="zh-CN"/>
            </w:rPr>
            <w:t>设计原则</w:t>
          </w:r>
          <w:r>
            <w:tab/>
          </w:r>
          <w:r>
            <w:fldChar w:fldCharType="begin"/>
          </w:r>
          <w:r>
            <w:instrText xml:space="preserve"> PAGEREF _Toc1781503343 \h </w:instrText>
          </w:r>
          <w:r>
            <w:fldChar w:fldCharType="separate"/>
          </w:r>
          <w:r>
            <w:t>4</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_Toc1509679327 </w:instrText>
          </w:r>
          <w:r>
            <w:fldChar w:fldCharType="separate"/>
          </w:r>
          <w:r>
            <w:rPr>
              <w:rFonts w:hint="default" w:ascii="楷体_GB2312" w:hAnsi="楷体_GB2312" w:eastAsia="楷体_GB2312" w:cs="楷体_GB2312"/>
              <w:szCs w:val="32"/>
              <w:lang w:val="en-US" w:eastAsia="zh-CN"/>
            </w:rPr>
            <w:t xml:space="preserve">2.2. </w:t>
          </w:r>
          <w:r>
            <w:rPr>
              <w:rFonts w:hint="eastAsia" w:ascii="楷体_GB2312" w:hAnsi="楷体_GB2312" w:eastAsia="楷体_GB2312" w:cs="楷体_GB2312"/>
              <w:szCs w:val="32"/>
              <w:lang w:val="en-US" w:eastAsia="zh-CN"/>
            </w:rPr>
            <w:t>系统设计</w:t>
          </w:r>
          <w:r>
            <w:tab/>
          </w:r>
          <w:r>
            <w:fldChar w:fldCharType="begin"/>
          </w:r>
          <w:r>
            <w:instrText xml:space="preserve"> PAGEREF _Toc1509679327 \h </w:instrText>
          </w:r>
          <w:r>
            <w:fldChar w:fldCharType="separate"/>
          </w:r>
          <w:r>
            <w:t>5</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_Toc661159584 </w:instrText>
          </w:r>
          <w:r>
            <w:fldChar w:fldCharType="separate"/>
          </w:r>
          <w:r>
            <w:rPr>
              <w:rFonts w:hint="default"/>
              <w:szCs w:val="32"/>
            </w:rPr>
            <w:t xml:space="preserve">2.2.1. </w:t>
          </w:r>
          <w:r>
            <w:rPr>
              <w:rFonts w:hint="eastAsia"/>
              <w:szCs w:val="32"/>
            </w:rPr>
            <w:t>B/S架构基础支撑系统</w:t>
          </w:r>
          <w:r>
            <w:tab/>
          </w:r>
          <w:r>
            <w:fldChar w:fldCharType="begin"/>
          </w:r>
          <w:r>
            <w:instrText xml:space="preserve"> PAGEREF _Toc661159584 \h </w:instrText>
          </w:r>
          <w:r>
            <w:fldChar w:fldCharType="separate"/>
          </w:r>
          <w:r>
            <w:t>5</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_Toc1028738710 </w:instrText>
          </w:r>
          <w:r>
            <w:fldChar w:fldCharType="separate"/>
          </w:r>
          <w:r>
            <w:rPr>
              <w:rFonts w:hint="default"/>
              <w:szCs w:val="32"/>
            </w:rPr>
            <w:t xml:space="preserve">2.2.2. </w:t>
          </w:r>
          <w:r>
            <w:rPr>
              <w:rFonts w:hint="eastAsia"/>
              <w:szCs w:val="32"/>
            </w:rPr>
            <w:t>模型</w:t>
          </w:r>
          <w:r>
            <w:rPr>
              <w:rFonts w:hint="eastAsia" w:ascii="楷体_GB2312" w:hAnsi="楷体_GB2312" w:eastAsia="楷体_GB2312" w:cs="楷体_GB2312"/>
              <w:szCs w:val="32"/>
              <w:lang w:val="en-US" w:eastAsia="zh-CN"/>
            </w:rPr>
            <w:t>跨平台</w:t>
          </w:r>
          <w:r>
            <w:rPr>
              <w:rFonts w:hint="eastAsia"/>
              <w:szCs w:val="32"/>
            </w:rPr>
            <w:t>转换系统</w:t>
          </w:r>
          <w:r>
            <w:tab/>
          </w:r>
          <w:r>
            <w:fldChar w:fldCharType="begin"/>
          </w:r>
          <w:r>
            <w:instrText xml:space="preserve"> PAGEREF _Toc1028738710 \h </w:instrText>
          </w:r>
          <w:r>
            <w:fldChar w:fldCharType="separate"/>
          </w:r>
          <w:r>
            <w:t>6</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_Toc620656973 </w:instrText>
          </w:r>
          <w:r>
            <w:fldChar w:fldCharType="separate"/>
          </w:r>
          <w:r>
            <w:rPr>
              <w:rFonts w:hint="default"/>
              <w:szCs w:val="32"/>
            </w:rPr>
            <w:t xml:space="preserve">2.2.3. </w:t>
          </w:r>
          <w:r>
            <w:rPr>
              <w:rFonts w:hint="eastAsia"/>
              <w:szCs w:val="32"/>
            </w:rPr>
            <w:t>模型</w:t>
          </w:r>
          <w:r>
            <w:rPr>
              <w:rFonts w:hint="eastAsia" w:ascii="楷体_GB2312" w:hAnsi="楷体_GB2312" w:eastAsia="楷体_GB2312" w:cs="楷体_GB2312"/>
              <w:szCs w:val="32"/>
              <w:lang w:val="en-US" w:eastAsia="zh-CN"/>
            </w:rPr>
            <w:t>可视化</w:t>
          </w:r>
          <w:r>
            <w:rPr>
              <w:rFonts w:hint="eastAsia"/>
              <w:szCs w:val="32"/>
            </w:rPr>
            <w:t>展示系统</w:t>
          </w:r>
          <w:r>
            <w:tab/>
          </w:r>
          <w:r>
            <w:fldChar w:fldCharType="begin"/>
          </w:r>
          <w:r>
            <w:instrText xml:space="preserve"> PAGEREF _Toc620656973 \h </w:instrText>
          </w:r>
          <w:r>
            <w:fldChar w:fldCharType="separate"/>
          </w:r>
          <w:r>
            <w:t>8</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_Toc1053671732 </w:instrText>
          </w:r>
          <w:r>
            <w:fldChar w:fldCharType="separate"/>
          </w:r>
          <w:r>
            <w:rPr>
              <w:rFonts w:hint="default"/>
              <w:szCs w:val="32"/>
            </w:rPr>
            <w:t xml:space="preserve">2.2.4. </w:t>
          </w:r>
          <w:r>
            <w:rPr>
              <w:rFonts w:hint="eastAsia"/>
              <w:szCs w:val="32"/>
            </w:rPr>
            <w:t>硬件集成验证系统</w:t>
          </w:r>
          <w:r>
            <w:tab/>
          </w:r>
          <w:r>
            <w:fldChar w:fldCharType="begin"/>
          </w:r>
          <w:r>
            <w:instrText xml:space="preserve"> PAGEREF _Toc1053671732 \h </w:instrText>
          </w:r>
          <w:r>
            <w:fldChar w:fldCharType="separate"/>
          </w:r>
          <w:r>
            <w:t>9</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_Toc910646562 </w:instrText>
          </w:r>
          <w:r>
            <w:fldChar w:fldCharType="separate"/>
          </w:r>
          <w:r>
            <w:rPr>
              <w:rFonts w:hint="default" w:ascii="楷体_GB2312" w:hAnsi="楷体_GB2312" w:eastAsia="楷体_GB2312" w:cs="楷体_GB2312"/>
              <w:szCs w:val="32"/>
              <w:lang w:val="en-US" w:eastAsia="zh-CN"/>
            </w:rPr>
            <w:t xml:space="preserve">2.3. </w:t>
          </w:r>
          <w:r>
            <w:rPr>
              <w:rFonts w:hint="eastAsia" w:ascii="楷体_GB2312" w:hAnsi="楷体_GB2312" w:eastAsia="楷体_GB2312" w:cs="楷体_GB2312"/>
              <w:szCs w:val="32"/>
              <w:lang w:val="en-US" w:eastAsia="zh-CN"/>
            </w:rPr>
            <w:t>架构设计</w:t>
          </w:r>
          <w:r>
            <w:tab/>
          </w:r>
          <w:r>
            <w:fldChar w:fldCharType="begin"/>
          </w:r>
          <w:r>
            <w:instrText xml:space="preserve"> PAGEREF _Toc910646562 \h </w:instrText>
          </w:r>
          <w:r>
            <w:fldChar w:fldCharType="separate"/>
          </w:r>
          <w:r>
            <w:t>11</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_Toc120815365 </w:instrText>
          </w:r>
          <w:r>
            <w:fldChar w:fldCharType="separate"/>
          </w:r>
          <w:r>
            <w:rPr>
              <w:rFonts w:hint="default"/>
              <w:szCs w:val="32"/>
            </w:rPr>
            <w:t xml:space="preserve">2.3.1. </w:t>
          </w:r>
          <w:r>
            <w:rPr>
              <w:rFonts w:hint="eastAsia"/>
              <w:szCs w:val="32"/>
            </w:rPr>
            <w:t>用户层：便捷交互入口</w:t>
          </w:r>
          <w:r>
            <w:tab/>
          </w:r>
          <w:r>
            <w:fldChar w:fldCharType="begin"/>
          </w:r>
          <w:r>
            <w:instrText xml:space="preserve"> PAGEREF _Toc120815365 \h </w:instrText>
          </w:r>
          <w:r>
            <w:fldChar w:fldCharType="separate"/>
          </w:r>
          <w:r>
            <w:t>13</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_Toc1171793140 </w:instrText>
          </w:r>
          <w:r>
            <w:fldChar w:fldCharType="separate"/>
          </w:r>
          <w:r>
            <w:rPr>
              <w:rFonts w:hint="default"/>
              <w:szCs w:val="32"/>
            </w:rPr>
            <w:t xml:space="preserve">2.3.2. </w:t>
          </w:r>
          <w:r>
            <w:rPr>
              <w:rFonts w:hint="eastAsia"/>
              <w:szCs w:val="32"/>
            </w:rPr>
            <w:t>应用服务层：业务逻辑核心</w:t>
          </w:r>
          <w:r>
            <w:tab/>
          </w:r>
          <w:r>
            <w:fldChar w:fldCharType="begin"/>
          </w:r>
          <w:r>
            <w:instrText xml:space="preserve"> PAGEREF _Toc1171793140 \h </w:instrText>
          </w:r>
          <w:r>
            <w:fldChar w:fldCharType="separate"/>
          </w:r>
          <w:r>
            <w:t>14</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_Toc1902260990 </w:instrText>
          </w:r>
          <w:r>
            <w:fldChar w:fldCharType="separate"/>
          </w:r>
          <w:r>
            <w:rPr>
              <w:rFonts w:hint="default"/>
              <w:szCs w:val="32"/>
            </w:rPr>
            <w:t xml:space="preserve">2.3.3. </w:t>
          </w:r>
          <w:r>
            <w:rPr>
              <w:rFonts w:hint="eastAsia"/>
              <w:szCs w:val="32"/>
            </w:rPr>
            <w:t>数据存储层：数据流转中枢</w:t>
          </w:r>
          <w:r>
            <w:tab/>
          </w:r>
          <w:r>
            <w:fldChar w:fldCharType="begin"/>
          </w:r>
          <w:r>
            <w:instrText xml:space="preserve"> PAGEREF _Toc1902260990 \h </w:instrText>
          </w:r>
          <w:r>
            <w:fldChar w:fldCharType="separate"/>
          </w:r>
          <w:r>
            <w:t>21</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_Toc1711406041 </w:instrText>
          </w:r>
          <w:r>
            <w:fldChar w:fldCharType="separate"/>
          </w:r>
          <w:r>
            <w:rPr>
              <w:rFonts w:hint="default"/>
              <w:szCs w:val="32"/>
            </w:rPr>
            <w:t xml:space="preserve">2.3.4. </w:t>
          </w:r>
          <w:r>
            <w:rPr>
              <w:rFonts w:hint="eastAsia"/>
              <w:szCs w:val="32"/>
            </w:rPr>
            <w:t>硬件</w:t>
          </w:r>
          <w:r>
            <w:rPr>
              <w:rFonts w:hint="eastAsia" w:ascii="楷体_GB2312" w:hAnsi="楷体_GB2312" w:eastAsia="楷体_GB2312" w:cs="楷体_GB2312"/>
              <w:szCs w:val="32"/>
              <w:lang w:val="en-US" w:eastAsia="zh-CN"/>
            </w:rPr>
            <w:t>资源</w:t>
          </w:r>
          <w:r>
            <w:rPr>
              <w:rFonts w:hint="eastAsia"/>
              <w:szCs w:val="32"/>
            </w:rPr>
            <w:t>层：算力支撑和验证底座</w:t>
          </w:r>
          <w:r>
            <w:tab/>
          </w:r>
          <w:r>
            <w:fldChar w:fldCharType="begin"/>
          </w:r>
          <w:r>
            <w:instrText xml:space="preserve"> PAGEREF _Toc1711406041 \h </w:instrText>
          </w:r>
          <w:r>
            <w:fldChar w:fldCharType="separate"/>
          </w:r>
          <w:r>
            <w:t>29</w:t>
          </w:r>
          <w:r>
            <w:fldChar w:fldCharType="end"/>
          </w:r>
          <w:r>
            <w:fldChar w:fldCharType="end"/>
          </w:r>
        </w:p>
        <w:p>
          <w:pPr>
            <w:pStyle w:val="17"/>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_Toc205363169 </w:instrText>
          </w:r>
          <w:r>
            <w:fldChar w:fldCharType="separate"/>
          </w:r>
          <w:r>
            <w:rPr>
              <w:rFonts w:hint="default" w:ascii="黑体" w:hAnsi="黑体" w:eastAsia="黑体"/>
              <w:szCs w:val="32"/>
              <w:lang w:eastAsia="zh-CN"/>
            </w:rPr>
            <w:t xml:space="preserve">3. </w:t>
          </w:r>
          <w:r>
            <w:rPr>
              <w:rFonts w:hint="eastAsia" w:ascii="黑体" w:hAnsi="黑体" w:eastAsia="黑体"/>
              <w:szCs w:val="32"/>
              <w:lang w:val="en-US" w:eastAsia="zh-CN"/>
            </w:rPr>
            <w:t>系统</w:t>
          </w:r>
          <w:r>
            <w:rPr>
              <w:rFonts w:hint="eastAsia" w:ascii="楷体_GB2312" w:hAnsi="楷体_GB2312" w:eastAsia="楷体_GB2312" w:cs="楷体_GB2312"/>
              <w:szCs w:val="32"/>
              <w:lang w:val="en-US" w:eastAsia="zh-CN"/>
            </w:rPr>
            <w:t>实现</w:t>
          </w:r>
          <w:r>
            <w:rPr>
              <w:rFonts w:hint="eastAsia" w:ascii="黑体" w:hAnsi="黑体" w:eastAsia="黑体"/>
              <w:szCs w:val="32"/>
              <w:lang w:val="en-US" w:eastAsia="zh-CN"/>
            </w:rPr>
            <w:t>方案</w:t>
          </w:r>
          <w:r>
            <w:tab/>
          </w:r>
          <w:r>
            <w:fldChar w:fldCharType="begin"/>
          </w:r>
          <w:r>
            <w:instrText xml:space="preserve"> PAGEREF _Toc205363169 \h </w:instrText>
          </w:r>
          <w:r>
            <w:fldChar w:fldCharType="separate"/>
          </w:r>
          <w:r>
            <w:t>33</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_Toc532560654 </w:instrText>
          </w:r>
          <w:r>
            <w:fldChar w:fldCharType="separate"/>
          </w:r>
          <w:r>
            <w:rPr>
              <w:rFonts w:hint="default" w:ascii="楷体_GB2312" w:hAnsi="楷体_GB2312" w:eastAsia="楷体_GB2312" w:cs="楷体_GB2312"/>
              <w:szCs w:val="32"/>
              <w:lang w:val="en-US" w:eastAsia="zh-CN"/>
            </w:rPr>
            <w:t xml:space="preserve">3.1. </w:t>
          </w:r>
          <w:r>
            <w:rPr>
              <w:rFonts w:hint="eastAsia" w:ascii="楷体_GB2312" w:hAnsi="楷体_GB2312" w:eastAsia="楷体_GB2312" w:cs="楷体_GB2312"/>
              <w:szCs w:val="32"/>
              <w:lang w:val="en-US" w:eastAsia="zh-CN"/>
            </w:rPr>
            <w:t>基础功能——模型管理</w:t>
          </w:r>
          <w:r>
            <w:tab/>
          </w:r>
          <w:r>
            <w:fldChar w:fldCharType="begin"/>
          </w:r>
          <w:r>
            <w:instrText xml:space="preserve"> PAGEREF _Toc532560654 \h </w:instrText>
          </w:r>
          <w:r>
            <w:fldChar w:fldCharType="separate"/>
          </w:r>
          <w:r>
            <w:t>33</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_Toc35071082 </w:instrText>
          </w:r>
          <w:r>
            <w:fldChar w:fldCharType="separate"/>
          </w:r>
          <w:r>
            <w:rPr>
              <w:rFonts w:hint="default"/>
            </w:rPr>
            <w:t xml:space="preserve">3.1.1. </w:t>
          </w:r>
          <w:r>
            <w:rPr>
              <w:rFonts w:hint="eastAsia"/>
              <w:szCs w:val="32"/>
            </w:rPr>
            <w:t>功能</w:t>
          </w:r>
          <w:r>
            <w:rPr>
              <w:rFonts w:hint="eastAsia"/>
            </w:rPr>
            <w:t>描述：全流程模型管控能力</w:t>
          </w:r>
          <w:r>
            <w:tab/>
          </w:r>
          <w:r>
            <w:fldChar w:fldCharType="begin"/>
          </w:r>
          <w:r>
            <w:instrText xml:space="preserve"> PAGEREF _Toc35071082 \h </w:instrText>
          </w:r>
          <w:r>
            <w:fldChar w:fldCharType="separate"/>
          </w:r>
          <w:r>
            <w:t>33</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_Toc1029155896 </w:instrText>
          </w:r>
          <w:r>
            <w:fldChar w:fldCharType="separate"/>
          </w:r>
          <w:r>
            <w:rPr>
              <w:rFonts w:hint="default"/>
            </w:rPr>
            <w:t xml:space="preserve">3.1.2. </w:t>
          </w:r>
          <w:r>
            <w:rPr>
              <w:rFonts w:hint="eastAsia"/>
              <w:szCs w:val="32"/>
            </w:rPr>
            <w:t>技术</w:t>
          </w:r>
          <w:r>
            <w:rPr>
              <w:rFonts w:hint="eastAsia"/>
            </w:rPr>
            <w:t>实现方案：高兼容、高可靠的技术架构</w:t>
          </w:r>
          <w:r>
            <w:tab/>
          </w:r>
          <w:r>
            <w:fldChar w:fldCharType="begin"/>
          </w:r>
          <w:r>
            <w:instrText xml:space="preserve"> PAGEREF _Toc1029155896 \h </w:instrText>
          </w:r>
          <w:r>
            <w:fldChar w:fldCharType="separate"/>
          </w:r>
          <w:r>
            <w:t>36</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_Toc1189851134 </w:instrText>
          </w:r>
          <w:r>
            <w:fldChar w:fldCharType="separate"/>
          </w:r>
          <w:r>
            <w:rPr>
              <w:rFonts w:hint="default" w:ascii="楷体_GB2312" w:hAnsi="楷体_GB2312" w:eastAsia="楷体_GB2312" w:cs="楷体_GB2312"/>
              <w:szCs w:val="32"/>
              <w:lang w:val="en-US" w:eastAsia="zh-CN"/>
            </w:rPr>
            <w:t xml:space="preserve">3.2. </w:t>
          </w:r>
          <w:r>
            <w:rPr>
              <w:rFonts w:hint="eastAsia" w:ascii="楷体_GB2312" w:hAnsi="楷体_GB2312" w:eastAsia="楷体_GB2312" w:cs="楷体_GB2312"/>
              <w:szCs w:val="32"/>
              <w:lang w:val="en-US" w:eastAsia="zh-CN"/>
            </w:rPr>
            <w:t>功能指标1：可支持模型的跨平台、跨底层架构的格式转化</w:t>
          </w:r>
          <w:r>
            <w:tab/>
          </w:r>
          <w:r>
            <w:fldChar w:fldCharType="begin"/>
          </w:r>
          <w:r>
            <w:instrText xml:space="preserve"> PAGEREF _Toc1189851134 \h </w:instrText>
          </w:r>
          <w:r>
            <w:fldChar w:fldCharType="separate"/>
          </w:r>
          <w:r>
            <w:t>39</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_Toc460288274 </w:instrText>
          </w:r>
          <w:r>
            <w:fldChar w:fldCharType="separate"/>
          </w:r>
          <w:r>
            <w:rPr>
              <w:rFonts w:hint="default"/>
            </w:rPr>
            <w:t xml:space="preserve">3.2.1. </w:t>
          </w:r>
          <w:r>
            <w:rPr>
              <w:rFonts w:hint="eastAsia"/>
            </w:rPr>
            <w:t>功能描述</w:t>
          </w:r>
          <w:r>
            <w:rPr>
              <w:rFonts w:hint="eastAsia"/>
              <w:lang w:eastAsia="zh-CN"/>
            </w:rPr>
            <w:t>，</w:t>
          </w:r>
          <w:r>
            <w:rPr>
              <w:rFonts w:hint="eastAsia"/>
              <w:lang w:val="en-US" w:eastAsia="zh-CN"/>
            </w:rPr>
            <w:t>支持性能指标2和3，覆盖全场景的转换能力</w:t>
          </w:r>
          <w:r>
            <w:tab/>
          </w:r>
          <w:r>
            <w:fldChar w:fldCharType="begin"/>
          </w:r>
          <w:r>
            <w:instrText xml:space="preserve"> PAGEREF _Toc460288274 \h </w:instrText>
          </w:r>
          <w:r>
            <w:fldChar w:fldCharType="separate"/>
          </w:r>
          <w:r>
            <w:t>39</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_Toc828924624 </w:instrText>
          </w:r>
          <w:r>
            <w:fldChar w:fldCharType="separate"/>
          </w:r>
          <w:r>
            <w:rPr>
              <w:rFonts w:hint="default"/>
            </w:rPr>
            <w:t xml:space="preserve">3.2.2. </w:t>
          </w:r>
          <w:r>
            <w:rPr>
              <w:rFonts w:hint="eastAsia"/>
            </w:rPr>
            <w:t>技术实现方案</w:t>
          </w:r>
          <w:r>
            <w:rPr>
              <w:rFonts w:hint="eastAsia"/>
              <w:lang w:eastAsia="zh-CN"/>
            </w:rPr>
            <w:t>：高兼容、高精度的转换架构</w:t>
          </w:r>
          <w:r>
            <w:tab/>
          </w:r>
          <w:r>
            <w:fldChar w:fldCharType="begin"/>
          </w:r>
          <w:r>
            <w:instrText xml:space="preserve"> PAGEREF _Toc828924624 \h </w:instrText>
          </w:r>
          <w:r>
            <w:fldChar w:fldCharType="separate"/>
          </w:r>
          <w:r>
            <w:t>42</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_Toc1009737479 </w:instrText>
          </w:r>
          <w:r>
            <w:fldChar w:fldCharType="separate"/>
          </w:r>
          <w:r>
            <w:rPr>
              <w:rFonts w:hint="default" w:ascii="楷体_GB2312" w:hAnsi="楷体_GB2312" w:eastAsia="楷体_GB2312" w:cs="楷体_GB2312"/>
              <w:szCs w:val="32"/>
              <w:lang w:val="en-US" w:eastAsia="zh-CN"/>
            </w:rPr>
            <w:t xml:space="preserve">3.3. </w:t>
          </w:r>
          <w:r>
            <w:rPr>
              <w:rFonts w:hint="eastAsia" w:ascii="楷体_GB2312" w:hAnsi="楷体_GB2312" w:eastAsia="楷体_GB2312" w:cs="楷体_GB2312"/>
              <w:szCs w:val="32"/>
              <w:lang w:val="en-US" w:eastAsia="zh-CN"/>
            </w:rPr>
            <w:t>功能指标2：可根据模型格式进行模型可视化</w:t>
          </w:r>
          <w:r>
            <w:tab/>
          </w:r>
          <w:r>
            <w:fldChar w:fldCharType="begin"/>
          </w:r>
          <w:r>
            <w:instrText xml:space="preserve"> PAGEREF _Toc1009737479 \h </w:instrText>
          </w:r>
          <w:r>
            <w:fldChar w:fldCharType="separate"/>
          </w:r>
          <w:r>
            <w:t>47</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_Toc1242030959 </w:instrText>
          </w:r>
          <w:r>
            <w:fldChar w:fldCharType="separate"/>
          </w:r>
          <w:r>
            <w:rPr>
              <w:rFonts w:hint="default"/>
            </w:rPr>
            <w:t xml:space="preserve">3.3.1. </w:t>
          </w:r>
          <w:r>
            <w:rPr>
              <w:rFonts w:hint="eastAsia" w:ascii="楷体_GB2312" w:hAnsi="楷体_GB2312" w:eastAsia="楷体_GB2312" w:cs="楷体_GB2312"/>
              <w:szCs w:val="32"/>
              <w:lang w:val="en-US" w:eastAsia="zh-CN"/>
            </w:rPr>
            <w:t>功能</w:t>
          </w:r>
          <w:r>
            <w:rPr>
              <w:rFonts w:hint="eastAsia"/>
            </w:rPr>
            <w:t>描述</w:t>
          </w:r>
          <w:r>
            <w:rPr>
              <w:rFonts w:hint="eastAsia"/>
              <w:lang w:eastAsia="zh-CN"/>
            </w:rPr>
            <w:t>，</w:t>
          </w:r>
          <w:r>
            <w:rPr>
              <w:rFonts w:hint="eastAsia"/>
              <w:lang w:val="en-US" w:eastAsia="zh-CN"/>
            </w:rPr>
            <w:t>支持性能指标1</w:t>
          </w:r>
          <w:r>
            <w:tab/>
          </w:r>
          <w:r>
            <w:fldChar w:fldCharType="begin"/>
          </w:r>
          <w:r>
            <w:instrText xml:space="preserve"> PAGEREF _Toc1242030959 \h </w:instrText>
          </w:r>
          <w:r>
            <w:fldChar w:fldCharType="separate"/>
          </w:r>
          <w:r>
            <w:t>47</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_Toc1273279073 </w:instrText>
          </w:r>
          <w:r>
            <w:fldChar w:fldCharType="separate"/>
          </w:r>
          <w:r>
            <w:rPr>
              <w:rFonts w:hint="default"/>
            </w:rPr>
            <w:t xml:space="preserve">3.3.2. </w:t>
          </w:r>
          <w:r>
            <w:rPr>
              <w:rFonts w:hint="eastAsia"/>
            </w:rPr>
            <w:t>技术实现方案</w:t>
          </w:r>
          <w:r>
            <w:rPr>
              <w:rFonts w:hint="eastAsia"/>
              <w:lang w:eastAsia="zh-CN"/>
            </w:rPr>
            <w:t>：高精准、高交互的可视化架构</w:t>
          </w:r>
          <w:r>
            <w:tab/>
          </w:r>
          <w:r>
            <w:fldChar w:fldCharType="begin"/>
          </w:r>
          <w:r>
            <w:instrText xml:space="preserve"> PAGEREF _Toc1273279073 \h </w:instrText>
          </w:r>
          <w:r>
            <w:fldChar w:fldCharType="separate"/>
          </w:r>
          <w:r>
            <w:t>51</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_Toc326837556 </w:instrText>
          </w:r>
          <w:r>
            <w:fldChar w:fldCharType="separate"/>
          </w:r>
          <w:r>
            <w:rPr>
              <w:rFonts w:hint="default" w:ascii="楷体_GB2312" w:hAnsi="楷体_GB2312" w:eastAsia="楷体_GB2312" w:cs="楷体_GB2312"/>
              <w:szCs w:val="32"/>
              <w:lang w:val="en-US" w:eastAsia="zh-CN"/>
            </w:rPr>
            <w:t xml:space="preserve">3.4. </w:t>
          </w:r>
          <w:r>
            <w:rPr>
              <w:rFonts w:hint="eastAsia" w:ascii="楷体_GB2312" w:hAnsi="楷体_GB2312" w:eastAsia="楷体_GB2312" w:cs="楷体_GB2312"/>
              <w:szCs w:val="32"/>
              <w:lang w:val="en-US" w:eastAsia="zh-CN"/>
            </w:rPr>
            <w:t>跨平台推理测试模块</w:t>
          </w:r>
          <w:r>
            <w:tab/>
          </w:r>
          <w:r>
            <w:fldChar w:fldCharType="begin"/>
          </w:r>
          <w:r>
            <w:instrText xml:space="preserve"> PAGEREF _Toc326837556 \h </w:instrText>
          </w:r>
          <w:r>
            <w:fldChar w:fldCharType="separate"/>
          </w:r>
          <w:r>
            <w:t>55</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_Toc2043118313 </w:instrText>
          </w:r>
          <w:r>
            <w:fldChar w:fldCharType="separate"/>
          </w:r>
          <w:r>
            <w:rPr>
              <w:rFonts w:hint="default"/>
            </w:rPr>
            <w:t xml:space="preserve">3.4.1. </w:t>
          </w:r>
          <w:r>
            <w:rPr>
              <w:rFonts w:hint="eastAsia"/>
            </w:rPr>
            <w:t>功能描述：全维度推理验证能力</w:t>
          </w:r>
          <w:r>
            <w:tab/>
          </w:r>
          <w:r>
            <w:fldChar w:fldCharType="begin"/>
          </w:r>
          <w:r>
            <w:instrText xml:space="preserve"> PAGEREF _Toc2043118313 \h </w:instrText>
          </w:r>
          <w:r>
            <w:fldChar w:fldCharType="separate"/>
          </w:r>
          <w:r>
            <w:t>55</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_Toc425971061 </w:instrText>
          </w:r>
          <w:r>
            <w:fldChar w:fldCharType="separate"/>
          </w:r>
          <w:r>
            <w:rPr>
              <w:rFonts w:hint="default"/>
            </w:rPr>
            <w:t xml:space="preserve">3.4.2. </w:t>
          </w:r>
          <w:r>
            <w:rPr>
              <w:rFonts w:hint="eastAsia"/>
            </w:rPr>
            <w:t>技术</w:t>
          </w:r>
          <w:r>
            <w:rPr>
              <w:rFonts w:hint="eastAsia" w:ascii="楷体_GB2312" w:hAnsi="楷体_GB2312" w:eastAsia="楷体_GB2312" w:cs="楷体_GB2312"/>
              <w:szCs w:val="32"/>
              <w:lang w:val="en-US" w:eastAsia="zh-CN"/>
            </w:rPr>
            <w:t>实现</w:t>
          </w:r>
          <w:r>
            <w:rPr>
              <w:rFonts w:hint="eastAsia"/>
            </w:rPr>
            <w:t>方案</w:t>
          </w:r>
          <w:r>
            <w:rPr>
              <w:rFonts w:hint="eastAsia"/>
              <w:lang w:eastAsia="zh-CN"/>
            </w:rPr>
            <w:t>：高可靠、自动化的测试架构</w:t>
          </w:r>
          <w:r>
            <w:tab/>
          </w:r>
          <w:r>
            <w:fldChar w:fldCharType="begin"/>
          </w:r>
          <w:r>
            <w:instrText xml:space="preserve"> PAGEREF _Toc425971061 \h </w:instrText>
          </w:r>
          <w:r>
            <w:fldChar w:fldCharType="separate"/>
          </w:r>
          <w:r>
            <w:t>59</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_Toc1732626776 </w:instrText>
          </w:r>
          <w:r>
            <w:fldChar w:fldCharType="separate"/>
          </w:r>
          <w:r>
            <w:rPr>
              <w:rFonts w:hint="default" w:ascii="楷体_GB2312" w:hAnsi="楷体_GB2312" w:eastAsia="楷体_GB2312" w:cs="楷体_GB2312"/>
              <w:szCs w:val="32"/>
              <w:lang w:val="en-US" w:eastAsia="zh-CN"/>
            </w:rPr>
            <w:t xml:space="preserve">3.5. </w:t>
          </w:r>
          <w:r>
            <w:rPr>
              <w:rFonts w:hint="eastAsia" w:ascii="楷体_GB2312" w:hAnsi="楷体_GB2312" w:eastAsia="楷体_GB2312" w:cs="楷体_GB2312"/>
              <w:szCs w:val="32"/>
              <w:lang w:val="en-US" w:eastAsia="zh-CN"/>
            </w:rPr>
            <w:t>任务监控模块</w:t>
          </w:r>
          <w:r>
            <w:tab/>
          </w:r>
          <w:r>
            <w:fldChar w:fldCharType="begin"/>
          </w:r>
          <w:r>
            <w:instrText xml:space="preserve"> PAGEREF _Toc1732626776 \h </w:instrText>
          </w:r>
          <w:r>
            <w:fldChar w:fldCharType="separate"/>
          </w:r>
          <w:r>
            <w:t>60</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_Toc379970912 </w:instrText>
          </w:r>
          <w:r>
            <w:fldChar w:fldCharType="separate"/>
          </w:r>
          <w:r>
            <w:rPr>
              <w:rFonts w:hint="default"/>
            </w:rPr>
            <w:t xml:space="preserve">3.5.1. </w:t>
          </w:r>
          <w:r>
            <w:rPr>
              <w:rFonts w:hint="eastAsia" w:ascii="楷体_GB2312" w:hAnsi="楷体_GB2312" w:eastAsia="楷体_GB2312" w:cs="楷体_GB2312"/>
              <w:szCs w:val="32"/>
              <w:lang w:val="en-US" w:eastAsia="zh-CN"/>
            </w:rPr>
            <w:t>功能</w:t>
          </w:r>
          <w:r>
            <w:rPr>
              <w:rFonts w:hint="eastAsia"/>
            </w:rPr>
            <w:t>描述</w:t>
          </w:r>
          <w:r>
            <w:tab/>
          </w:r>
          <w:r>
            <w:fldChar w:fldCharType="begin"/>
          </w:r>
          <w:r>
            <w:instrText xml:space="preserve"> PAGEREF _Toc379970912 \h </w:instrText>
          </w:r>
          <w:r>
            <w:fldChar w:fldCharType="separate"/>
          </w:r>
          <w:r>
            <w:t>61</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_Toc1702235453 </w:instrText>
          </w:r>
          <w:r>
            <w:fldChar w:fldCharType="separate"/>
          </w:r>
          <w:r>
            <w:rPr>
              <w:rFonts w:hint="default"/>
            </w:rPr>
            <w:t xml:space="preserve">3.5.2. </w:t>
          </w:r>
          <w:r>
            <w:rPr>
              <w:rFonts w:hint="eastAsia"/>
            </w:rPr>
            <w:t>技术实现</w:t>
          </w:r>
          <w:r>
            <w:rPr>
              <w:rFonts w:hint="eastAsia"/>
              <w:lang w:val="en-US" w:eastAsia="zh-CN"/>
            </w:rPr>
            <w:t>方案</w:t>
          </w:r>
          <w:r>
            <w:rPr>
              <w:rFonts w:hint="eastAsia"/>
            </w:rPr>
            <w:t>​</w:t>
          </w:r>
          <w:r>
            <w:tab/>
          </w:r>
          <w:r>
            <w:fldChar w:fldCharType="begin"/>
          </w:r>
          <w:r>
            <w:instrText xml:space="preserve"> PAGEREF _Toc1702235453 \h </w:instrText>
          </w:r>
          <w:r>
            <w:fldChar w:fldCharType="separate"/>
          </w:r>
          <w:r>
            <w:t>62</w:t>
          </w:r>
          <w:r>
            <w:fldChar w:fldCharType="end"/>
          </w:r>
          <w:r>
            <w:fldChar w:fldCharType="end"/>
          </w:r>
        </w:p>
        <w:p>
          <w:pPr>
            <w:pStyle w:val="17"/>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_Toc694113237 </w:instrText>
          </w:r>
          <w:r>
            <w:fldChar w:fldCharType="separate"/>
          </w:r>
          <w:r>
            <w:rPr>
              <w:rFonts w:hint="default" w:ascii="黑体" w:hAnsi="黑体" w:eastAsia="黑体"/>
              <w:szCs w:val="32"/>
            </w:rPr>
            <w:t xml:space="preserve">4. </w:t>
          </w:r>
          <w:r>
            <w:rPr>
              <w:rFonts w:hint="eastAsia" w:ascii="楷体_GB2312" w:hAnsi="楷体_GB2312" w:eastAsia="楷体_GB2312" w:cs="楷体_GB2312"/>
              <w:szCs w:val="32"/>
              <w:lang w:val="en-US" w:eastAsia="zh-CN"/>
            </w:rPr>
            <w:t>工作</w:t>
          </w:r>
          <w:r>
            <w:rPr>
              <w:rFonts w:hint="eastAsia" w:ascii="黑体" w:hAnsi="黑体" w:eastAsia="黑体"/>
              <w:szCs w:val="32"/>
            </w:rPr>
            <w:t>内容</w:t>
          </w:r>
          <w:r>
            <w:tab/>
          </w:r>
          <w:r>
            <w:fldChar w:fldCharType="begin"/>
          </w:r>
          <w:r>
            <w:instrText xml:space="preserve"> PAGEREF _Toc694113237 \h </w:instrText>
          </w:r>
          <w:r>
            <w:fldChar w:fldCharType="separate"/>
          </w:r>
          <w:r>
            <w:t>64</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_Toc830003755 </w:instrText>
          </w:r>
          <w:r>
            <w:fldChar w:fldCharType="separate"/>
          </w:r>
          <w:r>
            <w:rPr>
              <w:rFonts w:hint="default"/>
              <w:szCs w:val="32"/>
            </w:rPr>
            <w:t xml:space="preserve">4.1. </w:t>
          </w:r>
          <w:r>
            <w:rPr>
              <w:rFonts w:hint="eastAsia" w:ascii="楷体_GB2312" w:hAnsi="楷体_GB2312" w:eastAsia="楷体_GB2312" w:cs="楷体_GB2312"/>
              <w:szCs w:val="32"/>
              <w:lang w:val="en-US" w:eastAsia="zh-CN"/>
            </w:rPr>
            <w:t>需求</w:t>
          </w:r>
          <w:r>
            <w:rPr>
              <w:rFonts w:hint="eastAsia"/>
              <w:szCs w:val="32"/>
            </w:rPr>
            <w:t>深度调研与确认</w:t>
          </w:r>
          <w:r>
            <w:tab/>
          </w:r>
          <w:r>
            <w:fldChar w:fldCharType="begin"/>
          </w:r>
          <w:r>
            <w:instrText xml:space="preserve"> PAGEREF _Toc830003755 \h </w:instrText>
          </w:r>
          <w:r>
            <w:fldChar w:fldCharType="separate"/>
          </w:r>
          <w:r>
            <w:t>64</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_Toc1966823020 </w:instrText>
          </w:r>
          <w:r>
            <w:fldChar w:fldCharType="separate"/>
          </w:r>
          <w:r>
            <w:rPr>
              <w:rFonts w:hint="default"/>
              <w:szCs w:val="32"/>
            </w:rPr>
            <w:t xml:space="preserve">4.2. </w:t>
          </w:r>
          <w:r>
            <w:rPr>
              <w:rFonts w:hint="eastAsia" w:ascii="楷体_GB2312" w:hAnsi="楷体_GB2312" w:eastAsia="楷体_GB2312" w:cs="楷体_GB2312"/>
              <w:szCs w:val="32"/>
              <w:lang w:val="en-US" w:eastAsia="zh-CN"/>
            </w:rPr>
            <w:t>资源</w:t>
          </w:r>
          <w:r>
            <w:rPr>
              <w:rFonts w:hint="eastAsia"/>
              <w:szCs w:val="32"/>
            </w:rPr>
            <w:t>与环境搭建</w:t>
          </w:r>
          <w:r>
            <w:tab/>
          </w:r>
          <w:r>
            <w:fldChar w:fldCharType="begin"/>
          </w:r>
          <w:r>
            <w:instrText xml:space="preserve"> PAGEREF _Toc1966823020 \h </w:instrText>
          </w:r>
          <w:r>
            <w:fldChar w:fldCharType="separate"/>
          </w:r>
          <w:r>
            <w:t>65</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_Toc178718869 </w:instrText>
          </w:r>
          <w:r>
            <w:fldChar w:fldCharType="separate"/>
          </w:r>
          <w:r>
            <w:rPr>
              <w:rFonts w:hint="default"/>
              <w:szCs w:val="32"/>
            </w:rPr>
            <w:t xml:space="preserve">4.3. </w:t>
          </w:r>
          <w:r>
            <w:rPr>
              <w:rFonts w:hint="eastAsia"/>
              <w:szCs w:val="32"/>
            </w:rPr>
            <w:t>软件架构与模块开发</w:t>
          </w:r>
          <w:r>
            <w:tab/>
          </w:r>
          <w:r>
            <w:fldChar w:fldCharType="begin"/>
          </w:r>
          <w:r>
            <w:instrText xml:space="preserve"> PAGEREF _Toc178718869 \h </w:instrText>
          </w:r>
          <w:r>
            <w:fldChar w:fldCharType="separate"/>
          </w:r>
          <w:r>
            <w:t>65</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_Toc1545892777 </w:instrText>
          </w:r>
          <w:r>
            <w:fldChar w:fldCharType="separate"/>
          </w:r>
          <w:r>
            <w:rPr>
              <w:rFonts w:hint="default"/>
              <w:szCs w:val="32"/>
            </w:rPr>
            <w:t xml:space="preserve">4.4. </w:t>
          </w:r>
          <w:r>
            <w:rPr>
              <w:rFonts w:hint="eastAsia"/>
              <w:szCs w:val="32"/>
            </w:rPr>
            <w:t>20类模型与4类平台适配调试</w:t>
          </w:r>
          <w:r>
            <w:tab/>
          </w:r>
          <w:r>
            <w:fldChar w:fldCharType="begin"/>
          </w:r>
          <w:r>
            <w:instrText xml:space="preserve"> PAGEREF _Toc1545892777 \h </w:instrText>
          </w:r>
          <w:r>
            <w:fldChar w:fldCharType="separate"/>
          </w:r>
          <w:r>
            <w:t>66</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_Toc1562741633 </w:instrText>
          </w:r>
          <w:r>
            <w:fldChar w:fldCharType="separate"/>
          </w:r>
          <w:r>
            <w:rPr>
              <w:rFonts w:hint="default"/>
              <w:szCs w:val="32"/>
            </w:rPr>
            <w:t xml:space="preserve">4.5. </w:t>
          </w:r>
          <w:r>
            <w:rPr>
              <w:rFonts w:hint="eastAsia" w:ascii="楷体_GB2312" w:hAnsi="楷体_GB2312" w:eastAsia="楷体_GB2312" w:cs="楷体_GB2312"/>
              <w:szCs w:val="32"/>
              <w:lang w:val="en-US" w:eastAsia="zh-CN"/>
            </w:rPr>
            <w:t>功能</w:t>
          </w:r>
          <w:r>
            <w:rPr>
              <w:rFonts w:hint="eastAsia"/>
              <w:szCs w:val="32"/>
            </w:rPr>
            <w:t>与性能测试</w:t>
          </w:r>
          <w:r>
            <w:rPr>
              <w:rFonts w:hint="eastAsia"/>
              <w:szCs w:val="32"/>
              <w:lang w:eastAsia="zh-CN"/>
            </w:rPr>
            <w:t>、问题修复与优化</w:t>
          </w:r>
          <w:r>
            <w:tab/>
          </w:r>
          <w:r>
            <w:fldChar w:fldCharType="begin"/>
          </w:r>
          <w:r>
            <w:instrText xml:space="preserve"> PAGEREF _Toc1562741633 \h </w:instrText>
          </w:r>
          <w:r>
            <w:fldChar w:fldCharType="separate"/>
          </w:r>
          <w:r>
            <w:t>66</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_Toc1273623021 </w:instrText>
          </w:r>
          <w:r>
            <w:fldChar w:fldCharType="separate"/>
          </w:r>
          <w:r>
            <w:rPr>
              <w:rFonts w:hint="default"/>
              <w:szCs w:val="32"/>
            </w:rPr>
            <w:t xml:space="preserve">4.6. </w:t>
          </w:r>
          <w:r>
            <w:rPr>
              <w:rFonts w:hint="eastAsia"/>
              <w:szCs w:val="32"/>
            </w:rPr>
            <w:t>交付与服务阶段</w:t>
          </w:r>
          <w:r>
            <w:tab/>
          </w:r>
          <w:r>
            <w:fldChar w:fldCharType="begin"/>
          </w:r>
          <w:r>
            <w:instrText xml:space="preserve"> PAGEREF _Toc1273623021 \h </w:instrText>
          </w:r>
          <w:r>
            <w:fldChar w:fldCharType="separate"/>
          </w:r>
          <w:r>
            <w:t>66</w:t>
          </w:r>
          <w:r>
            <w:fldChar w:fldCharType="end"/>
          </w:r>
          <w:r>
            <w:fldChar w:fldCharType="end"/>
          </w:r>
        </w:p>
        <w:p>
          <w:pPr>
            <w:pStyle w:val="17"/>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_Toc1812604298 </w:instrText>
          </w:r>
          <w:r>
            <w:fldChar w:fldCharType="separate"/>
          </w:r>
          <w:r>
            <w:rPr>
              <w:rFonts w:hint="default" w:ascii="黑体" w:hAnsi="黑体" w:eastAsia="黑体"/>
              <w:szCs w:val="32"/>
            </w:rPr>
            <w:t xml:space="preserve">5. </w:t>
          </w:r>
          <w:r>
            <w:rPr>
              <w:rFonts w:hint="eastAsia" w:ascii="黑体" w:hAnsi="黑体" w:eastAsia="黑体"/>
              <w:szCs w:val="32"/>
            </w:rPr>
            <w:t>运行环境与部署方案</w:t>
          </w:r>
          <w:r>
            <w:tab/>
          </w:r>
          <w:r>
            <w:fldChar w:fldCharType="begin"/>
          </w:r>
          <w:r>
            <w:instrText xml:space="preserve"> PAGEREF _Toc1812604298 \h </w:instrText>
          </w:r>
          <w:r>
            <w:fldChar w:fldCharType="separate"/>
          </w:r>
          <w:r>
            <w:t>66</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_Toc237420144 </w:instrText>
          </w:r>
          <w:r>
            <w:fldChar w:fldCharType="separate"/>
          </w:r>
          <w:r>
            <w:rPr>
              <w:rFonts w:hint="default"/>
              <w:szCs w:val="32"/>
            </w:rPr>
            <w:t xml:space="preserve">5.1. </w:t>
          </w:r>
          <w:r>
            <w:rPr>
              <w:rFonts w:hint="eastAsia"/>
              <w:szCs w:val="32"/>
              <w:lang w:val="en-US" w:eastAsia="zh-CN"/>
            </w:rPr>
            <w:t>硬件环境</w:t>
          </w:r>
          <w:r>
            <w:tab/>
          </w:r>
          <w:r>
            <w:fldChar w:fldCharType="begin"/>
          </w:r>
          <w:r>
            <w:instrText xml:space="preserve"> PAGEREF _Toc237420144 \h </w:instrText>
          </w:r>
          <w:r>
            <w:fldChar w:fldCharType="separate"/>
          </w:r>
          <w:r>
            <w:t>66</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_Toc295744082 </w:instrText>
          </w:r>
          <w:r>
            <w:fldChar w:fldCharType="separate"/>
          </w:r>
          <w:r>
            <w:rPr>
              <w:rFonts w:hint="default"/>
              <w:szCs w:val="32"/>
            </w:rPr>
            <w:t xml:space="preserve">5.2. </w:t>
          </w:r>
          <w:r>
            <w:rPr>
              <w:rFonts w:hint="eastAsia" w:ascii="仿宋_GB2312" w:eastAsia="仿宋_GB2312"/>
              <w:szCs w:val="32"/>
              <w:lang w:val="en-US" w:eastAsia="zh-CN"/>
            </w:rPr>
            <w:t>软件环境</w:t>
          </w:r>
          <w:r>
            <w:tab/>
          </w:r>
          <w:r>
            <w:fldChar w:fldCharType="begin"/>
          </w:r>
          <w:r>
            <w:instrText xml:space="preserve"> PAGEREF _Toc295744082 \h </w:instrText>
          </w:r>
          <w:r>
            <w:fldChar w:fldCharType="separate"/>
          </w:r>
          <w:r>
            <w:t>67</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_Toc1293627016 </w:instrText>
          </w:r>
          <w:r>
            <w:fldChar w:fldCharType="separate"/>
          </w:r>
          <w:r>
            <w:rPr>
              <w:rFonts w:hint="default"/>
              <w:szCs w:val="32"/>
            </w:rPr>
            <w:t xml:space="preserve">5.3. </w:t>
          </w:r>
          <w:r>
            <w:rPr>
              <w:rFonts w:hint="eastAsia" w:ascii="仿宋_GB2312" w:eastAsia="仿宋_GB2312"/>
              <w:szCs w:val="32"/>
              <w:lang w:val="en-US" w:eastAsia="zh-CN"/>
            </w:rPr>
            <w:t>部署流程</w:t>
          </w:r>
          <w:r>
            <w:tab/>
          </w:r>
          <w:r>
            <w:fldChar w:fldCharType="begin"/>
          </w:r>
          <w:r>
            <w:instrText xml:space="preserve"> PAGEREF _Toc1293627016 \h </w:instrText>
          </w:r>
          <w:r>
            <w:fldChar w:fldCharType="separate"/>
          </w:r>
          <w:r>
            <w:t>68</w:t>
          </w:r>
          <w:r>
            <w:fldChar w:fldCharType="end"/>
          </w:r>
          <w:r>
            <w:fldChar w:fldCharType="end"/>
          </w:r>
        </w:p>
        <w:p>
          <w:pPr>
            <w:pStyle w:val="17"/>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_Toc864815684 </w:instrText>
          </w:r>
          <w:r>
            <w:fldChar w:fldCharType="separate"/>
          </w:r>
          <w:r>
            <w:rPr>
              <w:rFonts w:hint="default" w:ascii="黑体" w:hAnsi="黑体" w:eastAsia="黑体"/>
              <w:szCs w:val="32"/>
            </w:rPr>
            <w:t xml:space="preserve">6. </w:t>
          </w:r>
          <w:r>
            <w:rPr>
              <w:rFonts w:hint="eastAsia" w:ascii="黑体" w:hAnsi="黑体" w:eastAsia="黑体"/>
              <w:szCs w:val="32"/>
            </w:rPr>
            <w:t>项目实施计划</w:t>
          </w:r>
          <w:r>
            <w:tab/>
          </w:r>
          <w:r>
            <w:fldChar w:fldCharType="begin"/>
          </w:r>
          <w:r>
            <w:instrText xml:space="preserve"> PAGEREF _Toc864815684 \h </w:instrText>
          </w:r>
          <w:r>
            <w:fldChar w:fldCharType="separate"/>
          </w:r>
          <w:r>
            <w:t>68</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_Toc787878092 </w:instrText>
          </w:r>
          <w:r>
            <w:fldChar w:fldCharType="separate"/>
          </w:r>
          <w:r>
            <w:rPr>
              <w:rFonts w:hint="default"/>
              <w:szCs w:val="32"/>
            </w:rPr>
            <w:t xml:space="preserve">6.1. </w:t>
          </w:r>
          <w:r>
            <w:rPr>
              <w:rFonts w:hint="eastAsia" w:ascii="仿宋_GB2312" w:eastAsia="仿宋_GB2312"/>
              <w:szCs w:val="32"/>
              <w:lang w:val="en-US" w:eastAsia="zh-CN"/>
            </w:rPr>
            <w:t>进度安排</w:t>
          </w:r>
          <w:r>
            <w:tab/>
          </w:r>
          <w:r>
            <w:fldChar w:fldCharType="begin"/>
          </w:r>
          <w:r>
            <w:instrText xml:space="preserve"> PAGEREF _Toc787878092 \h </w:instrText>
          </w:r>
          <w:r>
            <w:fldChar w:fldCharType="separate"/>
          </w:r>
          <w:r>
            <w:t>69</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_Toc482924842 </w:instrText>
          </w:r>
          <w:r>
            <w:fldChar w:fldCharType="separate"/>
          </w:r>
          <w:r>
            <w:rPr>
              <w:rFonts w:hint="default"/>
              <w:szCs w:val="32"/>
            </w:rPr>
            <w:t xml:space="preserve">6.2. </w:t>
          </w:r>
          <w:r>
            <w:rPr>
              <w:rFonts w:hint="eastAsia" w:ascii="仿宋_GB2312" w:eastAsia="仿宋_GB2312"/>
              <w:szCs w:val="32"/>
              <w:lang w:val="en-US" w:eastAsia="zh-CN"/>
            </w:rPr>
            <w:t>关键里程碑管控</w:t>
          </w:r>
          <w:r>
            <w:tab/>
          </w:r>
          <w:r>
            <w:fldChar w:fldCharType="begin"/>
          </w:r>
          <w:r>
            <w:instrText xml:space="preserve"> PAGEREF _Toc482924842 \h </w:instrText>
          </w:r>
          <w:r>
            <w:fldChar w:fldCharType="separate"/>
          </w:r>
          <w:r>
            <w:t>69</w:t>
          </w:r>
          <w:r>
            <w:fldChar w:fldCharType="end"/>
          </w:r>
          <w:r>
            <w:fldChar w:fldCharType="end"/>
          </w:r>
        </w:p>
        <w:p>
          <w:pPr>
            <w:pStyle w:val="17"/>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_Toc1177117481 </w:instrText>
          </w:r>
          <w:r>
            <w:fldChar w:fldCharType="separate"/>
          </w:r>
          <w:r>
            <w:rPr>
              <w:rFonts w:hint="default" w:ascii="黑体" w:hAnsi="黑体" w:eastAsia="黑体"/>
              <w:szCs w:val="32"/>
            </w:rPr>
            <w:t xml:space="preserve">7. </w:t>
          </w:r>
          <w:r>
            <w:rPr>
              <w:rFonts w:hint="eastAsia" w:ascii="黑体" w:hAnsi="黑体" w:eastAsia="黑体"/>
              <w:szCs w:val="32"/>
            </w:rPr>
            <w:t>交付成果清单</w:t>
          </w:r>
          <w:r>
            <w:tab/>
          </w:r>
          <w:r>
            <w:fldChar w:fldCharType="begin"/>
          </w:r>
          <w:r>
            <w:instrText xml:space="preserve"> PAGEREF _Toc1177117481 \h </w:instrText>
          </w:r>
          <w:r>
            <w:fldChar w:fldCharType="separate"/>
          </w:r>
          <w:r>
            <w:t>70</w:t>
          </w:r>
          <w:r>
            <w:fldChar w:fldCharType="end"/>
          </w:r>
          <w:r>
            <w:fldChar w:fldCharType="end"/>
          </w:r>
        </w:p>
        <w:p>
          <w:pPr>
            <w:pStyle w:val="17"/>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_Toc1194147003 </w:instrText>
          </w:r>
          <w:r>
            <w:fldChar w:fldCharType="separate"/>
          </w:r>
          <w:r>
            <w:rPr>
              <w:rFonts w:hint="default" w:ascii="黑体" w:hAnsi="黑体" w:eastAsia="黑体"/>
              <w:szCs w:val="32"/>
            </w:rPr>
            <w:t xml:space="preserve">8. </w:t>
          </w:r>
          <w:r>
            <w:rPr>
              <w:rFonts w:hint="eastAsia" w:ascii="黑体" w:hAnsi="黑体" w:eastAsia="黑体"/>
              <w:szCs w:val="32"/>
            </w:rPr>
            <w:t>项目保障体系</w:t>
          </w:r>
          <w:r>
            <w:tab/>
          </w:r>
          <w:r>
            <w:fldChar w:fldCharType="begin"/>
          </w:r>
          <w:r>
            <w:instrText xml:space="preserve"> PAGEREF _Toc1194147003 \h </w:instrText>
          </w:r>
          <w:r>
            <w:fldChar w:fldCharType="separate"/>
          </w:r>
          <w:r>
            <w:t>71</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_Toc1793998206 </w:instrText>
          </w:r>
          <w:r>
            <w:fldChar w:fldCharType="separate"/>
          </w:r>
          <w:r>
            <w:rPr>
              <w:rFonts w:hint="default" w:ascii="仿宋_GB2312" w:eastAsia="仿宋_GB2312"/>
              <w:szCs w:val="32"/>
              <w:lang w:val="en-US" w:eastAsia="zh-CN"/>
            </w:rPr>
            <w:t xml:space="preserve">8.1. </w:t>
          </w:r>
          <w:r>
            <w:rPr>
              <w:rFonts w:hint="eastAsia" w:ascii="仿宋_GB2312" w:eastAsia="仿宋_GB2312"/>
              <w:szCs w:val="32"/>
              <w:lang w:val="en-US" w:eastAsia="zh-CN"/>
            </w:rPr>
            <w:t>团队配置</w:t>
          </w:r>
          <w:r>
            <w:tab/>
          </w:r>
          <w:r>
            <w:fldChar w:fldCharType="begin"/>
          </w:r>
          <w:r>
            <w:instrText xml:space="preserve"> PAGEREF _Toc1793998206 \h </w:instrText>
          </w:r>
          <w:r>
            <w:fldChar w:fldCharType="separate"/>
          </w:r>
          <w:r>
            <w:t>71</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_Toc1057444362 </w:instrText>
          </w:r>
          <w:r>
            <w:fldChar w:fldCharType="separate"/>
          </w:r>
          <w:r>
            <w:rPr>
              <w:rFonts w:hint="default"/>
              <w:szCs w:val="32"/>
            </w:rPr>
            <w:t xml:space="preserve">8.2. </w:t>
          </w:r>
          <w:r>
            <w:rPr>
              <w:rFonts w:hint="eastAsia"/>
              <w:szCs w:val="32"/>
              <w:lang w:val="en-US" w:eastAsia="zh-CN"/>
            </w:rPr>
            <w:t>售后服务</w:t>
          </w:r>
          <w:r>
            <w:tab/>
          </w:r>
          <w:r>
            <w:fldChar w:fldCharType="begin"/>
          </w:r>
          <w:r>
            <w:instrText xml:space="preserve"> PAGEREF _Toc1057444362 \h </w:instrText>
          </w:r>
          <w:r>
            <w:fldChar w:fldCharType="separate"/>
          </w:r>
          <w:r>
            <w:t>71</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_Toc2040213209 </w:instrText>
          </w:r>
          <w:r>
            <w:fldChar w:fldCharType="separate"/>
          </w:r>
          <w:r>
            <w:rPr>
              <w:rFonts w:hint="default"/>
              <w:szCs w:val="32"/>
            </w:rPr>
            <w:t xml:space="preserve">8.3. </w:t>
          </w:r>
          <w:r>
            <w:rPr>
              <w:rFonts w:hint="eastAsia" w:ascii="仿宋_GB2312" w:eastAsia="仿宋_GB2312"/>
              <w:szCs w:val="32"/>
              <w:lang w:val="en-US" w:eastAsia="zh-CN"/>
            </w:rPr>
            <w:t>资质保障</w:t>
          </w:r>
          <w:r>
            <w:tab/>
          </w:r>
          <w:r>
            <w:fldChar w:fldCharType="begin"/>
          </w:r>
          <w:r>
            <w:instrText xml:space="preserve"> PAGEREF _Toc2040213209 \h </w:instrText>
          </w:r>
          <w:r>
            <w:fldChar w:fldCharType="separate"/>
          </w:r>
          <w:r>
            <w:t>72</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_Toc992012014 </w:instrText>
          </w:r>
          <w:r>
            <w:fldChar w:fldCharType="separate"/>
          </w:r>
          <w:r>
            <w:rPr>
              <w:rFonts w:hint="default"/>
              <w:szCs w:val="32"/>
            </w:rPr>
            <w:t xml:space="preserve">8.4. </w:t>
          </w:r>
          <w:r>
            <w:rPr>
              <w:rFonts w:hint="eastAsia"/>
              <w:szCs w:val="32"/>
              <w:lang w:val="en-US" w:eastAsia="zh-CN"/>
            </w:rPr>
            <w:t>配套能力</w:t>
          </w:r>
          <w:r>
            <w:tab/>
          </w:r>
          <w:r>
            <w:fldChar w:fldCharType="begin"/>
          </w:r>
          <w:r>
            <w:instrText xml:space="preserve"> PAGEREF _Toc992012014 \h </w:instrText>
          </w:r>
          <w:r>
            <w:fldChar w:fldCharType="separate"/>
          </w:r>
          <w:r>
            <w:t>72</w:t>
          </w:r>
          <w:r>
            <w:fldChar w:fldCharType="end"/>
          </w:r>
          <w:r>
            <w:fldChar w:fldCharType="end"/>
          </w:r>
        </w:p>
        <w:p>
          <w:pPr>
            <w:pStyle w:val="17"/>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_Toc1830367637 </w:instrText>
          </w:r>
          <w:r>
            <w:fldChar w:fldCharType="separate"/>
          </w:r>
          <w:r>
            <w:rPr>
              <w:rFonts w:hint="default" w:ascii="黑体" w:hAnsi="黑体" w:eastAsia="黑体"/>
              <w:szCs w:val="32"/>
            </w:rPr>
            <w:t xml:space="preserve">9. </w:t>
          </w:r>
          <w:r>
            <w:rPr>
              <w:rFonts w:hint="eastAsia" w:ascii="黑体" w:hAnsi="黑体" w:eastAsia="黑体"/>
              <w:szCs w:val="32"/>
            </w:rPr>
            <w:t>技术响应说明</w:t>
          </w:r>
          <w:r>
            <w:tab/>
          </w:r>
          <w:r>
            <w:fldChar w:fldCharType="begin"/>
          </w:r>
          <w:r>
            <w:instrText xml:space="preserve"> PAGEREF _Toc1830367637 \h </w:instrText>
          </w:r>
          <w:r>
            <w:fldChar w:fldCharType="separate"/>
          </w:r>
          <w:r>
            <w:t>73</w:t>
          </w:r>
          <w:r>
            <w:fldChar w:fldCharType="end"/>
          </w:r>
          <w:r>
            <w:fldChar w:fldCharType="end"/>
          </w:r>
        </w:p>
        <w:p>
          <w:pPr>
            <w:rPr>
              <w:b/>
              <w:szCs w:val="32"/>
            </w:rPr>
          </w:pPr>
          <w:r>
            <w:fldChar w:fldCharType="end"/>
          </w:r>
        </w:p>
      </w:sdtContent>
    </w:sdt>
    <w:p>
      <w:pPr>
        <w:widowControl/>
        <w:ind w:firstLine="712"/>
        <w:jc w:val="center"/>
        <w:rPr>
          <w:rFonts w:ascii="楷体_GB2312" w:eastAsia="楷体_GB2312"/>
          <w:sz w:val="36"/>
          <w:szCs w:val="36"/>
        </w:rPr>
      </w:pPr>
    </w:p>
    <w:p>
      <w:pPr>
        <w:widowControl/>
        <w:rPr>
          <w:sz w:val="32"/>
          <w:szCs w:val="32"/>
        </w:rPr>
        <w:sectPr>
          <w:pgSz w:w="11907" w:h="16840"/>
          <w:pgMar w:top="2098" w:right="1474" w:bottom="1814" w:left="1587" w:header="851" w:footer="1607" w:gutter="0"/>
          <w:cols w:space="720" w:num="1"/>
          <w:docGrid w:type="linesAndChars" w:linePitch="586" w:charSpace="-842"/>
        </w:sectPr>
      </w:pPr>
    </w:p>
    <w:p>
      <w:pPr>
        <w:numPr>
          <w:ilvl w:val="0"/>
          <w:numId w:val="1"/>
        </w:numPr>
        <w:tabs>
          <w:tab w:val="left" w:pos="0"/>
        </w:tabs>
        <w:ind w:left="425" w:leftChars="0" w:hanging="425" w:firstLineChars="0"/>
        <w:outlineLvl w:val="0"/>
        <w:rPr>
          <w:rFonts w:hint="eastAsia" w:ascii="楷体_GB2312" w:hAnsi="楷体_GB2312" w:eastAsia="楷体_GB2312" w:cs="楷体_GB2312"/>
          <w:sz w:val="32"/>
          <w:szCs w:val="32"/>
          <w:lang w:val="en-US" w:eastAsia="zh-CN"/>
        </w:rPr>
      </w:pPr>
      <w:bookmarkStart w:id="0" w:name="_Toc372529518"/>
      <w:bookmarkStart w:id="1" w:name="_Toc357423493"/>
      <w:bookmarkStart w:id="2" w:name="_Toc198653961"/>
      <w:bookmarkStart w:id="3" w:name="_Toc1104178134"/>
      <w:r>
        <w:rPr>
          <w:rFonts w:hint="eastAsia" w:ascii="楷体_GB2312" w:hAnsi="楷体_GB2312" w:eastAsia="楷体_GB2312" w:cs="楷体_GB2312"/>
          <w:sz w:val="32"/>
          <w:szCs w:val="32"/>
          <w:lang w:val="en-US" w:eastAsia="zh-CN"/>
        </w:rPr>
        <w:t>基本情况</w:t>
      </w:r>
      <w:bookmarkEnd w:id="0"/>
      <w:bookmarkEnd w:id="1"/>
      <w:bookmarkEnd w:id="2"/>
      <w:bookmarkEnd w:id="3"/>
    </w:p>
    <w:p>
      <w:pPr>
        <w:numPr>
          <w:ilvl w:val="1"/>
          <w:numId w:val="1"/>
        </w:numPr>
        <w:tabs>
          <w:tab w:val="left" w:pos="0"/>
        </w:tabs>
        <w:ind w:left="850" w:leftChars="0" w:hanging="453" w:firstLineChars="0"/>
        <w:outlineLvl w:val="1"/>
        <w:rPr>
          <w:rFonts w:hint="eastAsia" w:ascii="楷体_GB2312" w:hAnsi="楷体_GB2312" w:eastAsia="楷体_GB2312" w:cs="楷体_GB2312"/>
          <w:sz w:val="32"/>
          <w:szCs w:val="32"/>
          <w:lang w:val="en-US" w:eastAsia="zh-CN"/>
        </w:rPr>
      </w:pPr>
      <w:bookmarkStart w:id="4" w:name="_Toc704886192"/>
      <w:bookmarkStart w:id="5" w:name="_Toc1515704411"/>
      <w:bookmarkStart w:id="6" w:name="_Toc198653962"/>
      <w:r>
        <w:rPr>
          <w:rFonts w:hint="eastAsia" w:ascii="楷体_GB2312" w:hAnsi="楷体_GB2312" w:eastAsia="楷体_GB2312" w:cs="楷体_GB2312"/>
          <w:sz w:val="32"/>
          <w:szCs w:val="32"/>
          <w:lang w:val="en-US" w:eastAsia="zh-CN"/>
        </w:rPr>
        <w:t>项目背景</w:t>
      </w:r>
      <w:bookmarkEnd w:id="4"/>
      <w:bookmarkEnd w:id="5"/>
      <w:bookmarkEnd w:id="6"/>
    </w:p>
    <w:p>
      <w:pPr>
        <w:pStyle w:val="2"/>
        <w:ind w:firstLine="552"/>
      </w:pPr>
      <w:r>
        <w:rPr>
          <w:rFonts w:hint="eastAsia"/>
        </w:rPr>
        <w:t>本工具为软件形式在试验场内场调试机内安装，可支持各类载荷的智能模型进行跨平台、跨底层架构的模型格式转化，可支撑智能模型的部署测试。</w:t>
      </w:r>
    </w:p>
    <w:p>
      <w:pPr>
        <w:numPr>
          <w:ilvl w:val="1"/>
          <w:numId w:val="1"/>
        </w:numPr>
        <w:tabs>
          <w:tab w:val="left" w:pos="0"/>
        </w:tabs>
        <w:ind w:left="850" w:leftChars="0" w:hanging="453" w:firstLineChars="0"/>
        <w:outlineLvl w:val="1"/>
        <w:rPr>
          <w:rFonts w:hint="eastAsia" w:ascii="楷体_GB2312" w:hAnsi="楷体_GB2312" w:eastAsia="楷体_GB2312" w:cs="楷体_GB2312"/>
          <w:sz w:val="32"/>
          <w:szCs w:val="32"/>
          <w:lang w:val="en-US" w:eastAsia="zh-CN"/>
        </w:rPr>
      </w:pPr>
      <w:bookmarkStart w:id="7" w:name="_Toc1502432092"/>
      <w:bookmarkStart w:id="8" w:name="_Toc198653963"/>
      <w:bookmarkStart w:id="9" w:name="_Toc993014963"/>
      <w:r>
        <w:rPr>
          <w:rFonts w:hint="eastAsia" w:ascii="楷体_GB2312" w:hAnsi="楷体_GB2312" w:eastAsia="楷体_GB2312" w:cs="楷体_GB2312"/>
          <w:sz w:val="32"/>
          <w:szCs w:val="32"/>
          <w:lang w:val="en-US" w:eastAsia="zh-CN"/>
        </w:rPr>
        <w:t>项目内容</w:t>
      </w:r>
      <w:bookmarkEnd w:id="7"/>
      <w:bookmarkEnd w:id="8"/>
      <w:bookmarkEnd w:id="9"/>
    </w:p>
    <w:p>
      <w:pPr>
        <w:numPr>
          <w:ilvl w:val="2"/>
          <w:numId w:val="1"/>
        </w:numPr>
        <w:tabs>
          <w:tab w:val="left" w:pos="0"/>
        </w:tabs>
        <w:ind w:left="1508" w:leftChars="0" w:hanging="708" w:firstLineChars="0"/>
        <w:outlineLvl w:val="2"/>
        <w:rPr>
          <w:rFonts w:hint="eastAsia"/>
          <w:sz w:val="32"/>
          <w:szCs w:val="32"/>
        </w:rPr>
      </w:pPr>
      <w:bookmarkStart w:id="10" w:name="_Toc1507062304"/>
      <w:r>
        <w:rPr>
          <w:rFonts w:hint="default" w:ascii="仿宋_GB2312" w:hAnsi="仿宋_GB2312" w:eastAsia="仿宋_GB2312" w:cs="仿宋_GB2312"/>
          <w:sz w:val="32"/>
          <w:szCs w:val="32"/>
        </w:rPr>
        <w:t>功能</w:t>
      </w:r>
      <w:r>
        <w:rPr>
          <w:rFonts w:hint="default" w:ascii="仿宋_GB2312" w:hAnsi="仿宋_GB2312" w:eastAsia="仿宋_GB2312" w:cs="仿宋_GB2312"/>
          <w:sz w:val="32"/>
          <w:szCs w:val="32"/>
          <w:lang w:val="en-US" w:eastAsia="zh-CN"/>
        </w:rPr>
        <w:t>指标</w:t>
      </w:r>
      <w:bookmarkEnd w:id="10"/>
    </w:p>
    <w:p>
      <w:pPr>
        <w:numPr>
          <w:ilvl w:val="1"/>
          <w:numId w:val="2"/>
        </w:numPr>
        <w:outlineLvl w:val="9"/>
        <w:rPr>
          <w:rFonts w:hint="eastAsia"/>
        </w:rPr>
      </w:pPr>
      <w:r>
        <w:rPr>
          <w:rFonts w:hint="eastAsia"/>
        </w:rPr>
        <w:t>可支持模型的跨平台、跨底层架构的格式转化；</w:t>
      </w:r>
    </w:p>
    <w:p>
      <w:pPr>
        <w:numPr>
          <w:ilvl w:val="1"/>
          <w:numId w:val="2"/>
        </w:numPr>
        <w:outlineLvl w:val="9"/>
        <w:rPr>
          <w:rFonts w:hint="eastAsia"/>
        </w:rPr>
      </w:pPr>
      <w:r>
        <w:rPr>
          <w:rFonts w:hint="eastAsia"/>
        </w:rPr>
        <w:t>可根据模型格式进行模型可视化。</w:t>
      </w:r>
    </w:p>
    <w:p>
      <w:pPr>
        <w:numPr>
          <w:ilvl w:val="2"/>
          <w:numId w:val="1"/>
        </w:numPr>
        <w:tabs>
          <w:tab w:val="left" w:pos="0"/>
        </w:tabs>
        <w:ind w:left="1508" w:leftChars="0" w:hanging="708" w:firstLineChars="0"/>
        <w:outlineLvl w:val="2"/>
        <w:rPr>
          <w:rFonts w:hint="eastAsia"/>
          <w:sz w:val="32"/>
          <w:szCs w:val="32"/>
        </w:rPr>
      </w:pPr>
      <w:bookmarkStart w:id="11" w:name="_Toc1774010610"/>
      <w:r>
        <w:rPr>
          <w:rFonts w:hint="eastAsia"/>
          <w:sz w:val="32"/>
          <w:szCs w:val="32"/>
        </w:rPr>
        <w:t>性能指标</w:t>
      </w:r>
      <w:bookmarkEnd w:id="11"/>
    </w:p>
    <w:p>
      <w:pPr>
        <w:numPr>
          <w:ilvl w:val="1"/>
          <w:numId w:val="3"/>
        </w:numPr>
        <w:outlineLvl w:val="9"/>
        <w:rPr>
          <w:rFonts w:hint="eastAsia"/>
        </w:rPr>
      </w:pPr>
      <w:r>
        <w:rPr>
          <w:rFonts w:hint="eastAsia"/>
        </w:rPr>
        <w:t>可支持不少于20类主流目标检测、目标分类、目标跟踪、自然语言大模型等智能体模型的网络结构可视化；</w:t>
      </w:r>
    </w:p>
    <w:p>
      <w:pPr>
        <w:numPr>
          <w:ilvl w:val="1"/>
          <w:numId w:val="3"/>
        </w:numPr>
        <w:outlineLvl w:val="9"/>
        <w:rPr>
          <w:rFonts w:hint="eastAsia"/>
        </w:rPr>
      </w:pPr>
      <w:r>
        <w:rPr>
          <w:rFonts w:hint="eastAsia"/>
        </w:rPr>
        <w:t>可支持不少于20类主流目标检测、目标分类、目标跟踪、自然语言大模型等智能体模型的格式转化；</w:t>
      </w:r>
    </w:p>
    <w:p>
      <w:pPr>
        <w:numPr>
          <w:ilvl w:val="1"/>
          <w:numId w:val="3"/>
        </w:numPr>
        <w:outlineLvl w:val="9"/>
      </w:pPr>
      <w:r>
        <w:rPr>
          <w:rFonts w:hint="eastAsia"/>
        </w:rPr>
        <w:t>支持不少于4种包括华为、瑞星微、英伟达、寒武纪平台模型的转化。</w:t>
      </w:r>
    </w:p>
    <w:p>
      <w:pPr>
        <w:numPr>
          <w:ilvl w:val="1"/>
          <w:numId w:val="1"/>
        </w:numPr>
        <w:tabs>
          <w:tab w:val="left" w:pos="0"/>
        </w:tabs>
        <w:ind w:left="850" w:leftChars="0" w:hanging="453" w:firstLineChars="0"/>
        <w:outlineLvl w:val="1"/>
        <w:rPr>
          <w:rFonts w:hint="eastAsia" w:ascii="楷体_GB2312" w:hAnsi="楷体_GB2312" w:eastAsia="楷体_GB2312" w:cs="楷体_GB2312"/>
          <w:sz w:val="32"/>
          <w:szCs w:val="32"/>
          <w:lang w:val="en-US" w:eastAsia="zh-CN"/>
        </w:rPr>
      </w:pPr>
      <w:bookmarkStart w:id="12" w:name="_Toc133367322"/>
      <w:r>
        <w:rPr>
          <w:rFonts w:hint="eastAsia" w:ascii="楷体_GB2312" w:hAnsi="楷体_GB2312" w:eastAsia="楷体_GB2312" w:cs="楷体_GB2312"/>
          <w:sz w:val="32"/>
          <w:szCs w:val="32"/>
          <w:lang w:val="en-US" w:eastAsia="zh-CN"/>
        </w:rPr>
        <w:t>项目范围</w:t>
      </w:r>
      <w:bookmarkEnd w:id="12"/>
    </w:p>
    <w:p>
      <w:pPr>
        <w:pStyle w:val="2"/>
        <w:rPr>
          <w:rFonts w:hint="eastAsia"/>
        </w:rPr>
      </w:pPr>
      <w:r>
        <w:rPr>
          <w:rFonts w:hint="eastAsia"/>
        </w:rPr>
        <w:t>项目覆盖 “模型接入 - 格式转化 - 可视化分析 - 推理验证 - 任务监控” 全流程，具体包括：</w:t>
      </w:r>
    </w:p>
    <w:p>
      <w:pPr>
        <w:pStyle w:val="2"/>
        <w:numPr>
          <w:ilvl w:val="0"/>
          <w:numId w:val="4"/>
        </w:numPr>
        <w:ind w:left="420" w:leftChars="0" w:hanging="420" w:firstLineChars="0"/>
        <w:rPr>
          <w:rFonts w:hint="eastAsia"/>
        </w:rPr>
      </w:pPr>
      <w:r>
        <w:rPr>
          <w:rFonts w:hint="eastAsia"/>
        </w:rPr>
        <w:t>模型全生命周期管理：支持多格式模型（PyTorch、TensorFlow、ONNX 等）的上传、元数据维护、版本控制与检索；</w:t>
      </w:r>
    </w:p>
    <w:p>
      <w:pPr>
        <w:pStyle w:val="2"/>
        <w:numPr>
          <w:ilvl w:val="0"/>
          <w:numId w:val="4"/>
        </w:numPr>
        <w:ind w:left="420" w:leftChars="0" w:hanging="420" w:firstLineChars="0"/>
        <w:rPr>
          <w:rFonts w:hint="eastAsia"/>
        </w:rPr>
      </w:pPr>
      <w:r>
        <w:rPr>
          <w:rFonts w:hint="eastAsia"/>
        </w:rPr>
        <w:t>跨平台格式转化：实现 “原生格式→ONNX 中间格式→目标平台格式” 的自动化转换，适配 4 类平台原生格式（OM、RKNN、TensorRT Engine、CNModel）；</w:t>
      </w:r>
    </w:p>
    <w:p>
      <w:pPr>
        <w:pStyle w:val="2"/>
        <w:numPr>
          <w:ilvl w:val="0"/>
          <w:numId w:val="4"/>
        </w:numPr>
        <w:ind w:left="420" w:leftChars="0" w:hanging="420" w:firstLineChars="0"/>
        <w:rPr>
          <w:rFonts w:hint="eastAsia"/>
        </w:rPr>
      </w:pPr>
      <w:r>
        <w:rPr>
          <w:rFonts w:hint="eastAsia"/>
        </w:rPr>
        <w:t>模型可视化：针对不同类型模型提供差异化结构展示，支持交互探索与结果导出；</w:t>
      </w:r>
    </w:p>
    <w:p>
      <w:pPr>
        <w:pStyle w:val="2"/>
        <w:numPr>
          <w:ilvl w:val="0"/>
          <w:numId w:val="4"/>
        </w:numPr>
        <w:ind w:left="420" w:leftChars="0" w:hanging="420" w:firstLineChars="0"/>
        <w:rPr>
          <w:rFonts w:hint="eastAsia"/>
        </w:rPr>
      </w:pPr>
      <w:r>
        <w:rPr>
          <w:rFonts w:hint="eastAsia"/>
        </w:rPr>
        <w:t>跨平台推理测试：在 4 类平台真机环境下开展功能、性能、精度三维度验证；</w:t>
      </w:r>
    </w:p>
    <w:p>
      <w:pPr>
        <w:pStyle w:val="2"/>
        <w:numPr>
          <w:ilvl w:val="0"/>
          <w:numId w:val="4"/>
        </w:numPr>
        <w:ind w:left="420" w:leftChars="0" w:hanging="420" w:firstLineChars="0"/>
      </w:pPr>
      <w:r>
        <w:rPr>
          <w:rFonts w:hint="eastAsia"/>
        </w:rPr>
        <w:t>全流程任务监控：实时追踪任务进度，</w:t>
      </w:r>
      <w:r>
        <w:rPr>
          <w:rFonts w:hint="eastAsia"/>
          <w:lang w:val="en-US" w:eastAsia="zh-CN"/>
        </w:rPr>
        <w:t>异常提示</w:t>
      </w:r>
      <w:r>
        <w:rPr>
          <w:rFonts w:hint="eastAsia"/>
        </w:rPr>
        <w:t>，确保系统稳定运行。</w:t>
      </w:r>
    </w:p>
    <w:p>
      <w:pPr>
        <w:numPr>
          <w:ilvl w:val="1"/>
          <w:numId w:val="1"/>
        </w:numPr>
        <w:tabs>
          <w:tab w:val="left" w:pos="0"/>
        </w:tabs>
        <w:ind w:left="850" w:leftChars="0" w:hanging="453" w:firstLineChars="0"/>
        <w:outlineLvl w:val="1"/>
        <w:rPr>
          <w:rFonts w:hint="default" w:ascii="楷体_GB2312" w:hAnsi="楷体_GB2312" w:eastAsia="楷体_GB2312" w:cs="楷体_GB2312"/>
          <w:sz w:val="32"/>
          <w:szCs w:val="32"/>
          <w:lang w:val="en-US" w:eastAsia="zh-CN"/>
        </w:rPr>
      </w:pPr>
      <w:bookmarkStart w:id="13" w:name="_Toc1679137033"/>
      <w:r>
        <w:rPr>
          <w:rFonts w:hint="eastAsia" w:ascii="楷体_GB2312" w:hAnsi="楷体_GB2312" w:eastAsia="楷体_GB2312" w:cs="楷体_GB2312"/>
          <w:sz w:val="32"/>
          <w:szCs w:val="32"/>
          <w:lang w:val="en-US" w:eastAsia="zh-CN"/>
        </w:rPr>
        <w:t>核心价值</w:t>
      </w:r>
      <w:bookmarkEnd w:id="13"/>
    </w:p>
    <w:p>
      <w:pPr>
        <w:pStyle w:val="2"/>
        <w:numPr>
          <w:ilvl w:val="0"/>
          <w:numId w:val="4"/>
        </w:numPr>
        <w:ind w:left="420" w:leftChars="0" w:hanging="420" w:firstLineChars="0"/>
        <w:rPr>
          <w:rFonts w:hint="eastAsia"/>
          <w:lang w:val="en-US" w:eastAsia="zh-CN"/>
        </w:rPr>
      </w:pPr>
      <w:bookmarkStart w:id="14" w:name="_Toc198653965"/>
      <w:bookmarkStart w:id="15" w:name="_Toc465982590"/>
      <w:r>
        <w:rPr>
          <w:rFonts w:hint="eastAsia"/>
          <w:lang w:val="en-US" w:eastAsia="zh-CN"/>
        </w:rPr>
        <w:t>兼容性提升：打破硬件平台壁垒，实现 20 类模型在 4 类平台的无缝部署，减少重复开发成本；</w:t>
      </w:r>
    </w:p>
    <w:p>
      <w:pPr>
        <w:pStyle w:val="2"/>
        <w:numPr>
          <w:ilvl w:val="0"/>
          <w:numId w:val="4"/>
        </w:numPr>
        <w:ind w:left="420" w:leftChars="0" w:hanging="420" w:firstLineChars="0"/>
        <w:rPr>
          <w:rFonts w:hint="eastAsia"/>
          <w:lang w:val="en-US" w:eastAsia="zh-CN"/>
        </w:rPr>
      </w:pPr>
      <w:r>
        <w:rPr>
          <w:rFonts w:hint="eastAsia"/>
          <w:lang w:val="en-US" w:eastAsia="zh-CN"/>
        </w:rPr>
        <w:t>易用性优化：基于 B/S 架构设计，支持主流浏览器访问，提供可视化交互界面，降低操作门槛；</w:t>
      </w:r>
    </w:p>
    <w:p>
      <w:pPr>
        <w:pStyle w:val="2"/>
        <w:numPr>
          <w:ilvl w:val="0"/>
          <w:numId w:val="4"/>
        </w:numPr>
        <w:ind w:left="420" w:leftChars="0" w:hanging="420" w:firstLineChars="0"/>
        <w:rPr>
          <w:rFonts w:hint="eastAsia"/>
          <w:lang w:val="en-US" w:eastAsia="zh-CN"/>
        </w:rPr>
      </w:pPr>
      <w:r>
        <w:rPr>
          <w:rFonts w:hint="eastAsia"/>
          <w:lang w:val="en-US" w:eastAsia="zh-CN"/>
        </w:rPr>
        <w:t>可靠性保障：通过自动化校验、多维度测试与实时监控，确保模型转换质量与系统运行稳定性；</w:t>
      </w:r>
    </w:p>
    <w:p>
      <w:pPr>
        <w:pStyle w:val="2"/>
        <w:numPr>
          <w:ilvl w:val="0"/>
          <w:numId w:val="4"/>
        </w:numPr>
        <w:ind w:left="420" w:leftChars="0" w:hanging="420" w:firstLineChars="0"/>
        <w:rPr>
          <w:rFonts w:hint="eastAsia"/>
        </w:rPr>
      </w:pPr>
      <w:r>
        <w:rPr>
          <w:rFonts w:hint="eastAsia"/>
          <w:lang w:val="en-US" w:eastAsia="zh-CN"/>
        </w:rPr>
        <w:t>可扩展性支持：采用微服务架构与插件化设计，便于后续扩展模型类型、新增硬件平台。</w:t>
      </w:r>
    </w:p>
    <w:p>
      <w:pPr>
        <w:numPr>
          <w:ilvl w:val="1"/>
          <w:numId w:val="1"/>
        </w:numPr>
        <w:tabs>
          <w:tab w:val="left" w:pos="0"/>
        </w:tabs>
        <w:ind w:left="850" w:leftChars="0" w:hanging="453" w:firstLineChars="0"/>
        <w:outlineLvl w:val="1"/>
        <w:rPr>
          <w:rFonts w:ascii="楷体_GB2312" w:hAnsi="楷体_GB2312" w:eastAsia="楷体_GB2312" w:cs="楷体_GB2312"/>
          <w:sz w:val="32"/>
          <w:szCs w:val="32"/>
        </w:rPr>
      </w:pPr>
      <w:bookmarkStart w:id="16" w:name="_Toc1173508404"/>
      <w:r>
        <w:rPr>
          <w:rFonts w:hint="eastAsia" w:ascii="楷体_GB2312" w:hAnsi="楷体_GB2312" w:eastAsia="楷体_GB2312" w:cs="楷体_GB2312"/>
          <w:sz w:val="32"/>
          <w:szCs w:val="32"/>
          <w:lang w:val="en-US" w:eastAsia="zh-CN"/>
        </w:rPr>
        <w:t>项目</w:t>
      </w:r>
      <w:r>
        <w:rPr>
          <w:rFonts w:hint="eastAsia" w:ascii="楷体_GB2312" w:hAnsi="楷体_GB2312" w:eastAsia="楷体_GB2312" w:cs="楷体_GB2312"/>
          <w:sz w:val="32"/>
          <w:szCs w:val="32"/>
        </w:rPr>
        <w:t>周期</w:t>
      </w:r>
      <w:bookmarkEnd w:id="14"/>
      <w:bookmarkEnd w:id="15"/>
      <w:bookmarkEnd w:id="16"/>
    </w:p>
    <w:p>
      <w:pPr>
        <w:pStyle w:val="2"/>
        <w:ind w:firstLine="552"/>
      </w:pPr>
      <w:r>
        <w:t>本次项目</w:t>
      </w:r>
      <w:r>
        <w:rPr>
          <w:rFonts w:hint="eastAsia"/>
          <w:lang w:val="en-US" w:eastAsia="zh-CN"/>
        </w:rPr>
        <w:t>计划2025年11月3</w:t>
      </w:r>
      <w:r>
        <w:rPr>
          <w:rFonts w:hint="eastAsia"/>
          <w:lang w:val="en-US" w:eastAsia="zh"/>
        </w:rPr>
        <w:t>0</w:t>
      </w:r>
      <w:r>
        <w:rPr>
          <w:rFonts w:hint="eastAsia"/>
          <w:lang w:val="en-US" w:eastAsia="zh-CN"/>
        </w:rPr>
        <w:t>日前交付版本并验收，详细开发计划参见下表</w:t>
      </w:r>
      <w:r>
        <w:t>。</w:t>
      </w:r>
    </w:p>
    <w:p>
      <w:pPr>
        <w:widowControl w:val="0"/>
        <w:snapToGrid w:val="0"/>
        <w:spacing w:line="560" w:lineRule="exact"/>
        <w:ind w:firstLine="552" w:firstLineChars="200"/>
        <w:jc w:val="center"/>
        <w:rPr>
          <w:rFonts w:hint="eastAsia" w:ascii="楷体" w:hAnsi="楷体" w:eastAsia="楷体" w:cs="楷体"/>
          <w:kern w:val="2"/>
          <w:sz w:val="28"/>
          <w:szCs w:val="28"/>
          <w:lang w:val="en-US" w:eastAsia="zh-CN" w:bidi="ar-SA"/>
        </w:rPr>
      </w:pPr>
      <w:r>
        <w:rPr>
          <w:rFonts w:hint="eastAsia" w:ascii="楷体" w:hAnsi="楷体" w:eastAsia="楷体" w:cs="楷体"/>
          <w:kern w:val="2"/>
          <w:sz w:val="28"/>
          <w:szCs w:val="28"/>
          <w:lang w:val="en-US" w:eastAsia="zh-CN" w:bidi="ar-SA"/>
        </w:rPr>
        <w:t xml:space="preserve">图表 </w:t>
      </w:r>
      <w:r>
        <w:rPr>
          <w:rFonts w:hint="eastAsia" w:ascii="楷体" w:hAnsi="楷体" w:eastAsia="楷体" w:cs="楷体"/>
          <w:kern w:val="2"/>
          <w:sz w:val="28"/>
          <w:szCs w:val="28"/>
          <w:lang w:val="en-US" w:eastAsia="zh-CN" w:bidi="ar-SA"/>
        </w:rPr>
        <w:fldChar w:fldCharType="begin"/>
      </w:r>
      <w:r>
        <w:rPr>
          <w:rFonts w:hint="eastAsia" w:ascii="楷体" w:hAnsi="楷体" w:eastAsia="楷体" w:cs="楷体"/>
          <w:kern w:val="2"/>
          <w:sz w:val="28"/>
          <w:szCs w:val="28"/>
          <w:lang w:val="en-US" w:eastAsia="zh-CN" w:bidi="ar-SA"/>
        </w:rPr>
        <w:instrText xml:space="preserve"> SEQ 图表 \* ARABIC </w:instrText>
      </w:r>
      <w:r>
        <w:rPr>
          <w:rFonts w:hint="eastAsia" w:ascii="楷体" w:hAnsi="楷体" w:eastAsia="楷体" w:cs="楷体"/>
          <w:kern w:val="2"/>
          <w:sz w:val="28"/>
          <w:szCs w:val="28"/>
          <w:lang w:val="en-US" w:eastAsia="zh-CN" w:bidi="ar-SA"/>
        </w:rPr>
        <w:fldChar w:fldCharType="separate"/>
      </w:r>
      <w:r>
        <w:rPr>
          <w:rFonts w:hint="eastAsia" w:ascii="楷体" w:hAnsi="楷体" w:eastAsia="楷体" w:cs="楷体"/>
          <w:kern w:val="2"/>
          <w:sz w:val="28"/>
          <w:szCs w:val="28"/>
          <w:lang w:val="en-US" w:eastAsia="zh-CN" w:bidi="ar-SA"/>
        </w:rPr>
        <w:t>1</w:t>
      </w:r>
      <w:r>
        <w:rPr>
          <w:rFonts w:hint="eastAsia" w:ascii="楷体" w:hAnsi="楷体" w:eastAsia="楷体" w:cs="楷体"/>
          <w:kern w:val="2"/>
          <w:sz w:val="28"/>
          <w:szCs w:val="28"/>
          <w:lang w:val="en-US" w:eastAsia="zh-CN" w:bidi="ar-SA"/>
        </w:rPr>
        <w:fldChar w:fldCharType="end"/>
      </w:r>
      <w:r>
        <w:rPr>
          <w:rFonts w:hint="eastAsia" w:ascii="楷体" w:hAnsi="楷体" w:eastAsia="楷体" w:cs="楷体"/>
          <w:kern w:val="2"/>
          <w:sz w:val="28"/>
          <w:szCs w:val="28"/>
          <w:lang w:val="en-US" w:eastAsia="zh-CN" w:bidi="ar-SA"/>
        </w:rPr>
        <w:t xml:space="preserve"> 项目周期规划表</w:t>
      </w:r>
    </w:p>
    <w:tbl>
      <w:tblPr>
        <w:tblStyle w:val="2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4"/>
        <w:gridCol w:w="1746"/>
        <w:gridCol w:w="1790"/>
        <w:gridCol w:w="4372"/>
      </w:tblGrid>
      <w:tr>
        <w:trPr>
          <w:trHeight w:val="680" w:hRule="atLeast"/>
          <w:jc w:val="center"/>
        </w:trPr>
        <w:tc>
          <w:tcPr>
            <w:tcW w:w="637"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b/>
                <w:bCs/>
              </w:rPr>
            </w:pPr>
            <w:r>
              <w:rPr>
                <w:rFonts w:hint="eastAsia"/>
                <w:b/>
                <w:bCs/>
              </w:rPr>
              <w:t>序号</w:t>
            </w:r>
          </w:p>
        </w:tc>
        <w:tc>
          <w:tcPr>
            <w:tcW w:w="963"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b/>
                <w:bCs/>
              </w:rPr>
            </w:pPr>
            <w:r>
              <w:rPr>
                <w:rFonts w:hint="eastAsia"/>
                <w:b/>
                <w:bCs/>
                <w:lang w:val="en-US" w:eastAsia="zh-CN"/>
              </w:rPr>
              <w:t>项目</w:t>
            </w:r>
            <w:r>
              <w:rPr>
                <w:rFonts w:hint="eastAsia"/>
                <w:b/>
                <w:bCs/>
              </w:rPr>
              <w:t>阶段</w:t>
            </w:r>
          </w:p>
        </w:tc>
        <w:tc>
          <w:tcPr>
            <w:tcW w:w="987"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b/>
                <w:bCs/>
              </w:rPr>
            </w:pPr>
            <w:r>
              <w:rPr>
                <w:rFonts w:hint="eastAsia"/>
                <w:b/>
                <w:bCs/>
              </w:rPr>
              <w:t>时间进度</w:t>
            </w:r>
          </w:p>
        </w:tc>
        <w:tc>
          <w:tcPr>
            <w:tcW w:w="2411"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b/>
                <w:bCs/>
              </w:rPr>
            </w:pPr>
            <w:r>
              <w:rPr>
                <w:rFonts w:hint="eastAsia"/>
                <w:b/>
                <w:bCs/>
              </w:rPr>
              <w:t>备注</w:t>
            </w:r>
          </w:p>
        </w:tc>
      </w:tr>
      <w:tr>
        <w:trPr>
          <w:trHeight w:val="567" w:hRule="atLeast"/>
          <w:jc w:val="center"/>
        </w:trPr>
        <w:tc>
          <w:tcPr>
            <w:tcW w:w="637"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sz w:val="24"/>
                <w:szCs w:val="24"/>
              </w:rPr>
            </w:pPr>
            <w:r>
              <w:rPr>
                <w:rFonts w:hint="eastAsia"/>
                <w:sz w:val="24"/>
                <w:szCs w:val="24"/>
              </w:rPr>
              <w:t>1</w:t>
            </w:r>
          </w:p>
        </w:tc>
        <w:tc>
          <w:tcPr>
            <w:tcW w:w="963"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sz w:val="24"/>
                <w:szCs w:val="24"/>
              </w:rPr>
            </w:pPr>
            <w:r>
              <w:rPr>
                <w:rFonts w:hint="eastAsia"/>
                <w:sz w:val="24"/>
                <w:szCs w:val="24"/>
              </w:rPr>
              <w:t>需求调研与分析</w:t>
            </w:r>
          </w:p>
        </w:tc>
        <w:tc>
          <w:tcPr>
            <w:tcW w:w="987"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rFonts w:hint="eastAsia" w:eastAsia="仿宋_GB2312"/>
                <w:sz w:val="24"/>
                <w:szCs w:val="24"/>
                <w:lang w:val="en-US" w:eastAsia="zh"/>
              </w:rPr>
            </w:pPr>
            <w:r>
              <w:rPr>
                <w:rFonts w:hint="eastAsia"/>
                <w:sz w:val="24"/>
                <w:szCs w:val="24"/>
                <w:lang w:val="en-US" w:eastAsia="zh-CN"/>
              </w:rPr>
              <w:t>2025.10.</w:t>
            </w:r>
            <w:r>
              <w:rPr>
                <w:rFonts w:hint="eastAsia"/>
                <w:sz w:val="24"/>
                <w:szCs w:val="24"/>
                <w:lang w:val="en-US" w:eastAsia="zh"/>
              </w:rPr>
              <w:t>27</w:t>
            </w:r>
          </w:p>
        </w:tc>
        <w:tc>
          <w:tcPr>
            <w:tcW w:w="2411" w:type="pct"/>
            <w:vAlign w:val="center"/>
          </w:tcPr>
          <w:p>
            <w:pPr>
              <w:tabs>
                <w:tab w:val="left" w:pos="360"/>
                <w:tab w:val="left" w:pos="720"/>
              </w:tabs>
              <w:overflowPunct w:val="0"/>
              <w:autoSpaceDE w:val="0"/>
              <w:autoSpaceDN w:val="0"/>
              <w:adjustRightInd w:val="0"/>
              <w:spacing w:after="0" w:line="240" w:lineRule="auto"/>
              <w:ind w:firstLine="0" w:firstLineChars="0"/>
              <w:jc w:val="left"/>
              <w:textAlignment w:val="baseline"/>
              <w:rPr>
                <w:sz w:val="24"/>
                <w:szCs w:val="24"/>
              </w:rPr>
            </w:pPr>
            <w:r>
              <w:rPr>
                <w:rFonts w:hint="eastAsia"/>
                <w:sz w:val="24"/>
                <w:szCs w:val="24"/>
              </w:rPr>
              <w:t>完成需求分析</w:t>
            </w:r>
          </w:p>
        </w:tc>
      </w:tr>
      <w:tr>
        <w:trPr>
          <w:trHeight w:val="964" w:hRule="atLeast"/>
          <w:jc w:val="center"/>
        </w:trPr>
        <w:tc>
          <w:tcPr>
            <w:tcW w:w="637"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sz w:val="24"/>
                <w:szCs w:val="24"/>
              </w:rPr>
            </w:pPr>
            <w:r>
              <w:rPr>
                <w:rFonts w:hint="eastAsia"/>
                <w:sz w:val="24"/>
                <w:szCs w:val="24"/>
              </w:rPr>
              <w:t>2</w:t>
            </w:r>
          </w:p>
        </w:tc>
        <w:tc>
          <w:tcPr>
            <w:tcW w:w="963"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sz w:val="24"/>
                <w:szCs w:val="24"/>
              </w:rPr>
            </w:pPr>
            <w:r>
              <w:rPr>
                <w:rFonts w:hint="eastAsia"/>
                <w:sz w:val="24"/>
                <w:szCs w:val="24"/>
              </w:rPr>
              <w:t>核心开发</w:t>
            </w:r>
          </w:p>
        </w:tc>
        <w:tc>
          <w:tcPr>
            <w:tcW w:w="987"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rFonts w:hint="default" w:eastAsia="仿宋_GB2312"/>
                <w:sz w:val="24"/>
                <w:szCs w:val="24"/>
                <w:lang w:val="en-US" w:eastAsia="zh-CN"/>
              </w:rPr>
            </w:pPr>
            <w:r>
              <w:rPr>
                <w:rFonts w:hint="eastAsia"/>
                <w:sz w:val="24"/>
                <w:szCs w:val="24"/>
                <w:lang w:val="en-US" w:eastAsia="zh-CN"/>
              </w:rPr>
              <w:t>2025.11.14</w:t>
            </w:r>
          </w:p>
        </w:tc>
        <w:tc>
          <w:tcPr>
            <w:tcW w:w="2411" w:type="pct"/>
            <w:vAlign w:val="center"/>
          </w:tcPr>
          <w:p>
            <w:pPr>
              <w:tabs>
                <w:tab w:val="left" w:pos="360"/>
                <w:tab w:val="left" w:pos="720"/>
              </w:tabs>
              <w:overflowPunct w:val="0"/>
              <w:autoSpaceDE w:val="0"/>
              <w:autoSpaceDN w:val="0"/>
              <w:adjustRightInd w:val="0"/>
              <w:spacing w:after="0" w:line="240" w:lineRule="auto"/>
              <w:ind w:firstLine="0" w:firstLineChars="0"/>
              <w:jc w:val="left"/>
              <w:textAlignment w:val="baseline"/>
              <w:rPr>
                <w:sz w:val="24"/>
                <w:szCs w:val="24"/>
              </w:rPr>
            </w:pPr>
            <w:r>
              <w:rPr>
                <w:rFonts w:hint="eastAsia"/>
                <w:sz w:val="24"/>
                <w:szCs w:val="24"/>
              </w:rPr>
              <w:t>1. 数据输入层（</w:t>
            </w:r>
            <w:r>
              <w:rPr>
                <w:rFonts w:hint="eastAsia"/>
                <w:sz w:val="24"/>
                <w:szCs w:val="24"/>
                <w:lang w:val="en-US" w:eastAsia="zh-CN"/>
              </w:rPr>
              <w:t>2025.10.30</w:t>
            </w:r>
            <w:r>
              <w:rPr>
                <w:rFonts w:hint="eastAsia"/>
                <w:sz w:val="24"/>
                <w:szCs w:val="24"/>
              </w:rPr>
              <w:t>）：完成模型解析引擎开发，支持ONNX、TensorFlow、PyTorch 原生格式解析；2. 核心处理层（</w:t>
            </w:r>
            <w:r>
              <w:rPr>
                <w:rFonts w:hint="eastAsia"/>
                <w:sz w:val="24"/>
                <w:szCs w:val="24"/>
                <w:lang w:val="en-US" w:eastAsia="zh-CN"/>
              </w:rPr>
              <w:t>2025.11.7</w:t>
            </w:r>
            <w:r>
              <w:rPr>
                <w:rFonts w:hint="eastAsia"/>
                <w:sz w:val="24"/>
                <w:szCs w:val="24"/>
              </w:rPr>
              <w:t>）：格式转化模块：完成核心适配+4类平台插件开发，完成20类模型转化模板调试；可视化模块：完成拓扑解析逻辑+界面开发，完成交互功能优化（如节点拖拽、参数查看）；3. 输出与交互层</w:t>
            </w:r>
            <w:r>
              <w:rPr>
                <w:rFonts w:hint="eastAsia"/>
                <w:sz w:val="24"/>
                <w:szCs w:val="24"/>
                <w:lang w:eastAsia="zh-CN"/>
              </w:rPr>
              <w:t>（</w:t>
            </w:r>
            <w:r>
              <w:rPr>
                <w:rFonts w:hint="eastAsia"/>
                <w:sz w:val="24"/>
                <w:szCs w:val="24"/>
                <w:lang w:val="en-US" w:eastAsia="zh-CN"/>
              </w:rPr>
              <w:t>2025.11.14</w:t>
            </w:r>
            <w:r>
              <w:rPr>
                <w:rFonts w:hint="eastAsia"/>
                <w:sz w:val="24"/>
                <w:szCs w:val="24"/>
                <w:lang w:eastAsia="zh-CN"/>
              </w:rPr>
              <w:t>）</w:t>
            </w:r>
            <w:r>
              <w:rPr>
                <w:rFonts w:hint="eastAsia"/>
                <w:sz w:val="24"/>
                <w:szCs w:val="24"/>
              </w:rPr>
              <w:t>：完成多格式导出接口开发，完成日志模块开发与客户端整体集成</w:t>
            </w:r>
          </w:p>
        </w:tc>
      </w:tr>
      <w:tr>
        <w:trPr>
          <w:trHeight w:val="1587" w:hRule="atLeast"/>
          <w:jc w:val="center"/>
        </w:trPr>
        <w:tc>
          <w:tcPr>
            <w:tcW w:w="637"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sz w:val="24"/>
                <w:szCs w:val="24"/>
              </w:rPr>
            </w:pPr>
            <w:r>
              <w:rPr>
                <w:rFonts w:hint="eastAsia"/>
                <w:sz w:val="24"/>
                <w:szCs w:val="24"/>
              </w:rPr>
              <w:t>3</w:t>
            </w:r>
          </w:p>
        </w:tc>
        <w:tc>
          <w:tcPr>
            <w:tcW w:w="963"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sz w:val="24"/>
                <w:szCs w:val="24"/>
              </w:rPr>
            </w:pPr>
            <w:r>
              <w:rPr>
                <w:rFonts w:hint="eastAsia"/>
                <w:sz w:val="24"/>
                <w:szCs w:val="24"/>
              </w:rPr>
              <w:t>测试与优化</w:t>
            </w:r>
          </w:p>
        </w:tc>
        <w:tc>
          <w:tcPr>
            <w:tcW w:w="987"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rFonts w:hint="eastAsia" w:eastAsia="仿宋_GB2312"/>
                <w:sz w:val="24"/>
                <w:szCs w:val="24"/>
                <w:lang w:val="en-US" w:eastAsia="zh"/>
              </w:rPr>
            </w:pPr>
            <w:r>
              <w:rPr>
                <w:rFonts w:hint="eastAsia"/>
                <w:sz w:val="24"/>
                <w:szCs w:val="24"/>
                <w:lang w:val="en-US" w:eastAsia="zh-CN"/>
              </w:rPr>
              <w:t>2025.11.2</w:t>
            </w:r>
            <w:r>
              <w:rPr>
                <w:rFonts w:hint="eastAsia"/>
                <w:sz w:val="24"/>
                <w:szCs w:val="24"/>
                <w:lang w:val="en-US" w:eastAsia="zh"/>
              </w:rPr>
              <w:t>6</w:t>
            </w:r>
          </w:p>
        </w:tc>
        <w:tc>
          <w:tcPr>
            <w:tcW w:w="2411" w:type="pct"/>
            <w:vAlign w:val="center"/>
          </w:tcPr>
          <w:p>
            <w:pPr>
              <w:tabs>
                <w:tab w:val="left" w:pos="360"/>
                <w:tab w:val="left" w:pos="720"/>
              </w:tabs>
              <w:overflowPunct w:val="0"/>
              <w:autoSpaceDE w:val="0"/>
              <w:autoSpaceDN w:val="0"/>
              <w:adjustRightInd w:val="0"/>
              <w:spacing w:after="0" w:line="240" w:lineRule="auto"/>
              <w:ind w:firstLine="0" w:firstLineChars="0"/>
              <w:jc w:val="left"/>
              <w:textAlignment w:val="baseline"/>
              <w:rPr>
                <w:sz w:val="24"/>
                <w:szCs w:val="24"/>
              </w:rPr>
            </w:pPr>
            <w:r>
              <w:rPr>
                <w:rFonts w:hint="eastAsia"/>
                <w:sz w:val="24"/>
                <w:szCs w:val="24"/>
              </w:rPr>
              <w:t>1.</w:t>
            </w:r>
            <w:r>
              <w:rPr>
                <w:rFonts w:hint="eastAsia"/>
                <w:sz w:val="24"/>
                <w:szCs w:val="24"/>
                <w:lang w:val="en-US" w:eastAsia="zh-CN"/>
              </w:rPr>
              <w:t>集成测试（2025.11.20）</w:t>
            </w:r>
            <w:r>
              <w:rPr>
                <w:rFonts w:hint="eastAsia"/>
                <w:sz w:val="24"/>
                <w:szCs w:val="24"/>
              </w:rPr>
              <w:t>：完成兼容性测试（20类模型全量测试+4类平台真机测试）、性能测试（转化时间/可视化响应/精度损失），输出初版《测试报告》；2.</w:t>
            </w:r>
            <w:r>
              <w:rPr>
                <w:rFonts w:hint="eastAsia"/>
                <w:sz w:val="24"/>
                <w:szCs w:val="24"/>
                <w:lang w:val="en-US" w:eastAsia="zh-CN"/>
              </w:rPr>
              <w:t>问题修改（2025.11.24）</w:t>
            </w:r>
            <w:r>
              <w:rPr>
                <w:rFonts w:hint="eastAsia"/>
                <w:sz w:val="24"/>
                <w:szCs w:val="24"/>
              </w:rPr>
              <w:t>：针对测试问题集中修复（如模型转化失败、可视化参数缺失）；3.</w:t>
            </w:r>
            <w:r>
              <w:rPr>
                <w:rFonts w:hint="eastAsia"/>
                <w:sz w:val="24"/>
                <w:szCs w:val="24"/>
                <w:lang w:val="en-US" w:eastAsia="zh-CN"/>
              </w:rPr>
              <w:t>版本发布（2025.11.2</w:t>
            </w:r>
            <w:r>
              <w:rPr>
                <w:rFonts w:hint="eastAsia"/>
                <w:sz w:val="24"/>
                <w:szCs w:val="24"/>
                <w:lang w:val="en-US" w:eastAsia="zh"/>
              </w:rPr>
              <w:t>6</w:t>
            </w:r>
            <w:r>
              <w:rPr>
                <w:rFonts w:hint="eastAsia"/>
                <w:sz w:val="24"/>
                <w:szCs w:val="24"/>
                <w:lang w:val="en-US" w:eastAsia="zh-CN"/>
              </w:rPr>
              <w:t>）</w:t>
            </w:r>
            <w:r>
              <w:rPr>
                <w:rFonts w:hint="eastAsia"/>
                <w:sz w:val="24"/>
                <w:szCs w:val="24"/>
              </w:rPr>
              <w:t>：开展</w:t>
            </w:r>
            <w:r>
              <w:rPr>
                <w:rFonts w:hint="eastAsia"/>
                <w:sz w:val="24"/>
                <w:szCs w:val="24"/>
                <w:lang w:val="en-US" w:eastAsia="zh-CN"/>
              </w:rPr>
              <w:t>发布版本</w:t>
            </w:r>
            <w:r>
              <w:rPr>
                <w:rFonts w:hint="eastAsia"/>
                <w:sz w:val="24"/>
                <w:szCs w:val="24"/>
              </w:rPr>
              <w:t>测试+甲方预验收测试，根据验收反馈1日内完成最终优化</w:t>
            </w:r>
          </w:p>
        </w:tc>
      </w:tr>
      <w:tr>
        <w:trPr>
          <w:trHeight w:val="964" w:hRule="atLeast"/>
          <w:jc w:val="center"/>
        </w:trPr>
        <w:tc>
          <w:tcPr>
            <w:tcW w:w="637"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sz w:val="24"/>
                <w:szCs w:val="24"/>
              </w:rPr>
            </w:pPr>
            <w:r>
              <w:rPr>
                <w:rFonts w:hint="eastAsia"/>
                <w:sz w:val="24"/>
                <w:szCs w:val="24"/>
              </w:rPr>
              <w:t>4</w:t>
            </w:r>
          </w:p>
        </w:tc>
        <w:tc>
          <w:tcPr>
            <w:tcW w:w="963"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sz w:val="24"/>
                <w:szCs w:val="24"/>
              </w:rPr>
            </w:pPr>
            <w:r>
              <w:rPr>
                <w:rFonts w:hint="eastAsia"/>
                <w:sz w:val="24"/>
                <w:szCs w:val="24"/>
              </w:rPr>
              <w:t>交付与培训</w:t>
            </w:r>
          </w:p>
        </w:tc>
        <w:tc>
          <w:tcPr>
            <w:tcW w:w="987"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rFonts w:hint="eastAsia" w:eastAsia="仿宋_GB2312"/>
                <w:sz w:val="24"/>
                <w:szCs w:val="24"/>
                <w:lang w:val="en-US" w:eastAsia="zh"/>
              </w:rPr>
            </w:pPr>
            <w:r>
              <w:rPr>
                <w:rFonts w:hint="eastAsia"/>
                <w:sz w:val="24"/>
                <w:szCs w:val="24"/>
                <w:lang w:val="en-US" w:eastAsia="zh-CN"/>
              </w:rPr>
              <w:t>2025.11.3</w:t>
            </w:r>
            <w:r>
              <w:rPr>
                <w:rFonts w:hint="eastAsia"/>
                <w:sz w:val="24"/>
                <w:szCs w:val="24"/>
                <w:lang w:val="en-US" w:eastAsia="zh"/>
              </w:rPr>
              <w:t>0</w:t>
            </w:r>
          </w:p>
        </w:tc>
        <w:tc>
          <w:tcPr>
            <w:tcW w:w="2411" w:type="pct"/>
            <w:vAlign w:val="center"/>
          </w:tcPr>
          <w:p>
            <w:pPr>
              <w:tabs>
                <w:tab w:val="left" w:pos="360"/>
                <w:tab w:val="left" w:pos="720"/>
              </w:tabs>
              <w:overflowPunct w:val="0"/>
              <w:autoSpaceDE w:val="0"/>
              <w:autoSpaceDN w:val="0"/>
              <w:adjustRightInd w:val="0"/>
              <w:spacing w:after="0" w:line="240" w:lineRule="auto"/>
              <w:ind w:firstLine="0" w:firstLineChars="0"/>
              <w:jc w:val="left"/>
              <w:textAlignment w:val="baseline"/>
              <w:rPr>
                <w:sz w:val="24"/>
                <w:szCs w:val="24"/>
              </w:rPr>
            </w:pPr>
            <w:r>
              <w:rPr>
                <w:rFonts w:hint="eastAsia"/>
                <w:sz w:val="24"/>
                <w:szCs w:val="24"/>
              </w:rPr>
              <w:t>1.</w:t>
            </w:r>
            <w:r>
              <w:rPr>
                <w:rFonts w:hint="eastAsia"/>
                <w:sz w:val="24"/>
                <w:szCs w:val="24"/>
                <w:lang w:val="en-US" w:eastAsia="zh-CN"/>
              </w:rPr>
              <w:t>现场部署（2025.11.2</w:t>
            </w:r>
            <w:r>
              <w:rPr>
                <w:rFonts w:hint="eastAsia"/>
                <w:sz w:val="24"/>
                <w:szCs w:val="24"/>
                <w:lang w:val="en-US" w:eastAsia="zh"/>
              </w:rPr>
              <w:t>8</w:t>
            </w:r>
            <w:r>
              <w:rPr>
                <w:rFonts w:hint="eastAsia"/>
                <w:sz w:val="24"/>
                <w:szCs w:val="24"/>
                <w:lang w:val="en-US" w:eastAsia="zh-CN"/>
              </w:rPr>
              <w:t>）</w:t>
            </w:r>
            <w:r>
              <w:rPr>
                <w:rFonts w:hint="eastAsia"/>
                <w:sz w:val="24"/>
                <w:szCs w:val="24"/>
              </w:rPr>
              <w:t>：完成试验场内场调试机软件安装部署，逐台验证功能（如模型导入、转化、可视化）；2.</w:t>
            </w:r>
            <w:r>
              <w:rPr>
                <w:rFonts w:hint="eastAsia"/>
                <w:sz w:val="24"/>
                <w:szCs w:val="24"/>
                <w:lang w:val="en-US" w:eastAsia="zh-CN"/>
              </w:rPr>
              <w:t>培训交流（2025.11.</w:t>
            </w:r>
            <w:r>
              <w:rPr>
                <w:rFonts w:hint="eastAsia"/>
                <w:sz w:val="24"/>
                <w:szCs w:val="24"/>
                <w:lang w:val="en-US" w:eastAsia="zh"/>
              </w:rPr>
              <w:t>29</w:t>
            </w:r>
            <w:r>
              <w:rPr>
                <w:rFonts w:hint="eastAsia"/>
                <w:sz w:val="24"/>
                <w:szCs w:val="24"/>
                <w:lang w:val="en-US" w:eastAsia="zh-CN"/>
              </w:rPr>
              <w:t>）</w:t>
            </w:r>
            <w:r>
              <w:rPr>
                <w:rFonts w:hint="eastAsia"/>
                <w:sz w:val="24"/>
                <w:szCs w:val="24"/>
              </w:rPr>
              <w:t>：组织现场培训（操作培训：含软件操作、常见问题处理；维护培训：含日志查看、版本更新），覆盖甲方技术人员，输出《培训纪要》；3.</w:t>
            </w:r>
            <w:r>
              <w:rPr>
                <w:rFonts w:hint="eastAsia"/>
                <w:sz w:val="24"/>
                <w:szCs w:val="24"/>
                <w:lang w:val="en-US" w:eastAsia="zh-CN"/>
              </w:rPr>
              <w:t>终验确认（2025.11.3</w:t>
            </w:r>
            <w:r>
              <w:rPr>
                <w:rFonts w:hint="eastAsia"/>
                <w:sz w:val="24"/>
                <w:szCs w:val="24"/>
                <w:lang w:val="en-US" w:eastAsia="zh"/>
              </w:rPr>
              <w:t>0</w:t>
            </w:r>
            <w:r>
              <w:rPr>
                <w:rFonts w:hint="eastAsia"/>
                <w:sz w:val="24"/>
                <w:szCs w:val="24"/>
                <w:lang w:val="en-US" w:eastAsia="zh-CN"/>
              </w:rPr>
              <w:t>）</w:t>
            </w:r>
            <w:r>
              <w:rPr>
                <w:rFonts w:hint="eastAsia"/>
                <w:sz w:val="24"/>
                <w:szCs w:val="24"/>
              </w:rPr>
              <w:t>：交付最终软件安装包、全套文档（《用户手册》《测试报告》等），组织项目终验收，签署《项目交付确认单》</w:t>
            </w:r>
          </w:p>
        </w:tc>
      </w:tr>
    </w:tbl>
    <w:p>
      <w:pPr>
        <w:rPr>
          <w:sz w:val="32"/>
          <w:szCs w:val="32"/>
        </w:rPr>
      </w:pPr>
    </w:p>
    <w:p>
      <w:pPr>
        <w:numPr>
          <w:ilvl w:val="0"/>
          <w:numId w:val="1"/>
        </w:numPr>
        <w:tabs>
          <w:tab w:val="left" w:pos="0"/>
        </w:tabs>
        <w:ind w:left="425" w:leftChars="0" w:hanging="425" w:firstLineChars="0"/>
        <w:outlineLvl w:val="0"/>
        <w:rPr>
          <w:rFonts w:hint="eastAsia" w:ascii="黑体" w:hAnsi="黑体" w:eastAsia="黑体"/>
          <w:sz w:val="32"/>
          <w:szCs w:val="32"/>
        </w:rPr>
      </w:pPr>
      <w:bookmarkStart w:id="17" w:name="_Toc372529530"/>
      <w:bookmarkStart w:id="18" w:name="_Toc665931980"/>
      <w:bookmarkStart w:id="19" w:name="_Toc198653972"/>
      <w:bookmarkStart w:id="20" w:name="_Toc234467076"/>
      <w:r>
        <w:rPr>
          <w:rFonts w:hint="eastAsia" w:ascii="黑体" w:hAnsi="黑体" w:eastAsia="黑体"/>
          <w:sz w:val="32"/>
          <w:szCs w:val="32"/>
        </w:rPr>
        <w:t>系统总体设计</w:t>
      </w:r>
      <w:bookmarkEnd w:id="17"/>
      <w:bookmarkEnd w:id="18"/>
      <w:bookmarkEnd w:id="19"/>
      <w:bookmarkEnd w:id="20"/>
    </w:p>
    <w:p>
      <w:pPr>
        <w:pStyle w:val="2"/>
        <w:rPr>
          <w:rFonts w:hint="eastAsia"/>
        </w:rPr>
      </w:pPr>
      <w:r>
        <w:rPr>
          <w:rFonts w:hint="eastAsia"/>
        </w:rPr>
        <w:t>为响应智能模型在跨平台应用与高效理解领域的迫切需求，破解不同硬件平台架构壁垒及模型结构复杂难懂的难题，本项目聚焦构建一套功能完备、性能可靠的智能模型跨平台适配与可视化系统。通过搭建B/S架构基础支撑体系，开发模型转换、可视化展示及不同硬件集成验证等核心系统，配套关键功能开发与保障体系建设，实现20个主流智能模型（含自然语言大模型）的跨平台高效转换、直观可视化及硬件平台有效验证，全面提升智能模型的应用效率与可解释性，为智能模型全生命周期管理提供有力支撑。</w:t>
      </w:r>
    </w:p>
    <w:p>
      <w:pPr>
        <w:numPr>
          <w:ilvl w:val="1"/>
          <w:numId w:val="1"/>
        </w:numPr>
        <w:tabs>
          <w:tab w:val="left" w:pos="0"/>
        </w:tabs>
        <w:ind w:left="850" w:leftChars="0" w:hanging="453" w:firstLineChars="0"/>
        <w:outlineLvl w:val="1"/>
        <w:rPr>
          <w:rFonts w:hint="default" w:ascii="楷体_GB2312" w:hAnsi="楷体_GB2312" w:eastAsia="楷体_GB2312" w:cs="楷体_GB2312"/>
          <w:sz w:val="32"/>
          <w:szCs w:val="32"/>
          <w:lang w:val="en-US" w:eastAsia="zh-CN"/>
        </w:rPr>
      </w:pPr>
      <w:bookmarkStart w:id="21" w:name="_Toc1781503343"/>
      <w:r>
        <w:rPr>
          <w:rFonts w:hint="eastAsia" w:ascii="楷体_GB2312" w:hAnsi="楷体_GB2312" w:eastAsia="楷体_GB2312" w:cs="楷体_GB2312"/>
          <w:sz w:val="32"/>
          <w:szCs w:val="32"/>
          <w:lang w:val="en-US" w:eastAsia="zh-CN"/>
        </w:rPr>
        <w:t>设计原则</w:t>
      </w:r>
      <w:bookmarkEnd w:id="21"/>
    </w:p>
    <w:p>
      <w:pPr>
        <w:pStyle w:val="2"/>
        <w:rPr>
          <w:rFonts w:hint="eastAsia"/>
        </w:rPr>
      </w:pPr>
      <w:r>
        <w:rPr>
          <w:rFonts w:hint="eastAsia"/>
        </w:rPr>
        <w:t>高内聚低耦合：按功能拆分独立模块（如转换系统、可视化系统），通过标准化接口（RESTful API）协同，支持独立扩展；</w:t>
      </w:r>
    </w:p>
    <w:p>
      <w:pPr>
        <w:pStyle w:val="2"/>
        <w:rPr>
          <w:rFonts w:hint="eastAsia"/>
        </w:rPr>
      </w:pPr>
      <w:r>
        <w:rPr>
          <w:rFonts w:hint="eastAsia"/>
        </w:rPr>
        <w:t>中间格式解耦：以ONNX 作为统一中间格式，降低原生模型与目标平台的适配复杂度，提升兼容性；</w:t>
      </w:r>
    </w:p>
    <w:p>
      <w:pPr>
        <w:pStyle w:val="2"/>
        <w:rPr>
          <w:rFonts w:hint="eastAsia"/>
        </w:rPr>
      </w:pPr>
      <w:r>
        <w:rPr>
          <w:rFonts w:hint="eastAsia"/>
        </w:rPr>
        <w:t>差异化适配：针对不同模型类型（计算机视觉、NLP）与硬件平台特性，开发专用模板与插件；</w:t>
      </w:r>
    </w:p>
    <w:p>
      <w:pPr>
        <w:pStyle w:val="2"/>
        <w:rPr>
          <w:rFonts w:hint="eastAsia"/>
        </w:rPr>
      </w:pPr>
      <w:r>
        <w:rPr>
          <w:rFonts w:hint="eastAsia"/>
        </w:rPr>
        <w:t>性能与精度平衡：提供多精度模式（FP32/FP16/INT8）与优化策略，满足不同场景下的性能与精度需求；</w:t>
      </w:r>
    </w:p>
    <w:p>
      <w:pPr>
        <w:pStyle w:val="2"/>
        <w:rPr>
          <w:rFonts w:hint="eastAsia"/>
        </w:rPr>
      </w:pPr>
      <w:r>
        <w:rPr>
          <w:rFonts w:hint="eastAsia"/>
        </w:rPr>
        <w:t>安全与可追溯：实现数据加密存储、操作日志记录与任务全流程追溯，保障试验场数据安全。</w:t>
      </w:r>
    </w:p>
    <w:p>
      <w:pPr>
        <w:numPr>
          <w:ilvl w:val="1"/>
          <w:numId w:val="1"/>
        </w:numPr>
        <w:tabs>
          <w:tab w:val="left" w:pos="0"/>
        </w:tabs>
        <w:ind w:left="850" w:leftChars="0" w:hanging="453" w:firstLineChars="0"/>
        <w:outlineLvl w:val="1"/>
        <w:rPr>
          <w:rFonts w:hint="eastAsia" w:ascii="楷体_GB2312" w:hAnsi="楷体_GB2312" w:eastAsia="楷体_GB2312" w:cs="楷体_GB2312"/>
          <w:sz w:val="32"/>
          <w:szCs w:val="32"/>
          <w:lang w:val="en-US" w:eastAsia="zh-CN"/>
        </w:rPr>
      </w:pPr>
      <w:bookmarkStart w:id="22" w:name="_Toc1509679327"/>
      <w:r>
        <w:rPr>
          <w:rFonts w:hint="eastAsia" w:ascii="楷体_GB2312" w:hAnsi="楷体_GB2312" w:eastAsia="楷体_GB2312" w:cs="楷体_GB2312"/>
          <w:sz w:val="32"/>
          <w:szCs w:val="32"/>
          <w:lang w:val="en-US" w:eastAsia="zh-CN"/>
        </w:rPr>
        <w:t>系统设计</w:t>
      </w:r>
      <w:bookmarkEnd w:id="22"/>
    </w:p>
    <w:p>
      <w:pPr>
        <w:numPr>
          <w:ilvl w:val="2"/>
          <w:numId w:val="1"/>
        </w:numPr>
        <w:tabs>
          <w:tab w:val="left" w:pos="0"/>
        </w:tabs>
        <w:ind w:left="1508" w:leftChars="0" w:hanging="708" w:firstLineChars="0"/>
        <w:outlineLvl w:val="2"/>
        <w:rPr>
          <w:rFonts w:hint="eastAsia"/>
          <w:sz w:val="32"/>
          <w:szCs w:val="32"/>
        </w:rPr>
      </w:pPr>
      <w:bookmarkStart w:id="23" w:name="_Toc661159584"/>
      <w:r>
        <w:rPr>
          <w:rFonts w:hint="eastAsia"/>
          <w:sz w:val="32"/>
          <w:szCs w:val="32"/>
        </w:rPr>
        <w:t>B/S架构基础支撑系统</w:t>
      </w:r>
      <w:bookmarkEnd w:id="23"/>
    </w:p>
    <w:p>
      <w:pPr>
        <w:pStyle w:val="2"/>
        <w:ind w:firstLine="552"/>
        <w:rPr>
          <w:rFonts w:hint="eastAsia"/>
        </w:rPr>
      </w:pPr>
      <w:r>
        <w:rPr>
          <w:rFonts w:hint="eastAsia"/>
        </w:rPr>
        <w:t>B/S架构基础支撑系统是整个工具的运行骨架，从用户交互到数据存储再到硬件调度，实现全流程协同。</w:t>
      </w:r>
    </w:p>
    <w:p>
      <w:pPr>
        <w:pStyle w:val="2"/>
        <w:ind w:firstLine="552"/>
        <w:rPr>
          <w:rFonts w:hint="eastAsia"/>
        </w:rPr>
      </w:pPr>
      <w:r>
        <w:rPr>
          <w:rFonts w:hint="eastAsia"/>
        </w:rPr>
        <w:t>用户层：支持Chrome、Edge、Firefox等主流浏览器访问，无需额外安装客户端插件。界面采用响应式设计，适配1920×1080等常见分辨率，满足试验场调试机不同显示设备需求。核心交互功能包括模型上传（</w:t>
      </w:r>
      <w:r>
        <w:rPr>
          <w:rFonts w:hint="eastAsia"/>
          <w:lang w:val="en-US" w:eastAsia="zh-CN"/>
        </w:rPr>
        <w:t>大文件尽量本地工具上传</w:t>
      </w:r>
      <w:r>
        <w:rPr>
          <w:rFonts w:hint="eastAsia"/>
        </w:rPr>
        <w:t>）、转换配置（可视化选择目标平台、精度模式（FP32/FP16/INT8））、任务进度查看（实时</w:t>
      </w:r>
      <w:r>
        <w:rPr>
          <w:rFonts w:hint="eastAsia"/>
          <w:lang w:val="en-US" w:eastAsia="zh-CN"/>
        </w:rPr>
        <w:t>状态</w:t>
      </w:r>
      <w:r>
        <w:rPr>
          <w:rFonts w:hint="eastAsia"/>
        </w:rPr>
        <w:t>显示，支持任务</w:t>
      </w:r>
      <w:r>
        <w:rPr>
          <w:rFonts w:hint="eastAsia"/>
          <w:lang w:val="en-US" w:eastAsia="zh-CN"/>
        </w:rPr>
        <w:t>新增查询和删除</w:t>
      </w:r>
      <w:r>
        <w:rPr>
          <w:rFonts w:hint="eastAsia"/>
        </w:rPr>
        <w:t>）、结果下载（转换后模型文件下载），确保用户操作便捷高效。</w:t>
      </w:r>
    </w:p>
    <w:p>
      <w:pPr>
        <w:pStyle w:val="2"/>
        <w:ind w:firstLine="552"/>
        <w:rPr>
          <w:rFonts w:hint="eastAsia"/>
        </w:rPr>
      </w:pPr>
      <w:r>
        <w:rPr>
          <w:rFonts w:hint="eastAsia"/>
        </w:rPr>
        <w:t>应用服务层：采用微服务架构拆分功能模块，各模块通过RESTful API实现通信，支持独立部署与弹性扩展。前端应用基于Vue3+TypeScript开发，搭配Element Plus组件库构建轻量化交互界面，集成ECharts实现任务</w:t>
      </w:r>
      <w:r>
        <w:rPr>
          <w:rFonts w:hint="eastAsia"/>
          <w:lang w:val="en-US" w:eastAsia="zh-CN"/>
        </w:rPr>
        <w:t>状态</w:t>
      </w:r>
      <w:r>
        <w:rPr>
          <w:rFonts w:hint="eastAsia"/>
        </w:rPr>
        <w:t>、性能指标等数据可视化展示；后端RESTful API服务基于</w:t>
      </w:r>
      <w:r>
        <w:rPr>
          <w:rFonts w:hint="eastAsia"/>
          <w:lang w:val="en-US" w:eastAsia="zh-CN"/>
        </w:rPr>
        <w:t>常见开源框架</w:t>
      </w:r>
      <w:r>
        <w:rPr>
          <w:rFonts w:hint="eastAsia"/>
        </w:rPr>
        <w:t>开发，采用Swagger生成接口文档，方便后期维护与二次开发。模块拆分遵循“高内聚、低耦合”原则，将模型解析、格式转换、可视化处理等核心功能拆分为独立服务。</w:t>
      </w:r>
    </w:p>
    <w:p>
      <w:pPr>
        <w:pStyle w:val="2"/>
        <w:ind w:firstLine="552"/>
        <w:rPr>
          <w:rFonts w:hint="eastAsia"/>
        </w:rPr>
      </w:pPr>
      <w:r>
        <w:rPr>
          <w:rFonts w:hint="eastAsia"/>
        </w:rPr>
        <w:t>数据存储层：采用混合存储架构满足不同数据类型需求。MySQL 8.0数据库用于存储结构化数据，包括用户信息（账号、权限、操作日志）、任务数据（任务ID、模型名称、目标平台、转换状态、创建时间）、系统配置（支持的模型类型、平台参数、精度阈值），保障数据安全性；MinIO分布式对象存储用于存储非结构化数据，包括原始模型文件、转换后模型文件、测试数据集、日志文件，支持断点续传与版本控制，可根据需求扩展存储节点，满足试验场日益增长的模型数据存储需求；Redis用于缓存高频访问数据，如用户登录令牌、任务实时状态、模型元数据（输入输出维度、算子数量），缓存有效期可配置（默认24小时），大幅提升系统响应速度，减少数据库访问压力。</w:t>
      </w:r>
    </w:p>
    <w:p>
      <w:pPr>
        <w:pStyle w:val="2"/>
        <w:ind w:firstLine="552"/>
        <w:rPr>
          <w:rFonts w:hint="eastAsia"/>
        </w:rPr>
      </w:pPr>
      <w:r>
        <w:rPr>
          <w:rFonts w:hint="eastAsia"/>
        </w:rPr>
        <w:t>硬件资源层：英伟达（RTX 6000ADA或RTX</w:t>
      </w:r>
      <w:r>
        <w:rPr>
          <w:rFonts w:hint="eastAsia"/>
          <w:lang w:val="en-US" w:eastAsia="zh-CN"/>
        </w:rPr>
        <w:t>40系列</w:t>
      </w:r>
      <w:r>
        <w:rPr>
          <w:rFonts w:hint="eastAsia"/>
        </w:rPr>
        <w:t>）、华为昇腾（Atlas</w:t>
      </w:r>
      <w:r>
        <w:rPr>
          <w:rFonts w:hint="eastAsia"/>
          <w:lang w:val="en-US" w:eastAsia="zh-CN"/>
        </w:rPr>
        <w:t>300duo和</w:t>
      </w:r>
      <w:r>
        <w:rPr>
          <w:rFonts w:hint="eastAsia"/>
        </w:rPr>
        <w:t>910B）、瑞芯微（RK3588）、寒武纪（思元370）等4类平台硬件测试节点，形成分布式测试集群。通过Docker容器化技术</w:t>
      </w:r>
      <w:r>
        <w:rPr>
          <w:rFonts w:hint="eastAsia"/>
          <w:lang w:val="en-US" w:eastAsia="zh-CN"/>
        </w:rPr>
        <w:t>或者Conda虚拟化环境等方式</w:t>
      </w:r>
      <w:r>
        <w:rPr>
          <w:rFonts w:hint="eastAsia"/>
        </w:rPr>
        <w:t>统一管理各节点运行环境，为每类平台预置专用镜像</w:t>
      </w:r>
      <w:r>
        <w:rPr>
          <w:rFonts w:hint="eastAsia"/>
          <w:lang w:val="en-US" w:eastAsia="zh-CN"/>
        </w:rPr>
        <w:t>或者执行环境</w:t>
      </w:r>
      <w:r>
        <w:rPr>
          <w:rFonts w:hint="eastAsia"/>
        </w:rPr>
        <w:t xml:space="preserve">（含驱动、SDK、依赖库），如华为昇腾节点镜像包含CANN </w:t>
      </w:r>
      <w:r>
        <w:rPr>
          <w:rFonts w:hint="eastAsia"/>
          <w:lang w:val="en-US" w:eastAsia="zh-CN"/>
        </w:rPr>
        <w:t>8</w:t>
      </w:r>
      <w:r>
        <w:rPr>
          <w:rFonts w:hint="eastAsia"/>
        </w:rPr>
        <w:t>.0</w:t>
      </w:r>
      <w:r>
        <w:rPr>
          <w:rFonts w:hint="eastAsia"/>
          <w:lang w:val="en-US" w:eastAsia="zh-CN"/>
        </w:rPr>
        <w:t>.0</w:t>
      </w:r>
      <w:r>
        <w:rPr>
          <w:rFonts w:hint="eastAsia"/>
        </w:rPr>
        <w:t xml:space="preserve"> SDK、MindSpore框架，英伟达节点镜像包含CUDA、TensorRT，确保环境一致性。</w:t>
      </w:r>
    </w:p>
    <w:p>
      <w:pPr>
        <w:numPr>
          <w:ilvl w:val="2"/>
          <w:numId w:val="1"/>
        </w:numPr>
        <w:tabs>
          <w:tab w:val="left" w:pos="0"/>
        </w:tabs>
        <w:ind w:left="1508" w:leftChars="0" w:hanging="708" w:firstLineChars="0"/>
        <w:outlineLvl w:val="2"/>
        <w:rPr>
          <w:rFonts w:hint="eastAsia"/>
          <w:sz w:val="32"/>
          <w:szCs w:val="32"/>
        </w:rPr>
      </w:pPr>
      <w:bookmarkStart w:id="24" w:name="_Toc1028738710"/>
      <w:r>
        <w:rPr>
          <w:rFonts w:hint="eastAsia"/>
          <w:sz w:val="32"/>
          <w:szCs w:val="32"/>
        </w:rPr>
        <w:t>模</w:t>
      </w:r>
      <w:r>
        <w:rPr>
          <w:rFonts w:hint="default" w:ascii="仿宋_GB2312" w:hAnsi="仿宋_GB2312" w:eastAsia="仿宋_GB2312" w:cs="仿宋_GB2312"/>
          <w:sz w:val="32"/>
          <w:szCs w:val="32"/>
        </w:rPr>
        <w:t>型</w:t>
      </w:r>
      <w:r>
        <w:rPr>
          <w:rFonts w:hint="default" w:ascii="仿宋_GB2312" w:hAnsi="仿宋_GB2312" w:eastAsia="仿宋_GB2312" w:cs="仿宋_GB2312"/>
          <w:sz w:val="32"/>
          <w:szCs w:val="32"/>
          <w:lang w:val="en-US" w:eastAsia="zh-CN"/>
        </w:rPr>
        <w:t>跨平台</w:t>
      </w:r>
      <w:r>
        <w:rPr>
          <w:rFonts w:hint="default" w:ascii="仿宋_GB2312" w:hAnsi="仿宋_GB2312" w:eastAsia="仿宋_GB2312" w:cs="仿宋_GB2312"/>
          <w:sz w:val="32"/>
          <w:szCs w:val="32"/>
        </w:rPr>
        <w:t>转换</w:t>
      </w:r>
      <w:r>
        <w:rPr>
          <w:rFonts w:hint="eastAsia"/>
          <w:sz w:val="32"/>
          <w:szCs w:val="32"/>
        </w:rPr>
        <w:t>系统</w:t>
      </w:r>
      <w:bookmarkEnd w:id="24"/>
    </w:p>
    <w:p>
      <w:pPr>
        <w:pStyle w:val="2"/>
        <w:ind w:firstLine="552"/>
        <w:rPr>
          <w:rFonts w:hint="eastAsia"/>
        </w:rPr>
      </w:pPr>
      <w:r>
        <w:rPr>
          <w:rFonts w:hint="eastAsia"/>
        </w:rPr>
        <w:t>模型跨平台转换系统是工具的核心功能模块，解决不同硬件平台间模型格式不兼容问题，实现“一次开发，多端部署”。</w:t>
      </w:r>
    </w:p>
    <w:p>
      <w:pPr>
        <w:pStyle w:val="2"/>
        <w:ind w:firstLine="552"/>
        <w:rPr>
          <w:rFonts w:hint="eastAsia"/>
        </w:rPr>
      </w:pPr>
      <w:r>
        <w:rPr>
          <w:rFonts w:hint="eastAsia"/>
        </w:rPr>
        <w:t>转换工具集：集成ONNX Runtime作为基础转换框架，搭配各平台专用转换工具形成完整工具链。华为昇腾平台采用ATC（Ascend Tensor Compiler）工具将ONNX模型转换为OM格式，支持算子融合、常量折叠等优化；瑞芯微平台采用RKNN Toolkit 工具实现ONNX到RKNN格式转换，提供量化工具（支持KL散度、Min-Max等量化算法）；英伟达平台采用TensorRT工具将ONNX模型转换为TensorRT Engine格式，支持动态形状推理与混合精度计算；寒武纪平台采用MagicMind工具完成ONNX到CNModel格式转换，优化算子调度策略提升推理性能。同时，集成ONNX Simplifier工具对输入模型进行简化（移除冗余算子、合并常量节点），减少转换复杂度，提升转换效率。</w:t>
      </w:r>
    </w:p>
    <w:p>
      <w:pPr>
        <w:pStyle w:val="2"/>
        <w:ind w:firstLine="552"/>
        <w:rPr>
          <w:rFonts w:hint="eastAsia"/>
        </w:rPr>
      </w:pPr>
      <w:r>
        <w:rPr>
          <w:rFonts w:hint="eastAsia"/>
        </w:rPr>
        <w:t>多模型适配模块：针对20类主流智能模型（</w:t>
      </w:r>
      <w:r>
        <w:rPr>
          <w:rFonts w:hint="eastAsia"/>
          <w:lang w:val="en-US" w:eastAsia="zh-CN"/>
        </w:rPr>
        <w:t>例如</w:t>
      </w:r>
      <w:r>
        <w:rPr>
          <w:rFonts w:hint="eastAsia"/>
        </w:rPr>
        <w:t>YOLO、Faster R-CNN</w:t>
      </w:r>
      <w:r>
        <w:rPr>
          <w:rFonts w:hint="eastAsia"/>
          <w:lang w:val="en-US" w:eastAsia="zh-CN"/>
        </w:rPr>
        <w:t>等等）</w:t>
      </w:r>
      <w:r>
        <w:rPr>
          <w:rFonts w:hint="eastAsia"/>
        </w:rPr>
        <w:t>开发专用适配模板，每个模板包含模型结构解析规则、算子映射表、精度优化策略。例如，针对YOLO系列模型，模板中预设检测头结构解析逻辑，确保转换时保留Anchor信息。</w:t>
      </w:r>
    </w:p>
    <w:p>
      <w:pPr>
        <w:pStyle w:val="2"/>
        <w:ind w:firstLine="552"/>
        <w:rPr>
          <w:rFonts w:hint="eastAsia"/>
        </w:rPr>
      </w:pPr>
      <w:r>
        <w:rPr>
          <w:rFonts w:hint="eastAsia"/>
        </w:rPr>
        <w:t>跨平台转换逻辑模块：采用“原生格式→ONNX→目标平台格式”的两步转换流程，ONNX作为中间格式实现“解耦”，降低不同原生格式与目标平台间的适配复杂度。第一步，通过模型解析引擎读取PyTorch（.pth/.pt）等原生格式模型，提取模型拓扑结构、算子类型、输入输出维度、权重数据，转换为标准ONNX格式，转换过程中自动处理格式差异（如TensorFlow的NHWC格式转ONNX的NCHW格式）；第二步，根据目标平台选择对应转换工具，加载该平台专用适配模板，执行格式转换与优化，如华为昇腾平台转换时启用算子融合优化（将Conv+BN+ReLU合并为一个算子），瑞芯微平台转换时根据硬件算力选择合适量化精度（RK3588支持INT8量化）。转换过程中实时记录日志（包含每一步操作、耗时、错误信息），便于后期问题排查。</w:t>
      </w:r>
    </w:p>
    <w:p>
      <w:pPr>
        <w:pStyle w:val="2"/>
        <w:ind w:firstLine="552"/>
        <w:rPr>
          <w:rFonts w:hint="eastAsia"/>
        </w:rPr>
      </w:pPr>
      <w:r>
        <w:rPr>
          <w:rFonts w:hint="eastAsia"/>
        </w:rPr>
        <w:t>转换流程管控模块：构建任务队列机制实现批量任务有序处理，采用RabbitMQ作为消息队列，用户提交的转换任务先进入队列等待，调度器根据节点负载（CPU/内存/GPU利用率）分配任务至空闲测试节点。实时监控转换进度，通过Redis记录任务状态（等待中、处理中、成功、失败），前端通过WebSocket</w:t>
      </w:r>
      <w:r>
        <w:rPr>
          <w:rFonts w:hint="eastAsia"/>
          <w:lang w:val="en-US" w:eastAsia="zh-CN"/>
        </w:rPr>
        <w:t>或者轮询等方式</w:t>
      </w:r>
      <w:r>
        <w:rPr>
          <w:rFonts w:hint="eastAsia"/>
        </w:rPr>
        <w:t>实时获取状态更新，无需手动刷新页面。转换完成后自动进行基础校验，对比转换前后模型的输入输出维度、权重数据哈希值，若校验不通过则标记任务失败并生成错误报告（含失败原因、解决方案建议）；校验通过则将转换后模型文件存储至MinIO，任务状态更新为“成功”并通知用户。</w:t>
      </w:r>
    </w:p>
    <w:p>
      <w:pPr>
        <w:numPr>
          <w:ilvl w:val="2"/>
          <w:numId w:val="1"/>
        </w:numPr>
        <w:tabs>
          <w:tab w:val="left" w:pos="0"/>
        </w:tabs>
        <w:ind w:left="1508" w:leftChars="0" w:hanging="708" w:firstLineChars="0"/>
        <w:outlineLvl w:val="2"/>
        <w:rPr>
          <w:rFonts w:hint="eastAsia"/>
          <w:sz w:val="32"/>
          <w:szCs w:val="32"/>
        </w:rPr>
      </w:pPr>
      <w:bookmarkStart w:id="25" w:name="_Toc620656973"/>
      <w:r>
        <w:rPr>
          <w:rFonts w:hint="eastAsia"/>
          <w:sz w:val="32"/>
          <w:szCs w:val="32"/>
        </w:rPr>
        <w:t>模</w:t>
      </w:r>
      <w:r>
        <w:rPr>
          <w:rFonts w:hint="default" w:ascii="仿宋_GB2312" w:hAnsi="仿宋_GB2312" w:eastAsia="仿宋_GB2312" w:cs="仿宋_GB2312"/>
          <w:sz w:val="32"/>
          <w:szCs w:val="32"/>
        </w:rPr>
        <w:t>型</w:t>
      </w:r>
      <w:r>
        <w:rPr>
          <w:rFonts w:hint="default" w:ascii="仿宋_GB2312" w:hAnsi="仿宋_GB2312" w:eastAsia="仿宋_GB2312" w:cs="仿宋_GB2312"/>
          <w:sz w:val="32"/>
          <w:szCs w:val="32"/>
          <w:lang w:val="en-US" w:eastAsia="zh-CN"/>
        </w:rPr>
        <w:t>可视化</w:t>
      </w:r>
      <w:r>
        <w:rPr>
          <w:rFonts w:hint="default" w:ascii="仿宋_GB2312" w:hAnsi="仿宋_GB2312" w:eastAsia="仿宋_GB2312" w:cs="仿宋_GB2312"/>
          <w:sz w:val="32"/>
          <w:szCs w:val="32"/>
        </w:rPr>
        <w:t>展示</w:t>
      </w:r>
      <w:r>
        <w:rPr>
          <w:rFonts w:hint="eastAsia"/>
          <w:sz w:val="32"/>
          <w:szCs w:val="32"/>
        </w:rPr>
        <w:t>系统</w:t>
      </w:r>
      <w:bookmarkEnd w:id="25"/>
    </w:p>
    <w:p>
      <w:pPr>
        <w:pStyle w:val="2"/>
        <w:ind w:firstLine="552"/>
        <w:rPr>
          <w:rFonts w:hint="eastAsia"/>
        </w:rPr>
      </w:pPr>
      <w:r>
        <w:rPr>
          <w:rFonts w:hint="eastAsia"/>
        </w:rPr>
        <w:t>模型可视化展示系统帮助用户直观理解模型结构与参数特征，降低智能模型“黑箱”属性，辅助模型调试与优化。</w:t>
      </w:r>
    </w:p>
    <w:p>
      <w:pPr>
        <w:pStyle w:val="2"/>
        <w:ind w:firstLine="552"/>
        <w:rPr>
          <w:rFonts w:hint="eastAsia"/>
        </w:rPr>
      </w:pPr>
      <w:r>
        <w:rPr>
          <w:rFonts w:hint="eastAsia"/>
        </w:rPr>
        <w:t>网络结构可视化模块：基于Netron开源框架进行二次开发，增强对复杂模型（尤其是自然语言大模型）的解析与展示能力。支持自动提取模型网络层信息（输入层、卷积层、池化层、全连接层、Transformer层等）、节点关系（层间数据流向）、算子参数（卷积核大小、步长、填充方式、激活函数类型），以拓扑图形式展示，不同类型层采用不同颜色标识（如卷积层、全连接层、Transformer层</w:t>
      </w:r>
      <w:r>
        <w:rPr>
          <w:rFonts w:hint="eastAsia"/>
          <w:lang w:val="en-US" w:eastAsia="zh-CN"/>
        </w:rPr>
        <w:t>颜色设定不同</w:t>
      </w:r>
      <w:r>
        <w:rPr>
          <w:rFonts w:hint="eastAsia"/>
        </w:rPr>
        <w:t>），便于用户快速区分。支持交互操作：鼠标滚轮缩放拓扑图、拖拽移动整个拓扑图或单个节点、双击节点展开查看层内详细参数（如权重矩阵维度、偏置值范围）、框选多个节点查看层间数据依赖关系。针对大型模型，提供分层展示功能，可按功能模块（如编码器层、解码器层）折叠/展开，避免界面混乱。</w:t>
      </w:r>
    </w:p>
    <w:p>
      <w:pPr>
        <w:pStyle w:val="2"/>
        <w:ind w:firstLine="552"/>
        <w:rPr>
          <w:rFonts w:hint="eastAsia"/>
        </w:rPr>
      </w:pPr>
      <w:r>
        <w:rPr>
          <w:rFonts w:hint="eastAsia"/>
        </w:rPr>
        <w:t>可视化配置适配模块：针对不同类型模型（计算机视觉模型、自然语言模型）开发专用可视化模板，满足差异化展示需求。计算机视觉模型模板重点展示特征提取流程，如YOLO模型展示从输入层到backbone（如CSPDarknet）、neck（如FPN）、head（如检测头）的完整结构，标注各层输出特征图尺寸；自然语言模型模板突出Transformer层细节，展示多头注意力机制（每个注意力头的权重分布、Q/K/V矩阵维度）、Feed Forward网络结构（隐藏层神经元数量、激活函数）。</w:t>
      </w:r>
    </w:p>
    <w:p>
      <w:pPr>
        <w:pStyle w:val="2"/>
        <w:ind w:firstLine="552"/>
        <w:rPr>
          <w:rFonts w:hint="eastAsia"/>
        </w:rPr>
      </w:pPr>
      <w:r>
        <w:rPr>
          <w:rFonts w:hint="eastAsia"/>
        </w:rPr>
        <w:t>渲染优化模块：针对大规模模型可视化时易出现的页面卡顿、加载缓慢问题，采用多项优化技术。采用分层加载策略，优先加载模型整体拓扑结构，用户点击展开节点时再加载该节点的详细参数，减少初始加载数据量；利用WebWorker在后台线程处理模型解析与数据计算，避免阻塞主线程导致界面无响应；采用Canvas绘图替代DOM元素渲染，提升图形绘制效率，支持每秒60帧稳定渲染；对权重数据等大规模数值信息采用抽样展示（默认抽样10%数据），用户可点击“查看全部”获取完整数据，平衡展示效果与性能。</w:t>
      </w:r>
    </w:p>
    <w:p>
      <w:pPr>
        <w:numPr>
          <w:ilvl w:val="2"/>
          <w:numId w:val="1"/>
        </w:numPr>
        <w:tabs>
          <w:tab w:val="left" w:pos="0"/>
        </w:tabs>
        <w:ind w:left="1508" w:leftChars="0" w:hanging="708" w:firstLineChars="0"/>
        <w:outlineLvl w:val="2"/>
        <w:rPr>
          <w:rFonts w:hint="eastAsia"/>
          <w:sz w:val="32"/>
          <w:szCs w:val="32"/>
        </w:rPr>
      </w:pPr>
      <w:bookmarkStart w:id="26" w:name="_Toc1053671732"/>
      <w:r>
        <w:rPr>
          <w:rFonts w:hint="eastAsia"/>
          <w:sz w:val="32"/>
          <w:szCs w:val="32"/>
        </w:rPr>
        <w:t>硬件集成验证系统</w:t>
      </w:r>
      <w:bookmarkEnd w:id="26"/>
    </w:p>
    <w:p>
      <w:pPr>
        <w:pStyle w:val="2"/>
        <w:ind w:firstLine="552"/>
        <w:rPr>
          <w:rFonts w:hint="eastAsia"/>
        </w:rPr>
      </w:pPr>
      <w:r>
        <w:rPr>
          <w:rFonts w:hint="eastAsia"/>
        </w:rPr>
        <w:t>硬件集成验证系统用于验证转换后模型在目标硬件平台的实际运行效果，确保模型功能正常、性能达标、精度满足需求。</w:t>
      </w:r>
    </w:p>
    <w:p>
      <w:pPr>
        <w:pStyle w:val="2"/>
        <w:ind w:firstLine="552"/>
        <w:rPr>
          <w:rFonts w:hint="default" w:eastAsia="仿宋_GB2312"/>
          <w:lang w:val="en-US" w:eastAsia="zh-CN"/>
        </w:rPr>
      </w:pPr>
      <w:r>
        <w:rPr>
          <w:rFonts w:hint="eastAsia"/>
        </w:rPr>
        <w:t xml:space="preserve">硬件测试集群：搭建包含4类平台的硬件测试集群，确保测试连续性。具体设备配置如下：华为昇腾平台采用Atlas </w:t>
      </w:r>
      <w:r>
        <w:rPr>
          <w:rFonts w:hint="eastAsia"/>
          <w:lang w:val="en-US" w:eastAsia="zh-CN"/>
        </w:rPr>
        <w:t>3</w:t>
      </w:r>
      <w:r>
        <w:rPr>
          <w:rFonts w:hint="eastAsia"/>
        </w:rPr>
        <w:t>00</w:t>
      </w:r>
      <w:r>
        <w:rPr>
          <w:rFonts w:hint="eastAsia"/>
          <w:lang w:val="en-US" w:eastAsia="zh-CN"/>
        </w:rPr>
        <w:t>du</w:t>
      </w:r>
      <w:r>
        <w:rPr>
          <w:rFonts w:hint="eastAsia"/>
        </w:rPr>
        <w:t>、</w:t>
      </w:r>
      <w:r>
        <w:rPr>
          <w:rFonts w:hint="eastAsia"/>
          <w:lang w:val="en-US" w:eastAsia="zh-CN"/>
        </w:rPr>
        <w:t>910B等环境</w:t>
      </w:r>
      <w:r>
        <w:rPr>
          <w:rFonts w:hint="eastAsia"/>
        </w:rPr>
        <w:t xml:space="preserve">；瑞芯微平台采用RK3588开发板（NPU算力6TOPS，8GB内存）；英伟达平台采用RTX </w:t>
      </w:r>
      <w:r>
        <w:rPr>
          <w:rFonts w:hint="eastAsia"/>
          <w:lang w:val="en-US" w:eastAsia="zh-CN"/>
        </w:rPr>
        <w:t>6000ADA或者RTX 4090等</w:t>
      </w:r>
      <w:r>
        <w:rPr>
          <w:rFonts w:hint="eastAsia"/>
        </w:rPr>
        <w:t>；寒武纪平台采用思元370服务器（2颗思元370NPU，每颗16GB显存）。所有设备接入试验场内网，通过远程控制工具（如SSH、VNC）实现统一管理，支持远程部署模型、执行测试任务、采集测试数据。</w:t>
      </w:r>
      <w:r>
        <w:rPr>
          <w:rFonts w:hint="eastAsia"/>
          <w:lang w:val="en-US" w:eastAsia="zh-CN"/>
        </w:rPr>
        <w:t>实际硬件环境根据建设方选型进行调整。</w:t>
      </w:r>
    </w:p>
    <w:p>
      <w:pPr>
        <w:pStyle w:val="2"/>
        <w:ind w:firstLine="552"/>
        <w:rPr>
          <w:rFonts w:hint="eastAsia"/>
        </w:rPr>
      </w:pPr>
      <w:r>
        <w:rPr>
          <w:rFonts w:hint="eastAsia"/>
        </w:rPr>
        <w:t>验证环境管理模块：开发统一的验证环境管理界面，支持查看各硬件节点的实时状态（在线/离线、CPU/内存/GPU/NPU利用率、磁盘空间）、已部署模型列表、历史测试任务记录。提供环境配置</w:t>
      </w:r>
      <w:r>
        <w:rPr>
          <w:rFonts w:hint="eastAsia"/>
          <w:lang w:val="en-US" w:eastAsia="zh-CN"/>
        </w:rPr>
        <w:t>手册</w:t>
      </w:r>
      <w:r>
        <w:rPr>
          <w:rFonts w:hint="eastAsia"/>
        </w:rPr>
        <w:t>，可</w:t>
      </w:r>
      <w:r>
        <w:rPr>
          <w:rFonts w:hint="eastAsia"/>
          <w:lang w:val="en-US" w:eastAsia="zh-CN"/>
        </w:rPr>
        <w:t>依据参考</w:t>
      </w:r>
      <w:r>
        <w:rPr>
          <w:rFonts w:hint="eastAsia"/>
        </w:rPr>
        <w:t>远程为各节点安装/更新驱动、SDK、依赖库，如为华为昇腾节点更新CANN SDK版本，为英伟达节点安装最新TensorRT插件，配置过程自动生成日志，便于追溯。支持环境快照功能，可保存当前节点的环境状态（驱动版本、软件依赖），当后续环境出现问题时，可快速恢复至快照状态，减少环境配置时间。</w:t>
      </w:r>
    </w:p>
    <w:p>
      <w:pPr>
        <w:pStyle w:val="2"/>
        <w:ind w:firstLine="552"/>
        <w:rPr>
          <w:rFonts w:hint="eastAsia"/>
        </w:rPr>
      </w:pPr>
      <w:r>
        <w:rPr>
          <w:rFonts w:hint="eastAsia"/>
        </w:rPr>
        <w:t>多维度验证模块：从功能、性能、精度三个维度开展验证，全面评估模型适配效果。</w:t>
      </w:r>
    </w:p>
    <w:p>
      <w:pPr>
        <w:pStyle w:val="2"/>
        <w:ind w:firstLine="552"/>
        <w:rPr>
          <w:rFonts w:hint="eastAsia"/>
        </w:rPr>
      </w:pPr>
      <w:r>
        <w:rPr>
          <w:rFonts w:hint="eastAsia"/>
        </w:rPr>
        <w:t>功能验证：上传测试数据集（目标检测采用COCO验证集、目标分类采用ImageNet验证集、自然语言模型采用GLUE数据集），执行模型推理，检查是否能正常输出结果（如目标检测输出bounding box、类别、置信度；分类模型输出类别概率；NLP模型输出文本预测结果），验证结果格式是否符合目标平台要求，无推理崩溃、输出为空等异常情况。</w:t>
      </w:r>
    </w:p>
    <w:p>
      <w:pPr>
        <w:pStyle w:val="2"/>
        <w:ind w:firstLine="552"/>
        <w:rPr>
          <w:rFonts w:hint="eastAsia"/>
        </w:rPr>
      </w:pPr>
      <w:r>
        <w:rPr>
          <w:rFonts w:hint="eastAsia"/>
        </w:rPr>
        <w:t>性能测试：针对不同输入数据量（如目标检测测试不同分辨率图像、NLP模型测试不同长度文本）执行多轮推理，采集关键性能指标：推理延迟（单条数据从输入到输出的耗时，取100轮平均值）。例如，测试YOLOv8模型在华为</w:t>
      </w:r>
      <w:r>
        <w:rPr>
          <w:rFonts w:hint="eastAsia"/>
          <w:lang w:val="en-US" w:eastAsia="zh-CN"/>
        </w:rPr>
        <w:t>910B</w:t>
      </w:r>
      <w:r>
        <w:rPr>
          <w:rFonts w:hint="eastAsia"/>
        </w:rPr>
        <w:t>上的推理性能，记录输入图像分辨率640×640时的延迟与吞吐量。</w:t>
      </w:r>
    </w:p>
    <w:p>
      <w:pPr>
        <w:pStyle w:val="2"/>
        <w:ind w:firstLine="552"/>
        <w:rPr>
          <w:rFonts w:hint="eastAsia"/>
        </w:rPr>
      </w:pPr>
      <w:r>
        <w:rPr>
          <w:rFonts w:hint="eastAsia"/>
        </w:rPr>
        <w:t>精度对比：以英伟达平台</w:t>
      </w:r>
      <w:r>
        <w:rPr>
          <w:rFonts w:hint="eastAsia"/>
          <w:lang w:eastAsia="zh-CN"/>
        </w:rPr>
        <w:t>（</w:t>
      </w:r>
      <w:r>
        <w:rPr>
          <w:rFonts w:hint="eastAsia"/>
          <w:lang w:val="en-US" w:eastAsia="zh-CN"/>
        </w:rPr>
        <w:t>例如RTX4090，具体以实际研发环境为准</w:t>
      </w:r>
      <w:r>
        <w:rPr>
          <w:rFonts w:hint="eastAsia"/>
          <w:lang w:eastAsia="zh-CN"/>
        </w:rPr>
        <w:t>）</w:t>
      </w:r>
      <w:r>
        <w:rPr>
          <w:rFonts w:hint="eastAsia"/>
        </w:rPr>
        <w:t>（FP32精度）的推理结果为基准，计算转换后模型在其他平台的精度损失。目标检测模型采用mAP（mean Average Precision）、Precision（精确率）、Recall（召回率）作为评价指标；目标分类模型采用Top-1 Accuracy、Top-5 Accuracy；自然语言模型采用GLUE Score（含CoLA、SST-2等子任务得分）。精度损失阈值可配置，若超过阈值则分析原因（如量化精度过高、算子替换导致误差累积）。</w:t>
      </w:r>
    </w:p>
    <w:p>
      <w:pPr>
        <w:pStyle w:val="2"/>
        <w:ind w:firstLine="552"/>
        <w:rPr>
          <w:rFonts w:hint="eastAsia"/>
        </w:rPr>
      </w:pPr>
      <w:r>
        <w:rPr>
          <w:rFonts w:hint="eastAsia"/>
        </w:rPr>
        <w:t>报告生成模块：验证完成后自动生成可视化验证报告，采用HTML/PDF两种格式存储，报告包含测试概况（测试模型、目标平台、测试时间、测试人员）、功能验证结果（是否通过、异常信息）、性能数据图表（推理延迟对比图、吞吐量趋势图、资源占用热力图）、精度对比表格（各指标基准值、测试值、损失率）、优化建议（针对性能不达标或精度损失超标的问题）。</w:t>
      </w:r>
    </w:p>
    <w:p>
      <w:pPr>
        <w:numPr>
          <w:ilvl w:val="1"/>
          <w:numId w:val="1"/>
        </w:numPr>
        <w:tabs>
          <w:tab w:val="left" w:pos="0"/>
        </w:tabs>
        <w:ind w:left="850" w:leftChars="0" w:hanging="453" w:firstLineChars="0"/>
        <w:outlineLvl w:val="1"/>
        <w:rPr>
          <w:rFonts w:hint="eastAsia" w:ascii="楷体_GB2312" w:hAnsi="楷体_GB2312" w:eastAsia="楷体_GB2312" w:cs="楷体_GB2312"/>
          <w:sz w:val="32"/>
          <w:szCs w:val="32"/>
          <w:lang w:val="en-US" w:eastAsia="zh-CN"/>
        </w:rPr>
      </w:pPr>
      <w:bookmarkStart w:id="27" w:name="_Toc910646562"/>
      <w:r>
        <w:rPr>
          <w:rFonts w:hint="eastAsia" w:ascii="楷体_GB2312" w:hAnsi="楷体_GB2312" w:eastAsia="楷体_GB2312" w:cs="楷体_GB2312"/>
          <w:sz w:val="32"/>
          <w:szCs w:val="32"/>
          <w:lang w:val="en-US" w:eastAsia="zh-CN"/>
        </w:rPr>
        <w:t>架构设计</w:t>
      </w:r>
      <w:bookmarkEnd w:id="27"/>
    </w:p>
    <w:p>
      <w:pPr>
        <w:pStyle w:val="2"/>
        <w:ind w:firstLine="552"/>
        <w:rPr>
          <w:rFonts w:hint="eastAsia"/>
        </w:rPr>
      </w:pPr>
      <w:r>
        <w:rPr>
          <w:rFonts w:hint="eastAsia"/>
        </w:rPr>
        <w:t>本系统采用分层架构设计，从用户交互到硬件执行，依次分为用户层、应用服务层、数据存储层、硬件资源层，各层职责清晰、协同运作，实现智能模型跨平台适配与可视化全流程管理。</w:t>
      </w:r>
    </w:p>
    <w:p>
      <w:pPr>
        <w:pStyle w:val="2"/>
        <w:ind w:firstLine="552"/>
        <w:rPr>
          <w:rFonts w:hint="eastAsia"/>
        </w:rPr>
      </w:pPr>
      <w:r>
        <w:rPr>
          <w:rFonts w:hint="default"/>
          <w:lang w:val="en-US" w:eastAsia="zh-CN"/>
        </w:rPr>
        <w:drawing>
          <wp:anchor distT="0" distB="0" distL="114300" distR="114300" simplePos="0" relativeHeight="251659264" behindDoc="0" locked="0" layoutInCell="1" allowOverlap="0">
            <wp:simplePos x="0" y="0"/>
            <wp:positionH relativeFrom="column">
              <wp:posOffset>167005</wp:posOffset>
            </wp:positionH>
            <wp:positionV relativeFrom="margin">
              <wp:posOffset>1286510</wp:posOffset>
            </wp:positionV>
            <wp:extent cx="5264150" cy="6124575"/>
            <wp:effectExtent l="0" t="0" r="19050" b="22225"/>
            <wp:wrapTopAndBottom/>
            <wp:docPr id="4" name="图片 4" descr="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系统架构图"/>
                    <pic:cNvPicPr>
                      <a:picLocks noChangeAspect="1"/>
                    </pic:cNvPicPr>
                  </pic:nvPicPr>
                  <pic:blipFill>
                    <a:blip r:embed="rId12"/>
                    <a:stretch>
                      <a:fillRect/>
                    </a:stretch>
                  </pic:blipFill>
                  <pic:spPr>
                    <a:xfrm>
                      <a:off x="0" y="0"/>
                      <a:ext cx="5264150" cy="6124575"/>
                    </a:xfrm>
                    <a:prstGeom prst="rect">
                      <a:avLst/>
                    </a:prstGeom>
                  </pic:spPr>
                </pic:pic>
              </a:graphicData>
            </a:graphic>
          </wp:anchor>
        </w:drawing>
      </w:r>
    </w:p>
    <w:p>
      <w:pPr>
        <w:pStyle w:val="2"/>
        <w:ind w:firstLine="552"/>
        <w:rPr>
          <w:rFonts w:hint="eastAsia"/>
        </w:rPr>
      </w:pPr>
    </w:p>
    <w:p>
      <w:pPr>
        <w:pStyle w:val="6"/>
        <w:widowControl w:val="0"/>
        <w:snapToGrid w:val="0"/>
        <w:spacing w:line="560" w:lineRule="exact"/>
        <w:ind w:firstLine="552" w:firstLineChars="200"/>
        <w:jc w:val="center"/>
        <w:rPr>
          <w:rFonts w:hint="eastAsia"/>
        </w:rPr>
      </w:pPr>
      <w:r>
        <w:rPr>
          <w:rFonts w:hint="eastAsia" w:ascii="楷体" w:hAnsi="楷体" w:eastAsia="楷体" w:cs="楷体"/>
          <w:sz w:val="28"/>
          <w:szCs w:val="28"/>
        </w:rPr>
        <w:t xml:space="preserve">图表 </w:t>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SEQ 图表 \* ARABIC </w:instrText>
      </w:r>
      <w:r>
        <w:rPr>
          <w:rFonts w:hint="eastAsia" w:ascii="楷体" w:hAnsi="楷体" w:eastAsia="楷体" w:cs="楷体"/>
          <w:sz w:val="28"/>
          <w:szCs w:val="28"/>
        </w:rPr>
        <w:fldChar w:fldCharType="separate"/>
      </w:r>
      <w:r>
        <w:rPr>
          <w:rFonts w:hint="eastAsia" w:ascii="楷体" w:hAnsi="楷体" w:eastAsia="楷体" w:cs="楷体"/>
          <w:sz w:val="28"/>
          <w:szCs w:val="28"/>
        </w:rPr>
        <w:t>3</w:t>
      </w:r>
      <w:r>
        <w:rPr>
          <w:rFonts w:hint="eastAsia" w:ascii="楷体" w:hAnsi="楷体" w:eastAsia="楷体" w:cs="楷体"/>
          <w:sz w:val="28"/>
          <w:szCs w:val="28"/>
        </w:rPr>
        <w:fldChar w:fldCharType="end"/>
      </w:r>
      <w:r>
        <w:rPr>
          <w:rFonts w:hint="eastAsia" w:ascii="楷体" w:hAnsi="楷体" w:eastAsia="楷体" w:cs="楷体"/>
          <w:sz w:val="28"/>
          <w:szCs w:val="28"/>
          <w:lang w:val="en-US" w:eastAsia="zh-CN"/>
        </w:rPr>
        <w:t xml:space="preserve"> 架构图</w:t>
      </w:r>
    </w:p>
    <w:p>
      <w:pPr>
        <w:numPr>
          <w:ilvl w:val="2"/>
          <w:numId w:val="1"/>
        </w:numPr>
        <w:tabs>
          <w:tab w:val="left" w:pos="0"/>
        </w:tabs>
        <w:ind w:left="1508" w:leftChars="0" w:hanging="708" w:firstLineChars="0"/>
        <w:outlineLvl w:val="2"/>
        <w:rPr>
          <w:rFonts w:hint="eastAsia"/>
          <w:sz w:val="32"/>
          <w:szCs w:val="32"/>
        </w:rPr>
      </w:pPr>
      <w:bookmarkStart w:id="28" w:name="_Toc120815365"/>
      <w:r>
        <w:rPr>
          <w:rFonts w:hint="eastAsia"/>
          <w:sz w:val="32"/>
          <w:szCs w:val="32"/>
        </w:rPr>
        <w:t>用户层：便捷交互入口</w:t>
      </w:r>
      <w:bookmarkEnd w:id="28"/>
    </w:p>
    <w:p>
      <w:pPr>
        <w:pStyle w:val="2"/>
        <w:ind w:firstLine="552"/>
        <w:rPr>
          <w:rFonts w:hint="eastAsia"/>
        </w:rPr>
      </w:pPr>
      <w:r>
        <w:rPr>
          <w:rFonts w:hint="eastAsia"/>
        </w:rPr>
        <w:t>作为系统与用户的交互界面，聚焦模型管理全流程操作，提供直观、简洁的功能入口：</w:t>
      </w:r>
    </w:p>
    <w:p>
      <w:pPr>
        <w:pStyle w:val="2"/>
        <w:ind w:firstLine="552"/>
        <w:rPr>
          <w:rFonts w:hint="eastAsia"/>
        </w:rPr>
      </w:pPr>
      <w:r>
        <w:rPr>
          <w:rFonts w:hint="eastAsia"/>
        </w:rPr>
        <w:t>核心功能覆盖</w:t>
      </w:r>
    </w:p>
    <w:p>
      <w:pPr>
        <w:pStyle w:val="2"/>
        <w:ind w:firstLine="552"/>
        <w:rPr>
          <w:rFonts w:hint="eastAsia"/>
        </w:rPr>
      </w:pPr>
      <w:r>
        <w:rPr>
          <w:rFonts w:hint="eastAsia"/>
        </w:rPr>
        <w:t>模型上传下载：支持本地文件上传（支持拖拽上传、点击选择文件）、内网文件导入（从试验场文件服务器选择模型文件，通过路径映射直接读取）；支持转换后模型文件下载（可选择单个模型下载）、原始模型文件重新下载（保留上传记录，便于后续重新转换），下载速度取决于内网带宽。</w:t>
      </w:r>
    </w:p>
    <w:p>
      <w:pPr>
        <w:pStyle w:val="2"/>
        <w:ind w:firstLine="552"/>
        <w:rPr>
          <w:rFonts w:hint="eastAsia"/>
        </w:rPr>
      </w:pPr>
      <w:r>
        <w:rPr>
          <w:rFonts w:hint="eastAsia"/>
        </w:rPr>
        <w:t>可视化查看：提供模型网络结构拓扑图展示（支持缩放、拖拽、节点展开/折叠）、层参数详情查看（点击节点显示算子类型、输入输出维度、权重数据范围、计算量）、参数分布可视化（以直方图展示权重值分布，以热力图展示注意力权重（NLP模型）），支持将可视化结果导出为PNG、SVG格式，用于文档编写或汇报展示。</w:t>
      </w:r>
    </w:p>
    <w:p>
      <w:pPr>
        <w:pStyle w:val="2"/>
        <w:ind w:firstLine="552"/>
        <w:rPr>
          <w:rFonts w:hint="eastAsia"/>
        </w:rPr>
      </w:pPr>
      <w:r>
        <w:rPr>
          <w:rFonts w:hint="eastAsia"/>
        </w:rPr>
        <w:t>模型转换：支持选择目标平台（华为昇腾、瑞芯微、英伟达、寒武纪）、精度模式（FP32（高精度）、FP16（平衡精度与性能）、INT8（高性能，适合边缘设备））、输入形状适配（固定形状、动态形状（设置最大/最小/步长）），支持任务</w:t>
      </w:r>
      <w:r>
        <w:rPr>
          <w:rFonts w:hint="eastAsia"/>
          <w:lang w:val="en-US" w:eastAsia="zh-CN"/>
        </w:rPr>
        <w:t>开始</w:t>
      </w:r>
      <w:r>
        <w:rPr>
          <w:rFonts w:hint="eastAsia"/>
        </w:rPr>
        <w:t>（</w:t>
      </w:r>
      <w:r>
        <w:rPr>
          <w:rFonts w:hint="eastAsia"/>
          <w:lang w:val="en-US" w:eastAsia="zh-CN"/>
        </w:rPr>
        <w:t>任务配置和运行状态分开</w:t>
      </w:r>
      <w:r>
        <w:rPr>
          <w:rFonts w:hint="eastAsia"/>
        </w:rPr>
        <w:t>）、取消（取消后释放资源）。</w:t>
      </w:r>
    </w:p>
    <w:p>
      <w:pPr>
        <w:pStyle w:val="2"/>
        <w:ind w:firstLine="552"/>
        <w:rPr>
          <w:rFonts w:hint="eastAsia"/>
        </w:rPr>
      </w:pPr>
      <w:r>
        <w:rPr>
          <w:rFonts w:hint="eastAsia"/>
        </w:rPr>
        <w:t>推理测试：支持上传测试数据（图像文件（JPG/PNG/BMP）、文本文件（TXT）、批量测试数据集（ZIP压缩包）</w:t>
      </w:r>
      <w:r>
        <w:rPr>
          <w:rFonts w:hint="eastAsia"/>
          <w:lang w:eastAsia="zh-CN"/>
        </w:rPr>
        <w:t>，</w:t>
      </w:r>
      <w:r>
        <w:rPr>
          <w:rFonts w:hint="eastAsia"/>
          <w:lang w:val="en-US" w:eastAsia="zh-CN"/>
        </w:rPr>
        <w:t>使用MinIO存储系统</w:t>
      </w:r>
      <w:r>
        <w:rPr>
          <w:rFonts w:hint="eastAsia"/>
        </w:rPr>
        <w:t>），选择测试硬件节点，执行推理测试，实时展示推理结果（目标检测显示带bounding box的图像、分类显示类别与置信度、NLP显示生成文本或分类结果），支持推理结果截图保存、推理日志查看（包含每一步推理操作、耗时）。</w:t>
      </w:r>
    </w:p>
    <w:p>
      <w:pPr>
        <w:pStyle w:val="2"/>
        <w:ind w:firstLine="552"/>
      </w:pPr>
      <w:r>
        <w:rPr>
          <w:rFonts w:hint="eastAsia"/>
        </w:rPr>
        <w:t>任务监控：展示所有任务列表（任务ID、模型名称、目标平台、提交时间、状态（等待中/处理中/成功/失败）），支持按状态（全部/等待中/处理中/成功/失败）、时间（自定义时间段）、目标平台筛选任务，点击任务查看详情（转换参数、日志、结果链接），失败任务显示失败原因（如模型解析错误、算子不兼容）及解决方案建议。</w:t>
      </w:r>
    </w:p>
    <w:p>
      <w:pPr>
        <w:numPr>
          <w:ilvl w:val="2"/>
          <w:numId w:val="1"/>
        </w:numPr>
        <w:tabs>
          <w:tab w:val="left" w:pos="0"/>
        </w:tabs>
        <w:ind w:left="1508" w:leftChars="0" w:hanging="708" w:firstLineChars="0"/>
        <w:outlineLvl w:val="2"/>
        <w:rPr>
          <w:rFonts w:hint="eastAsia"/>
          <w:sz w:val="32"/>
          <w:szCs w:val="32"/>
        </w:rPr>
      </w:pPr>
      <w:bookmarkStart w:id="29" w:name="_Toc1171793140"/>
      <w:r>
        <w:rPr>
          <w:rFonts w:hint="eastAsia"/>
          <w:sz w:val="32"/>
          <w:szCs w:val="32"/>
        </w:rPr>
        <w:t>应用服务层：业务逻辑核心</w:t>
      </w:r>
      <w:bookmarkEnd w:id="29"/>
    </w:p>
    <w:p>
      <w:pPr>
        <w:pStyle w:val="2"/>
        <w:ind w:firstLine="552"/>
        <w:rPr>
          <w:rFonts w:hint="eastAsia"/>
        </w:rPr>
      </w:pPr>
      <w:r>
        <w:rPr>
          <w:rFonts w:hint="eastAsia"/>
        </w:rPr>
        <w:t>作为系统业务逻辑的核心承载层，应用服务层围绕模型处理全流程需求，按“高内聚、低耦合”原则拆分为前端服务、转换系统、可视化系统、支撑服务四大模块，各模块通过标准化接口协同工作，同时具备独立扩展与维护能力，可应对试验场调试机场景下模型处理的多样性与高可靠性需求。</w:t>
      </w:r>
    </w:p>
    <w:p>
      <w:pPr>
        <w:pStyle w:val="2"/>
        <w:ind w:firstLine="552"/>
        <w:rPr>
          <w:rFonts w:hint="eastAsia"/>
        </w:rPr>
      </w:pPr>
      <w:r>
        <w:rPr>
          <w:rFonts w:hint="eastAsia"/>
          <w:b/>
          <w:bCs/>
        </w:rPr>
        <w:t>前端服务：轻量化交互与数据可视化载体</w:t>
      </w:r>
      <w:r>
        <w:rPr>
          <w:rFonts w:hint="eastAsia"/>
          <w:lang w:eastAsia="zh-CN"/>
        </w:rPr>
        <w:t>。</w:t>
      </w:r>
      <w:r>
        <w:rPr>
          <w:rFonts w:hint="eastAsia"/>
        </w:rPr>
        <w:t>前端服务聚焦用户操作体验与数据直观呈现，基于Web技术栈构建适配试验场调试机终端的交互界面，实现“操作-反馈-分析”的闭环体验。</w:t>
      </w:r>
    </w:p>
    <w:p>
      <w:pPr>
        <w:pStyle w:val="2"/>
        <w:ind w:firstLine="552"/>
        <w:rPr>
          <w:rFonts w:hint="eastAsia"/>
        </w:rPr>
      </w:pPr>
      <w:r>
        <w:rPr>
          <w:rFonts w:hint="eastAsia"/>
        </w:rPr>
        <w:t>交互式界面开发：采用Vue3框架结合TypeScript语言开发，确保代码可维护性与类型安全性；集成Element Plus组件库构建标准化界面元素（如按钮、表单、弹窗、表格），统一视觉风格；通过响应式布局适配调试机常见的1920×1080等分辨率，同时支持窗口缩放时界面元素自适应调整，避免出现内容截断或空白问题。针对模型上传、转换配置等核心操作，设计</w:t>
      </w:r>
      <w:r>
        <w:rPr>
          <w:rFonts w:hint="eastAsia"/>
          <w:lang w:val="en-US" w:eastAsia="zh-CN"/>
        </w:rPr>
        <w:t>联动式配置</w:t>
      </w:r>
      <w:r>
        <w:rPr>
          <w:rFonts w:hint="eastAsia"/>
        </w:rPr>
        <w:t>（配置项按“目标平台→精度模式→输入形状”逻辑</w:t>
      </w:r>
      <w:r>
        <w:rPr>
          <w:rFonts w:hint="eastAsia"/>
          <w:lang w:val="en-US" w:eastAsia="zh-CN"/>
        </w:rPr>
        <w:t>层级约束</w:t>
      </w:r>
      <w:r>
        <w:rPr>
          <w:rFonts w:hint="eastAsia"/>
        </w:rPr>
        <w:t>），降低操作复杂度；支持操作历史记录（保留近30天的模型上传、转换任务记录），用户可快速回溯历史操作或重复发起相似任务。</w:t>
      </w:r>
    </w:p>
    <w:p>
      <w:pPr>
        <w:pStyle w:val="2"/>
        <w:ind w:firstLine="552"/>
        <w:rPr>
          <w:rFonts w:hint="eastAsia"/>
        </w:rPr>
      </w:pPr>
      <w:r>
        <w:rPr>
          <w:rFonts w:hint="eastAsia"/>
        </w:rPr>
        <w:t>可视化引擎集成：以Netron开源框架为核心二次开发，增强对20类目标模型（含自然语言大模型）的解析适配能力。针对计算机视觉模型（如YOLO），优化卷积层、池化层、检测头等结构的渲染逻辑，确保拓扑图中层与层的连接关系清晰；针对自然语言大模型（如DETR），新增Transformer层专用渲染模板，单独展示多头注意力模块、Feed Forward网络的内部结构，并用不同颜色标识Q/K/V矩阵流向。同时，开发引擎适配接口，支持将解析后的模型结构数据转换为前端可渲染的JSON格式，接口响应时间</w:t>
      </w:r>
      <w:r>
        <w:rPr>
          <w:rFonts w:hint="eastAsia"/>
          <w:lang w:val="en-US" w:eastAsia="zh-CN"/>
        </w:rPr>
        <w:t>短</w:t>
      </w:r>
      <w:r>
        <w:rPr>
          <w:rFonts w:hint="eastAsia"/>
        </w:rPr>
        <w:t>（针对1000层以内模型），避免用户等待过长。</w:t>
      </w:r>
    </w:p>
    <w:p>
      <w:pPr>
        <w:pStyle w:val="2"/>
        <w:ind w:firstLine="552"/>
        <w:rPr>
          <w:rFonts w:hint="eastAsia"/>
        </w:rPr>
      </w:pPr>
      <w:r>
        <w:rPr>
          <w:rFonts w:hint="eastAsia"/>
        </w:rPr>
        <w:t>EChart图表可视化：集成ECharts实现多维度数据展示，覆盖任务进度、性能指标、精度对比等核心场景。任务进度展示采用“环形进度条+实时日志流”组合形式，进度条实时更新转换/测试任务完成百分比，下方日志流按时间顺序显示任务关键节点（如“模型解析完成”“开始ONNX格式转换”“目标平台插件加载成功”），日志支持关键词搜索（如搜索“错误”快速定位问题）；性能指标展示采用多折线图对比不同平台的推理延迟（如华为昇腾、英伟达平台处理同一份数据的延迟曲线），图表支持鼠标悬浮查看具体数值、缩放时间范围、切换显示指标（如从“延迟”切换为“吞吐量”）；精度对比采用柱状图展示转换前后模型的mAP、Top-1 Accuracy等指标差异，超标数据（如精度损失＞5%）自动标红提示，辅助用户快速识别异常。</w:t>
      </w:r>
    </w:p>
    <w:p>
      <w:pPr>
        <w:pStyle w:val="2"/>
        <w:ind w:firstLine="552"/>
        <w:rPr>
          <w:rFonts w:hint="eastAsia"/>
        </w:rPr>
      </w:pPr>
      <w:r>
        <w:rPr>
          <w:rFonts w:hint="eastAsia"/>
          <w:b/>
          <w:bCs/>
        </w:rPr>
        <w:t>转换系统：跨平台格式适配核心引擎</w:t>
      </w:r>
      <w:r>
        <w:rPr>
          <w:rFonts w:hint="eastAsia"/>
          <w:lang w:eastAsia="zh-CN"/>
        </w:rPr>
        <w:t>。</w:t>
      </w:r>
      <w:r>
        <w:rPr>
          <w:rFonts w:hint="eastAsia"/>
        </w:rPr>
        <w:t>转换系统是实现“跨平台、跨底层架构格式转化”功能指标的核心，通过整合多平台工具链、开发适配模块，确保20类模型在4类目标平台上的高效、精准转换。</w:t>
      </w:r>
    </w:p>
    <w:p>
      <w:pPr>
        <w:pStyle w:val="2"/>
        <w:ind w:firstLine="552"/>
        <w:rPr>
          <w:rFonts w:hint="eastAsia"/>
        </w:rPr>
      </w:pPr>
      <w:r>
        <w:rPr>
          <w:rFonts w:hint="eastAsia"/>
        </w:rPr>
        <w:t>工具集工厂构建：整合ONNX Runtime作为基础转换框架，统一处理不同原生格式（PyTorch、faster-RCNN）到ONNX中间格式的转换，支持ONNX</w:t>
      </w:r>
      <w:r>
        <w:rPr>
          <w:rFonts w:hint="eastAsia"/>
          <w:lang w:val="en-US" w:eastAsia="zh-CN"/>
        </w:rPr>
        <w:t>多个</w:t>
      </w:r>
      <w:r>
        <w:rPr>
          <w:rFonts w:hint="eastAsia"/>
        </w:rPr>
        <w:t>版本兼容；针对4类目标平台分别集成专用转换工具，形成完整工具链：华为昇腾平台集成ATC（Ascend Tensor Compiler）工具，支持算子融合、常量折叠、数据排布优化（NHWC转NCHW）；瑞芯微平台集成RKNN Toolkit 2工具，提供KL散度、Min-Max、ADMM等多种量化算法，适配RK3588等硬件的NPU算力特性；英伟达平台集成TensorRT工具，支持动态形状推理、混合精度计算（FP32/FP16/INT8），并优化CUDA内核调用逻辑；寒武纪平台集成MagicMind工具，通过算子自动映射与调度优化，提升CNModel格式模型的推理性能。同时，开发工具集管理模块，实现工具版本监控（如检测到ATC工具版本过低时自动提示更新）、工具异常重试（单次转换失败时自动重新调用工具，最多重试3次），保障转换工具链稳定性。</w:t>
      </w:r>
    </w:p>
    <w:p>
      <w:pPr>
        <w:pStyle w:val="2"/>
        <w:ind w:firstLine="552"/>
        <w:rPr>
          <w:rFonts w:hint="eastAsia"/>
        </w:rPr>
      </w:pPr>
      <w:r>
        <w:rPr>
          <w:rFonts w:hint="eastAsia"/>
        </w:rPr>
        <w:t>多模型适配模块开发：针对20类主流智能模型（</w:t>
      </w:r>
      <w:r>
        <w:rPr>
          <w:rFonts w:hint="eastAsia"/>
          <w:lang w:val="en-US" w:eastAsia="zh-CN"/>
        </w:rPr>
        <w:t>例如</w:t>
      </w:r>
      <w:r>
        <w:rPr>
          <w:rFonts w:hint="eastAsia"/>
        </w:rPr>
        <w:t>YOLO、Faster R-CNN</w:t>
      </w:r>
      <w:r>
        <w:rPr>
          <w:rFonts w:hint="eastAsia"/>
          <w:lang w:val="en-US" w:eastAsia="zh-CN"/>
        </w:rPr>
        <w:t>等</w:t>
      </w:r>
      <w:r>
        <w:rPr>
          <w:rFonts w:hint="eastAsia"/>
          <w:lang w:eastAsia="zh-CN"/>
        </w:rPr>
        <w:t>，</w:t>
      </w:r>
      <w:r>
        <w:rPr>
          <w:rFonts w:hint="eastAsia"/>
          <w:lang w:val="en-US" w:eastAsia="zh-CN"/>
        </w:rPr>
        <w:t>具体模型框架在项目实施过程中按照实际需求调整）</w:t>
      </w:r>
      <w:r>
        <w:rPr>
          <w:rFonts w:hint="eastAsia"/>
        </w:rPr>
        <w:t>，开发专用适配模板，每个模板包含模型结构特征库、算子映射规则、精度优化策略三部分。模型结构特征库存储该类模型的典型层结构（</w:t>
      </w:r>
      <w:r>
        <w:rPr>
          <w:rFonts w:hint="eastAsia"/>
          <w:lang w:val="en-US" w:eastAsia="zh-CN"/>
        </w:rPr>
        <w:t>例如</w:t>
      </w:r>
      <w:r>
        <w:rPr>
          <w:rFonts w:hint="eastAsia"/>
        </w:rPr>
        <w:t>如YOLO的CSPDarknet backbone、FPN neck、Detect head），用于快速识别模型类型并定位关键层；算子映射规则定义原生框架算子（如PyTorch的nn.Conv2d）到目标平台算子（如华为昇腾的Conv2D算子）的对应关系，解决算子不兼容问题；精度优化策略针对不同模型类型配置参数，如自然语言大模型的Transformer层采用FP16精度以平衡精度与性能，目标检测模型的检测头采用FP32精度确保定位准确性。</w:t>
      </w:r>
    </w:p>
    <w:p>
      <w:pPr>
        <w:pStyle w:val="2"/>
        <w:ind w:firstLine="552"/>
        <w:rPr>
          <w:rFonts w:hint="eastAsia"/>
        </w:rPr>
      </w:pPr>
      <w:r>
        <w:rPr>
          <w:rFonts w:hint="eastAsia"/>
        </w:rPr>
        <w:t>跨平台转换逻辑实现：采用“原生格式→ONNX中间格式→目标平台格式”的两步转换流程，降低不同原生格式与目标平台的适配复杂度。第一步，原生格式转ONNX：通过模型解析引擎读取PyTorch（.pth/.pt）等原生格式文件，提取模型拓扑结构、输入输出维度、权重数据，自动处理格式差异（如PyTorch的动态BatchSize转为固定BatchSize或标记为动态维度），生成标准ONNX模型；第二步，ONNX转目标平台格式：根据用户选择的目标平台，加载对应平台的转换工具与适配模板，执行格式转换与优化。例如，转换为华为OM格式时，调用ATC工具并传入适配模板中的算子映射规则，完成ONNX模型到OM模型的编译，同时启用算子融合优化（将Conv+BN+ReLU合并为一个算子，减少计算量）；转换为瑞芯微RKNN格式时，调用RKNN Toolki</w:t>
      </w:r>
      <w:r>
        <w:rPr>
          <w:rFonts w:hint="eastAsia"/>
          <w:lang w:val="en-US" w:eastAsia="zh-CN"/>
        </w:rPr>
        <w:t>t</w:t>
      </w:r>
      <w:r>
        <w:rPr>
          <w:rFonts w:hint="eastAsia"/>
        </w:rPr>
        <w:t>工具，根据模板中的量化策略执行INT8量化，并生成量化校准报告。转换过程中实时记录关键数据（如每一步耗时、算子转换数量、优化项），形成转换日志，便于后续问题排查。</w:t>
      </w:r>
    </w:p>
    <w:p>
      <w:pPr>
        <w:pStyle w:val="2"/>
        <w:ind w:firstLine="552"/>
        <w:rPr>
          <w:rFonts w:hint="eastAsia"/>
          <w:lang w:eastAsia="zh-CN"/>
        </w:rPr>
      </w:pPr>
      <w:r>
        <w:rPr>
          <w:rFonts w:hint="eastAsia"/>
          <w:b/>
          <w:bCs/>
        </w:rPr>
        <w:t>可视化系统：模型结构与参数直观呈现载体</w:t>
      </w:r>
      <w:r>
        <w:rPr>
          <w:rFonts w:hint="eastAsia"/>
          <w:lang w:eastAsia="zh-CN"/>
        </w:rPr>
        <w:t>。可视化系统聚焦解决模型“黑箱”问题，通过结构解析、模板管理、渲染优化，实现20类模型的清晰展示与交互，辅助试验场技术人员理解模型结构、调试转换问题。</w:t>
      </w:r>
    </w:p>
    <w:p>
      <w:pPr>
        <w:pStyle w:val="2"/>
        <w:ind w:firstLine="552"/>
        <w:rPr>
          <w:rFonts w:hint="eastAsia"/>
          <w:lang w:eastAsia="zh-CN"/>
        </w:rPr>
      </w:pPr>
      <w:r>
        <w:rPr>
          <w:rFonts w:hint="eastAsia"/>
          <w:lang w:eastAsia="zh-CN"/>
        </w:rPr>
        <w:t>结构解析模块开发：基于Netron核心解析能力扩展，开发模型结构深度解析功能，支持提取模型的层信息、节点关系、参数细节三类数据。层信息包含层名称、层类型（如Conv2d、Linear、MultiHeadAttention）、输入输出张量形状（如[1,3,640,640]）、计算量（FLOPs）；节点关系包含层间数据流向（如输入层→卷积层1→卷积层2→池化层）、依赖关系（如某卷积层依赖前一层的输出作为输入）；参数细节包含卷积核大小、步长、填充方式、激活函数类型、权重数据范围（如权重值分布在[-1.2,1.5]）。针对自然语言大模型，额外解析Transformer层的注意力头数量、隐藏层维度、序列长度等关键参数；针对目标检测模型，解析Anchor尺寸、检测层数量、类别数等信息。解析模块支持批量处理，可同时解析多个模型文件并对比结构差异（如展示两个YOLO模型的层数量、算子类型差异），解析成功率≥9</w:t>
      </w:r>
      <w:r>
        <w:rPr>
          <w:rFonts w:hint="eastAsia"/>
          <w:lang w:val="en-US" w:eastAsia="zh-CN"/>
        </w:rPr>
        <w:t>0</w:t>
      </w:r>
      <w:r>
        <w:rPr>
          <w:rFonts w:hint="eastAsia"/>
          <w:lang w:eastAsia="zh-CN"/>
        </w:rPr>
        <w:t>%（针对20类目标模型）。</w:t>
      </w:r>
    </w:p>
    <w:p>
      <w:pPr>
        <w:pStyle w:val="2"/>
        <w:ind w:firstLine="552"/>
        <w:rPr>
          <w:rFonts w:hint="eastAsia"/>
          <w:lang w:eastAsia="zh-CN"/>
        </w:rPr>
      </w:pPr>
      <w:r>
        <w:rPr>
          <w:rFonts w:hint="eastAsia"/>
          <w:lang w:eastAsia="zh-CN"/>
        </w:rPr>
        <w:t>模板管理模块设计：为不同类型模型设计专用可视化模板，实现差异化展示。计算机视觉模型模板采用“分层展开式”布局，将模型按功能模块（backbone、neck、head）分组，用户可单独展开某一模块查看内部层结构，同时标注各模块的功能描述（如“backbone：提取图像特征”）；自然语言大模型模板采用“横向链式”布局，按Transformer层顺序横向排列，突出层间的序列依赖关系，同时用悬浮窗展示注意力头的权重热力图；目标跟踪模型模板新增“跟踪流程可视化”功能，展示检测器输出结果如何通过卡尔曼滤波、匈牙利算法进行轨迹关联。模板支持用户自定义配置，如调整层的显示颜色（默认卷积层蓝色、全连接层绿色）、设置是否显示计算量（FLOPs）、隐藏无关层（如忽略BN层仅显示卷积层），配置结果可保存为个性化模板，供后续使用。</w:t>
      </w:r>
    </w:p>
    <w:p>
      <w:pPr>
        <w:pStyle w:val="2"/>
        <w:ind w:firstLine="552"/>
        <w:rPr>
          <w:rFonts w:hint="eastAsia"/>
          <w:lang w:eastAsia="zh-CN"/>
        </w:rPr>
      </w:pPr>
      <w:r>
        <w:rPr>
          <w:rFonts w:hint="eastAsia"/>
          <w:lang w:eastAsia="zh-CN"/>
        </w:rPr>
        <w:t>渲染优化模块实现：针对大规模模型（如包含上千层的GPT-2、ResNet101）可视化时易出现的页面卡顿、加载缓慢问题，采用三项核心优化技术。一是分层加载：优先加载模型整体拓扑结构（仅显示层名称与连接关系），用户点击某一层时再动态加载该层的详细参数（如权重数据），初始加载时间控制在</w:t>
      </w:r>
      <w:r>
        <w:rPr>
          <w:rFonts w:hint="eastAsia"/>
          <w:lang w:val="en-US" w:eastAsia="zh-CN"/>
        </w:rPr>
        <w:t>10s</w:t>
      </w:r>
      <w:r>
        <w:rPr>
          <w:rFonts w:hint="eastAsia"/>
          <w:lang w:eastAsia="zh-CN"/>
        </w:rPr>
        <w:t>以内；二是异步渲染：利用WebWorker在后台线程处理模型解析与图形绘制，避免阻塞主线程导致界面无响应，支持同时渲染多个模型窗口；三是图形压缩：对模型拓扑图采用矢量图形（SVG）格式存储，减少文件大小，同时支持图形缩放时不失真；对大规模权重数据采用抽样展示（默认显示10%的权重值，用户可点击“查看全部”加载完整数据），降低数据传输与渲染压力。优化后，支持1000层以上模型的流畅可视化，界面操作响应时间≤1</w:t>
      </w:r>
      <w:r>
        <w:rPr>
          <w:rFonts w:hint="eastAsia"/>
          <w:lang w:val="en-US" w:eastAsia="zh-CN"/>
        </w:rPr>
        <w:t>0</w:t>
      </w:r>
      <w:r>
        <w:rPr>
          <w:rFonts w:hint="eastAsia"/>
          <w:lang w:eastAsia="zh-CN"/>
        </w:rPr>
        <w:t>00ms。</w:t>
      </w:r>
    </w:p>
    <w:p>
      <w:pPr>
        <w:pStyle w:val="2"/>
        <w:ind w:firstLine="552"/>
        <w:rPr>
          <w:rFonts w:hint="eastAsia"/>
          <w:lang w:eastAsia="zh-CN"/>
        </w:rPr>
      </w:pPr>
      <w:r>
        <w:rPr>
          <w:rFonts w:hint="eastAsia"/>
          <w:b/>
          <w:bCs/>
          <w:lang w:eastAsia="zh-CN"/>
        </w:rPr>
        <w:t>支撑服务：系统稳定运行基础保障</w:t>
      </w:r>
      <w:r>
        <w:rPr>
          <w:rFonts w:hint="eastAsia"/>
          <w:lang w:eastAsia="zh-CN"/>
        </w:rPr>
        <w:t>。</w:t>
      </w:r>
    </w:p>
    <w:p>
      <w:pPr>
        <w:pStyle w:val="2"/>
        <w:ind w:firstLine="552"/>
        <w:rPr>
          <w:rFonts w:hint="eastAsia"/>
          <w:lang w:eastAsia="zh-CN"/>
        </w:rPr>
      </w:pPr>
      <w:r>
        <w:rPr>
          <w:rFonts w:hint="eastAsia"/>
          <w:lang w:eastAsia="zh-CN"/>
        </w:rPr>
        <w:t>支撑服务为前端服务、转换系统、可视化系统提供基础能力支撑，涵盖用户管理、任务调度、接口管理、日志监控，确保系统在试验场多用户、多任务场景下稳定运行。</w:t>
      </w:r>
    </w:p>
    <w:p>
      <w:pPr>
        <w:pStyle w:val="2"/>
        <w:ind w:firstLine="552"/>
        <w:rPr>
          <w:rFonts w:hint="eastAsia"/>
          <w:lang w:eastAsia="zh-CN"/>
        </w:rPr>
      </w:pPr>
      <w:r>
        <w:rPr>
          <w:rFonts w:hint="eastAsia"/>
          <w:lang w:eastAsia="zh-CN"/>
        </w:rPr>
        <w:t>注册登录与权限管理：实现用户身份认证，用户通过账号密码登录后，系统生成有效期为24小时的Token，后续请求携带Token验证身份；</w:t>
      </w:r>
      <w:r>
        <w:rPr>
          <w:rFonts w:hint="eastAsia"/>
          <w:lang w:val="en-US" w:eastAsia="zh-CN"/>
        </w:rPr>
        <w:t>一般系统划分</w:t>
      </w:r>
      <w:r>
        <w:rPr>
          <w:rFonts w:hint="eastAsia"/>
          <w:lang w:eastAsia="zh-CN"/>
        </w:rPr>
        <w:t>“管理员”“操作员”“查看员”三类角色（</w:t>
      </w:r>
      <w:r>
        <w:rPr>
          <w:rFonts w:hint="eastAsia"/>
          <w:lang w:val="en-US" w:eastAsia="zh-CN"/>
        </w:rPr>
        <w:t>但本系统主要是工具应用，暂时不区分角色，登录用户均具备所有权限），对应三类角色权限如下</w:t>
      </w:r>
      <w:r>
        <w:rPr>
          <w:rFonts w:hint="eastAsia"/>
          <w:lang w:eastAsia="zh-CN"/>
        </w:rPr>
        <w:t>：管理员拥有系统配置（如添加目标平台、更新转换工具）、用户管理（新增/删除用户、分配角色）权限；操作员拥有模型上传、转换任务提交、推理测试权限；查看员仅拥有任务结果查看、可视化展示权限。权限管理模块支持细粒度控制，如限制某操作员仅能使用英伟达平台进行转换，无法访问华为昇腾平台，确保试验场数据安全与操作合规。</w:t>
      </w:r>
    </w:p>
    <w:p>
      <w:pPr>
        <w:pStyle w:val="2"/>
        <w:ind w:firstLine="552"/>
        <w:rPr>
          <w:rFonts w:hint="eastAsia"/>
          <w:lang w:eastAsia="zh-CN"/>
        </w:rPr>
      </w:pPr>
      <w:r>
        <w:rPr>
          <w:rFonts w:hint="eastAsia"/>
          <w:lang w:eastAsia="zh-CN"/>
        </w:rPr>
        <w:t>任务调度模块开发：采用“消息队列+分布式调度”架构，处理模型转换、推理测试等耗时任务。基于RabbitMQ构建任务队列，用户提交的任务先进入队列等待，调度中心根据任务优先级（高/中/低）、硬件节点负载（CPU/内存/GPU利用率）分配任务至空闲节点。任务优先级支持动态调整，试验场紧急调试任务可设为高优先级，优先占用资源；硬件节点负载监控采用Prometheus采集数据，当某节点CPU利用率＞80%或内存利用率＞90%时，自动将后续任务调度至其他节点，避免节点过载。同时，开发任务管理功能，支持任务暂停（暂停后保留当前进度，恢复时继续执行）、取消（取消后释放占用的硬件资源）、重试（失败任务可一键重试，无需重新配置参数），任务成功率≥98%（排除硬件故障、模型文件损坏等不可抗因素）。</w:t>
      </w:r>
    </w:p>
    <w:p>
      <w:pPr>
        <w:pStyle w:val="2"/>
        <w:ind w:firstLine="552"/>
        <w:rPr>
          <w:rFonts w:hint="eastAsia"/>
          <w:lang w:eastAsia="zh-CN"/>
        </w:rPr>
      </w:pPr>
      <w:r>
        <w:rPr>
          <w:rFonts w:hint="eastAsia"/>
          <w:lang w:eastAsia="zh-CN"/>
        </w:rPr>
        <w:t>网关代理与接口管理：</w:t>
      </w:r>
      <w:r>
        <w:rPr>
          <w:rFonts w:hint="eastAsia"/>
          <w:lang w:val="en-US" w:eastAsia="zh-CN"/>
        </w:rPr>
        <w:t>实现</w:t>
      </w:r>
      <w:r>
        <w:rPr>
          <w:rFonts w:hint="eastAsia"/>
          <w:lang w:eastAsia="zh-CN"/>
        </w:rPr>
        <w:t>API网关，统一管理所有后端接口，实现“入口统一、路由转发、权限校验”</w:t>
      </w:r>
      <w:r>
        <w:rPr>
          <w:rFonts w:hint="eastAsia"/>
          <w:lang w:val="en-US" w:eastAsia="zh-CN"/>
        </w:rPr>
        <w:t>三</w:t>
      </w:r>
      <w:r>
        <w:rPr>
          <w:rFonts w:hint="eastAsia"/>
          <w:lang w:eastAsia="zh-CN"/>
        </w:rPr>
        <w:t>大功能。入口统一：前端所有请求均通过网关转发至对应服务（如转换任务请求转发至转换系统，可视化请求转发至可视化系统），避免直接访问后端服务；路由转发：通过配置路由规则（如“/api/convert/**”转发至转换系统），支持动态调整路由（如服务扩容后新增节点时，无需修改前端请求地址）。网关支持接口调用日志记录（包含请求参数、响应结果、耗时），便于后期接口性能分析与问题排查。</w:t>
      </w:r>
    </w:p>
    <w:p>
      <w:pPr>
        <w:pStyle w:val="2"/>
        <w:ind w:firstLine="552"/>
        <w:rPr>
          <w:rFonts w:hint="eastAsia"/>
          <w:lang w:eastAsia="zh-CN"/>
        </w:rPr>
      </w:pPr>
      <w:r>
        <w:rPr>
          <w:rFonts w:hint="eastAsia"/>
          <w:lang w:eastAsia="zh-CN"/>
        </w:rPr>
        <w:t>日志监控模块设计：构建全链路日志监控体系，覆盖用户操作、系统运行、任务执行三大场景。用户操作日志记录用户的登录、模型上传、转换配置等操作（包含操作人、操作时间、操作内容、IP地址），用于安全审计与操作追溯；系统运行日志记录服务启动/停止、接口调用异常、硬件节点状态变化等信息（如“华为昇腾节点离线”“转换工具调用失败”），支持日志级别划分（DEBUG/INFO/WARN/ERROR），ERROR级日志实时推送至管理员告警列表；任务执行日志记录转换、测试任务的每一步细节（如“模型解析开始时间：2025-09-10 10:00:00”“ONNX转换完成，耗时120s”“目标平台OM格式生成成功”），日志支持按任务ID查询、关键词搜索（如搜索“算子不兼容”定位转换失败原因）</w:t>
      </w:r>
      <w:r>
        <w:rPr>
          <w:rFonts w:hint="eastAsia"/>
          <w:lang w:val="en-US" w:eastAsia="zh-CN"/>
        </w:rPr>
        <w:t>和</w:t>
      </w:r>
      <w:r>
        <w:rPr>
          <w:rFonts w:hint="eastAsia"/>
          <w:lang w:eastAsia="zh-CN"/>
        </w:rPr>
        <w:t>导出。。</w:t>
      </w:r>
    </w:p>
    <w:p>
      <w:pPr>
        <w:numPr>
          <w:ilvl w:val="2"/>
          <w:numId w:val="1"/>
        </w:numPr>
        <w:tabs>
          <w:tab w:val="left" w:pos="0"/>
        </w:tabs>
        <w:ind w:left="1508" w:leftChars="0" w:hanging="708" w:firstLineChars="0"/>
        <w:outlineLvl w:val="2"/>
        <w:rPr>
          <w:rFonts w:hint="eastAsia"/>
          <w:sz w:val="32"/>
          <w:szCs w:val="32"/>
        </w:rPr>
      </w:pPr>
      <w:bookmarkStart w:id="30" w:name="_Toc1902260990"/>
      <w:r>
        <w:rPr>
          <w:rFonts w:hint="eastAsia"/>
          <w:sz w:val="32"/>
          <w:szCs w:val="32"/>
        </w:rPr>
        <w:t>数据存储层：数据流转中枢</w:t>
      </w:r>
      <w:bookmarkEnd w:id="30"/>
    </w:p>
    <w:p>
      <w:pPr>
        <w:pStyle w:val="2"/>
        <w:ind w:firstLine="552"/>
        <w:rPr>
          <w:rFonts w:hint="eastAsia"/>
        </w:rPr>
      </w:pPr>
      <w:r>
        <w:rPr>
          <w:rFonts w:hint="eastAsia"/>
        </w:rPr>
        <w:t>作为系统数据全生命周期管理的核心载体，数据存储层采用“混合存储架构”，针对结构化数据、非结构化数据、高频访问数据的不同特性，分别选用MySQL、MinIO、Redis三类存储组件，实现数据分类存储、安全管控与高效调用，同时满足试验场调试机场景下模型文件大、任务数据多、访问频率高的存储需求。</w:t>
      </w:r>
    </w:p>
    <w:p>
      <w:pPr>
        <w:pStyle w:val="2"/>
        <w:ind w:firstLine="552"/>
        <w:rPr>
          <w:rFonts w:hint="eastAsia"/>
          <w:lang w:eastAsia="zh-CN"/>
        </w:rPr>
      </w:pPr>
      <w:r>
        <w:rPr>
          <w:rFonts w:hint="eastAsia"/>
          <w:b/>
          <w:bCs/>
        </w:rPr>
        <w:t>关系数据存储：MySQL结构化数据管理</w:t>
      </w:r>
      <w:r>
        <w:rPr>
          <w:rFonts w:hint="eastAsia"/>
          <w:lang w:eastAsia="zh-CN"/>
        </w:rPr>
        <w:t>。MySQL数据库主要用于存储系统运行过程中产生的结构化数据，通过“表分区+索引优化”保障数据查询效率，支撑用户管理、任务调度、系统配置等核心业务逻辑的有序运行。</w:t>
      </w:r>
    </w:p>
    <w:p>
      <w:pPr>
        <w:pStyle w:val="2"/>
        <w:ind w:firstLine="552"/>
        <w:rPr>
          <w:rFonts w:hint="eastAsia"/>
          <w:lang w:eastAsia="zh-CN"/>
        </w:rPr>
      </w:pPr>
    </w:p>
    <w:p>
      <w:pPr>
        <w:pStyle w:val="2"/>
        <w:ind w:firstLine="552"/>
        <w:rPr>
          <w:rFonts w:hint="eastAsia"/>
          <w:lang w:eastAsia="zh-CN"/>
        </w:rPr>
      </w:pPr>
      <w:r>
        <w:rPr>
          <w:rFonts w:hint="eastAsia"/>
          <w:lang w:eastAsia="zh-CN"/>
        </w:rPr>
        <w:t>核心数据表设计</w:t>
      </w:r>
    </w:p>
    <w:p>
      <w:pPr>
        <w:pStyle w:val="2"/>
        <w:ind w:firstLine="552"/>
        <w:rPr>
          <w:rFonts w:hint="eastAsia"/>
          <w:lang w:eastAsia="zh-CN"/>
        </w:rPr>
      </w:pPr>
      <w:r>
        <w:rPr>
          <w:rFonts w:hint="eastAsia"/>
          <w:lang w:eastAsia="zh-CN"/>
        </w:rPr>
        <w:t>用户信息表（sys_user）：存储用户账号、密码（采用加密算法</w:t>
      </w:r>
      <w:r>
        <w:rPr>
          <w:rFonts w:hint="eastAsia"/>
          <w:lang w:val="en-US" w:eastAsia="zh-CN"/>
        </w:rPr>
        <w:t>并加盐</w:t>
      </w:r>
      <w:r>
        <w:rPr>
          <w:rFonts w:hint="eastAsia"/>
          <w:lang w:eastAsia="zh-CN"/>
        </w:rPr>
        <w:t>存储，防止明文泄露）、角色类型（管理员/操作员/查看员，</w:t>
      </w:r>
      <w:r>
        <w:rPr>
          <w:rFonts w:hint="eastAsia"/>
          <w:lang w:val="en-US" w:eastAsia="zh-CN"/>
        </w:rPr>
        <w:t>预留字段，暂不生效</w:t>
      </w:r>
      <w:r>
        <w:rPr>
          <w:rFonts w:hint="eastAsia"/>
          <w:lang w:eastAsia="zh-CN"/>
        </w:rPr>
        <w:t>）、所属部门、联系方式、账号状态（启用/禁用）、创建时间、最后登录时间等字段。新增“登录IP白名单”字段，仅允许试验场内网指定IP段（如192.168.1.0/24）的设备登录，提升账号安全性。</w:t>
      </w:r>
    </w:p>
    <w:p>
      <w:pPr>
        <w:pStyle w:val="2"/>
        <w:ind w:firstLine="552"/>
        <w:rPr>
          <w:rFonts w:hint="eastAsia"/>
          <w:lang w:eastAsia="zh-CN"/>
        </w:rPr>
      </w:pPr>
      <w:r>
        <w:rPr>
          <w:rFonts w:hint="eastAsia"/>
          <w:lang w:eastAsia="zh-CN"/>
        </w:rPr>
        <w:t>任务信息表（task_info）：记录模型转换、推理测试任务的核心数据，包括任务ID（采用UUID生成唯一标识）、模型名称、源模型格式（PyTorch/ONNX）、目标平台（华为昇腾/瑞芯微/英伟达/寒武纪）、精度模式（FP32/FP16/INT8）、任务状态（等待中/处理中/成功/失败）、提交人、提交时间、开始时间、完成时间、失败原因（任务失败时填写，如“算子不兼容”“硬件节点离线”）。针对任务状态查询场景，建立“状态+提交时间”联合索引，将任务列表查询耗时控制在</w:t>
      </w:r>
      <w:r>
        <w:rPr>
          <w:rFonts w:hint="eastAsia"/>
          <w:lang w:val="en-US" w:eastAsia="zh-CN"/>
        </w:rPr>
        <w:t>3秒</w:t>
      </w:r>
      <w:r>
        <w:rPr>
          <w:rFonts w:hint="eastAsia"/>
          <w:lang w:eastAsia="zh-CN"/>
        </w:rPr>
        <w:t>以内；支持按“目标平台”“任务状态”进行表分区（如按平台分为4个分区，按状态分为4个分区），提升大批量任务数据的查询与统计效率。</w:t>
      </w:r>
    </w:p>
    <w:p>
      <w:pPr>
        <w:pStyle w:val="2"/>
        <w:ind w:firstLine="552"/>
        <w:rPr>
          <w:rFonts w:hint="eastAsia"/>
          <w:lang w:eastAsia="zh-CN"/>
        </w:rPr>
      </w:pPr>
      <w:r>
        <w:rPr>
          <w:rFonts w:hint="eastAsia"/>
          <w:lang w:eastAsia="zh-CN"/>
        </w:rPr>
        <w:t>模型元数据表（model_meta）：存储上传模型的基础信息，包括模型ID、模型名称、文件大小（单位：MB）、源格式、输入维度（如[1,3,640,640]）、输出维度（如[1,80,8400]）、算子数量、模型类型（目标检测/分类/跟踪/NLP大模型）、上传人、上传时间、存储路径（关联MinIO中的模型文件路径）。新增“模型</w:t>
      </w:r>
      <w:r>
        <w:rPr>
          <w:rFonts w:hint="eastAsia"/>
          <w:lang w:val="en-US" w:eastAsia="zh-CN"/>
        </w:rPr>
        <w:t>MD5</w:t>
      </w:r>
      <w:r>
        <w:rPr>
          <w:rFonts w:hint="eastAsia"/>
          <w:lang w:eastAsia="zh-CN"/>
        </w:rPr>
        <w:t>”字段，用于检测重复上传（若</w:t>
      </w:r>
      <w:r>
        <w:rPr>
          <w:rFonts w:hint="eastAsia"/>
          <w:lang w:val="en-US" w:eastAsia="zh-CN"/>
        </w:rPr>
        <w:t>MD5</w:t>
      </w:r>
      <w:r>
        <w:rPr>
          <w:rFonts w:hint="eastAsia"/>
          <w:lang w:eastAsia="zh-CN"/>
        </w:rPr>
        <w:t>值已存在，提示用户“该模型已上传，是否直接使用”），避免存储空间浪费；针对模型类型筛选场景，建立“模型类型”索引，支持快速筛选出某类模型（如所有目标检测模型）。</w:t>
      </w:r>
    </w:p>
    <w:p>
      <w:pPr>
        <w:pStyle w:val="2"/>
        <w:ind w:firstLine="552"/>
        <w:rPr>
          <w:rFonts w:hint="eastAsia"/>
          <w:lang w:eastAsia="zh-CN"/>
        </w:rPr>
      </w:pPr>
      <w:r>
        <w:rPr>
          <w:rFonts w:hint="eastAsia"/>
          <w:lang w:eastAsia="zh-CN"/>
        </w:rPr>
        <w:t>系统配置表（sys_config）：存储系统运行所需的配置参数，包括支持的模型格式列表、目标平台参数（如华为昇腾ATC工具路径、瑞芯微RKNN Toolkit版本）、任务优先级规则（如“紧急任务优先级高于普通任务”）、精度损失阈值、日志保留天数（默认30天）。采用“键-值”存储结构（key字段为配置项名称，value字段为配置值），支持通过接口动态修改配置（如管理员调整精度损失阈值），无需重启系统即可生效，提升系统灵活性。</w:t>
      </w:r>
    </w:p>
    <w:p>
      <w:pPr>
        <w:pStyle w:val="2"/>
        <w:ind w:firstLine="552"/>
        <w:rPr>
          <w:rFonts w:hint="eastAsia"/>
          <w:lang w:eastAsia="zh-CN"/>
        </w:rPr>
      </w:pPr>
      <w:r>
        <w:rPr>
          <w:rFonts w:hint="eastAsia"/>
          <w:lang w:eastAsia="zh-CN"/>
        </w:rPr>
        <w:t>数据安全与备份策略</w:t>
      </w:r>
    </w:p>
    <w:p>
      <w:pPr>
        <w:pStyle w:val="2"/>
        <w:ind w:firstLine="552"/>
        <w:rPr>
          <w:rFonts w:hint="eastAsia"/>
          <w:lang w:eastAsia="zh-CN"/>
        </w:rPr>
      </w:pPr>
      <w:r>
        <w:rPr>
          <w:rFonts w:hint="eastAsia"/>
          <w:lang w:eastAsia="zh-CN"/>
        </w:rPr>
        <w:t>定时备份：采用xtrabackup工具（</w:t>
      </w:r>
      <w:r>
        <w:rPr>
          <w:rFonts w:hint="eastAsia"/>
          <w:lang w:val="en-US" w:eastAsia="zh-CN"/>
        </w:rPr>
        <w:t>或者类似工具</w:t>
      </w:r>
      <w:r>
        <w:rPr>
          <w:rFonts w:hint="eastAsia"/>
          <w:lang w:eastAsia="zh-CN"/>
        </w:rPr>
        <w:t>）实现MySQL全量备份与增量备份，全量备份每日凌晨2点执行（此时系统负载最低），增量备份每6小时执行1次；备份文件存储至独立的存储服务器（与数据库服务器物理隔离），并保留最近30天的备份文件；定期（每周日）进行备份恢复测试，验证备份文件有效性，确保数据可恢复率100%。</w:t>
      </w:r>
    </w:p>
    <w:p>
      <w:pPr>
        <w:pStyle w:val="2"/>
        <w:ind w:firstLine="552"/>
        <w:rPr>
          <w:rFonts w:hint="eastAsia"/>
          <w:lang w:eastAsia="zh-CN"/>
        </w:rPr>
      </w:pPr>
      <w:r>
        <w:rPr>
          <w:rFonts w:hint="eastAsia"/>
          <w:b/>
          <w:bCs/>
          <w:lang w:eastAsia="zh-CN"/>
        </w:rPr>
        <w:t>对象存储：MinIO非结构化数据管理</w:t>
      </w:r>
      <w:r>
        <w:rPr>
          <w:rFonts w:hint="eastAsia"/>
          <w:lang w:eastAsia="zh-CN"/>
        </w:rPr>
        <w:t>。MinIO作为分布式对象存储组件，主要用于存储模型文件（原始模型、转换后模型）、测试数据集（图像/文本文件）、日志文件（任务执行日志、系统运行日志）等非结构化数据，通过“分布式部署+版本控制+访问控制”实现数据的安全存储与高效访问，满足试验场大文件存储与共享需求。</w:t>
      </w:r>
    </w:p>
    <w:p>
      <w:pPr>
        <w:pStyle w:val="2"/>
        <w:ind w:firstLine="552"/>
        <w:rPr>
          <w:rFonts w:hint="eastAsia"/>
          <w:lang w:eastAsia="zh-CN"/>
        </w:rPr>
      </w:pPr>
      <w:r>
        <w:rPr>
          <w:rFonts w:hint="eastAsia"/>
          <w:lang w:eastAsia="zh-CN"/>
        </w:rPr>
        <w:t>存储结构与桶规划</w:t>
      </w:r>
    </w:p>
    <w:p>
      <w:pPr>
        <w:pStyle w:val="2"/>
        <w:ind w:firstLine="552"/>
        <w:rPr>
          <w:rFonts w:hint="eastAsia"/>
          <w:lang w:eastAsia="zh-CN"/>
        </w:rPr>
      </w:pPr>
      <w:r>
        <w:rPr>
          <w:rFonts w:hint="eastAsia"/>
          <w:lang w:eastAsia="zh-CN"/>
        </w:rPr>
        <w:t>按数据类型创建4个核心存储桶（Bucket），每个桶配置独立的访问策略与生命周期规则：</w:t>
      </w:r>
    </w:p>
    <w:p>
      <w:pPr>
        <w:pStyle w:val="2"/>
        <w:ind w:firstLine="552"/>
        <w:rPr>
          <w:rFonts w:hint="eastAsia"/>
          <w:lang w:eastAsia="zh-CN"/>
        </w:rPr>
      </w:pPr>
      <w:r>
        <w:rPr>
          <w:rFonts w:hint="eastAsia"/>
          <w:lang w:eastAsia="zh-CN"/>
        </w:rPr>
        <w:t>raw-model桶：存储用户上传的原始模型文件，桶内按“上传人/上传时间（年-月-日）/模型名称”路径存储（如“user1/2025-09-10/yolov8.pt”）。针对重复上传场景，通过“模型</w:t>
      </w:r>
      <w:r>
        <w:rPr>
          <w:rFonts w:hint="eastAsia"/>
          <w:lang w:val="en-US" w:eastAsia="zh-CN"/>
        </w:rPr>
        <w:t>MD5</w:t>
      </w:r>
      <w:r>
        <w:rPr>
          <w:rFonts w:hint="eastAsia"/>
          <w:lang w:eastAsia="zh-CN"/>
        </w:rPr>
        <w:t>值”校验（与MySQL模型元数据表关联），若</w:t>
      </w:r>
      <w:r>
        <w:rPr>
          <w:rFonts w:hint="eastAsia"/>
          <w:lang w:val="en-US" w:eastAsia="zh-CN"/>
        </w:rPr>
        <w:t>MD5</w:t>
      </w:r>
      <w:r>
        <w:rPr>
          <w:rFonts w:hint="eastAsia"/>
          <w:lang w:eastAsia="zh-CN"/>
        </w:rPr>
        <w:t>值已存在，直接复用已有文件，仅更新元数据，节省存储空间；设置生命周期规则：原始模型文件</w:t>
      </w:r>
      <w:r>
        <w:rPr>
          <w:rFonts w:hint="eastAsia"/>
          <w:lang w:val="en-US" w:eastAsia="zh-CN"/>
        </w:rPr>
        <w:t>长期保留</w:t>
      </w:r>
      <w:r>
        <w:rPr>
          <w:rFonts w:hint="eastAsia"/>
          <w:lang w:eastAsia="zh-CN"/>
        </w:rPr>
        <w:t>（</w:t>
      </w:r>
      <w:r>
        <w:rPr>
          <w:rFonts w:hint="eastAsia"/>
          <w:lang w:val="en-US" w:eastAsia="zh-CN"/>
        </w:rPr>
        <w:t>考虑到工具系统特性</w:t>
      </w:r>
      <w:r>
        <w:rPr>
          <w:rFonts w:hint="eastAsia"/>
          <w:lang w:eastAsia="zh-CN"/>
        </w:rPr>
        <w:t>），避免无效数据占用空间。</w:t>
      </w:r>
    </w:p>
    <w:p>
      <w:pPr>
        <w:pStyle w:val="2"/>
        <w:ind w:firstLine="552"/>
        <w:rPr>
          <w:rFonts w:hint="eastAsia"/>
          <w:lang w:eastAsia="zh-CN"/>
        </w:rPr>
      </w:pPr>
      <w:r>
        <w:rPr>
          <w:rFonts w:hint="eastAsia"/>
          <w:lang w:eastAsia="zh-CN"/>
        </w:rPr>
        <w:t>converted-model桶：存储转换后的目标平台模型文件，桶内按“任务ID/目标平台/精度模式”路径存储（如“task123/华为昇腾/FP16/model.om”）。每个转换后模型文件关联对应的任务ID（通过文件名前缀标识），支持通过任务ID快速查询到对应的模型文件；设置访问权限：允许提交该任务的用户及管理员（</w:t>
      </w:r>
      <w:r>
        <w:rPr>
          <w:rFonts w:hint="eastAsia"/>
          <w:lang w:val="en-US" w:eastAsia="zh-CN"/>
        </w:rPr>
        <w:t>当前所有用户都具备管理员权限</w:t>
      </w:r>
      <w:r>
        <w:rPr>
          <w:rFonts w:hint="eastAsia"/>
          <w:lang w:eastAsia="zh-CN"/>
        </w:rPr>
        <w:t>）下载。</w:t>
      </w:r>
    </w:p>
    <w:p>
      <w:pPr>
        <w:pStyle w:val="2"/>
        <w:ind w:firstLine="552"/>
        <w:rPr>
          <w:rFonts w:hint="eastAsia"/>
          <w:lang w:eastAsia="zh-CN"/>
        </w:rPr>
      </w:pPr>
      <w:r>
        <w:rPr>
          <w:rFonts w:hint="eastAsia"/>
          <w:lang w:eastAsia="zh-CN"/>
        </w:rPr>
        <w:t>test-data桶：存储用户上传的测试数据集（如COCO验证集、GLUE数据集），桶内按“数据集类型/上传人”路径存储（如“目标检测数据集/user2/coco_val2017.zip”）。支持数据集共享功能（用户可将数据集设置为“公开”，供其他用户使用），共享数据集需经过管理员审核（防止恶意上传非测试数据）；针对大尺寸数据集（如超过10GB），通过MinIO系统的配置优化，并形成配置手册文档，支持分片上传（将数据集拆分为</w:t>
      </w:r>
      <w:r>
        <w:rPr>
          <w:rFonts w:hint="eastAsia"/>
          <w:lang w:val="en-US" w:eastAsia="zh-CN"/>
        </w:rPr>
        <w:t>5</w:t>
      </w:r>
      <w:r>
        <w:rPr>
          <w:rFonts w:hint="eastAsia"/>
          <w:lang w:eastAsia="zh-CN"/>
        </w:rPr>
        <w:t>MB/片），</w:t>
      </w:r>
      <w:r>
        <w:rPr>
          <w:rFonts w:hint="eastAsia"/>
          <w:lang w:val="en-US" w:eastAsia="zh-CN"/>
        </w:rPr>
        <w:t>完成大文件高效管理</w:t>
      </w:r>
      <w:r>
        <w:rPr>
          <w:rFonts w:hint="eastAsia"/>
          <w:lang w:eastAsia="zh-CN"/>
        </w:rPr>
        <w:t>。</w:t>
      </w:r>
    </w:p>
    <w:p>
      <w:pPr>
        <w:pStyle w:val="2"/>
        <w:ind w:firstLine="552"/>
        <w:rPr>
          <w:rFonts w:hint="eastAsia"/>
          <w:lang w:eastAsia="zh-CN"/>
        </w:rPr>
      </w:pPr>
      <w:r>
        <w:rPr>
          <w:rFonts w:hint="eastAsia"/>
          <w:lang w:eastAsia="zh-CN"/>
        </w:rPr>
        <w:t>log桶：存储任务执行日志与系统运行日志，桶内按“日志类型/日期（年-月-日）”路径存储（如“任务日志/2025-09-10/task123.log”“系统日志/2025-09-10/sys.log”）。任务日志包含转换/测试过程中的每一步操作（如“2025-09-10 10:00:00开始模型解析”“2025-09-10 10:05:00目标平台转换完成”），系统日志包含服务启动/停止、接口调用异常、硬件节点状态变化等信息；设置生命周期规则：</w:t>
      </w:r>
      <w:r>
        <w:rPr>
          <w:rFonts w:hint="eastAsia"/>
          <w:lang w:val="en-US" w:eastAsia="zh-CN"/>
        </w:rPr>
        <w:t>本系统作为内部工具使用，为了方便问题定位和后期优化，日志永久保存</w:t>
      </w:r>
      <w:r>
        <w:rPr>
          <w:rFonts w:hint="eastAsia"/>
          <w:lang w:eastAsia="zh-CN"/>
        </w:rPr>
        <w:t>。</w:t>
      </w:r>
    </w:p>
    <w:p>
      <w:pPr>
        <w:pStyle w:val="2"/>
        <w:ind w:firstLine="552"/>
        <w:rPr>
          <w:rFonts w:hint="eastAsia"/>
          <w:lang w:eastAsia="zh-CN"/>
        </w:rPr>
      </w:pPr>
      <w:r>
        <w:rPr>
          <w:rFonts w:hint="eastAsia"/>
          <w:lang w:eastAsia="zh-CN"/>
        </w:rPr>
        <w:t>性能优化与访问控制</w:t>
      </w:r>
    </w:p>
    <w:p>
      <w:pPr>
        <w:pStyle w:val="2"/>
        <w:ind w:firstLine="552"/>
        <w:rPr>
          <w:rFonts w:hint="default"/>
          <w:lang w:val="en-US" w:eastAsia="zh-CN"/>
        </w:rPr>
      </w:pPr>
      <w:r>
        <w:rPr>
          <w:rFonts w:hint="eastAsia"/>
          <w:lang w:eastAsia="zh-CN"/>
        </w:rPr>
        <w:t>分布式部署：</w:t>
      </w:r>
      <w:r>
        <w:rPr>
          <w:rFonts w:hint="eastAsia"/>
          <w:lang w:val="en-US" w:eastAsia="zh-CN"/>
        </w:rPr>
        <w:t>支持</w:t>
      </w:r>
      <w:r>
        <w:rPr>
          <w:rFonts w:hint="eastAsia"/>
          <w:lang w:eastAsia="zh-CN"/>
        </w:rPr>
        <w:t>4节点MinIO集群（1个纠删码组，3个数据块+1个校验块），支持数据冗余存储（任意1个节点故障，数据可通过其他节点恢复），同时提升并发访问性能（支持每秒100+模型文件上传/下载）；针对试验场内网环境，配置10Gbps以太网连接，将大模型文件（如20GB NLP大模型）的上传/下载速度提升至</w:t>
      </w:r>
      <w:r>
        <w:rPr>
          <w:rFonts w:hint="eastAsia"/>
          <w:lang w:val="en-US" w:eastAsia="zh-CN"/>
        </w:rPr>
        <w:t>3</w:t>
      </w:r>
      <w:r>
        <w:rPr>
          <w:rFonts w:hint="eastAsia"/>
          <w:lang w:eastAsia="zh-CN"/>
        </w:rPr>
        <w:t>0MB/s以上，缩短文件传输时间。</w:t>
      </w:r>
      <w:r>
        <w:rPr>
          <w:rFonts w:hint="eastAsia"/>
          <w:lang w:val="en-US" w:eastAsia="zh-CN"/>
        </w:rPr>
        <w:t>特别注意：考虑到工具系统的硬件投入，实际上线采用单节点MinIO存储即可。</w:t>
      </w:r>
    </w:p>
    <w:p>
      <w:pPr>
        <w:pStyle w:val="2"/>
        <w:ind w:firstLine="552"/>
        <w:rPr>
          <w:rFonts w:hint="eastAsia"/>
          <w:lang w:eastAsia="zh-CN"/>
        </w:rPr>
      </w:pPr>
      <w:r>
        <w:rPr>
          <w:rFonts w:hint="eastAsia"/>
          <w:lang w:eastAsia="zh-CN"/>
        </w:rPr>
        <w:t>缓存加速：集成Redis作为MinIO的缓存层，将高频访问的模型</w:t>
      </w:r>
      <w:r>
        <w:rPr>
          <w:rFonts w:hint="eastAsia"/>
          <w:lang w:val="en-US" w:eastAsia="zh-CN"/>
        </w:rPr>
        <w:t>信息（非模型文件本身）</w:t>
      </w:r>
      <w:r>
        <w:rPr>
          <w:rFonts w:hint="eastAsia"/>
          <w:lang w:eastAsia="zh-CN"/>
        </w:rPr>
        <w:t>缓存至Redis，用户再次访问时直接从缓存读取，减少MinIO集群的访问压力；设置缓存有效期（默认24小时），缓存过期后自动从MinIO重新加载数据，确保数据一致性。</w:t>
      </w:r>
    </w:p>
    <w:p>
      <w:pPr>
        <w:pStyle w:val="2"/>
        <w:ind w:firstLine="552"/>
        <w:rPr>
          <w:rFonts w:hint="eastAsia"/>
          <w:lang w:eastAsia="zh-CN"/>
        </w:rPr>
      </w:pPr>
      <w:r>
        <w:rPr>
          <w:rFonts w:hint="eastAsia"/>
          <w:lang w:eastAsia="zh-CN"/>
        </w:rPr>
        <w:t>访问控制：基于MinIO的IAM（Identity and Access Management）功能，为不同角色用户分配不同的桶访问权限：管理员拥有所有桶的读写权限；操作员拥有raw-model桶的上传/读取权限、converted-model桶的读取权限（仅自己提交任务的模型）、test-data桶的上传/读取/共享权限；查看员仅拥有converted-model桶的读取权限（仅已完成任务的模型）、test-data桶的读取权限（仅公开数据集）。所有访问请求均通过HTTPS协议加密传输，防止数据在传输过程中被窃取或篡改。</w:t>
      </w:r>
    </w:p>
    <w:p>
      <w:pPr>
        <w:pStyle w:val="2"/>
        <w:ind w:firstLine="552"/>
        <w:rPr>
          <w:rFonts w:hint="eastAsia"/>
          <w:lang w:eastAsia="zh-CN"/>
        </w:rPr>
      </w:pPr>
      <w:r>
        <w:rPr>
          <w:rFonts w:hint="eastAsia"/>
          <w:b/>
          <w:bCs/>
          <w:lang w:eastAsia="zh-CN"/>
        </w:rPr>
        <w:t>缓存服务：Redis高频数据加速</w:t>
      </w:r>
      <w:r>
        <w:rPr>
          <w:rFonts w:hint="eastAsia"/>
          <w:lang w:eastAsia="zh-CN"/>
        </w:rPr>
        <w:t>。Redis作为高性能缓存组件，主要用于存储高频访问数据（如任务实时状态、模型元数据、用户登录Token），通过“内存存储+数据结构优化”将数据访问延迟控制在10</w:t>
      </w:r>
      <w:r>
        <w:rPr>
          <w:rFonts w:hint="eastAsia"/>
          <w:lang w:val="en-US" w:eastAsia="zh-CN"/>
        </w:rPr>
        <w:t>0</w:t>
      </w:r>
      <w:r>
        <w:rPr>
          <w:rFonts w:hint="eastAsia"/>
          <w:lang w:eastAsia="zh-CN"/>
        </w:rPr>
        <w:t>ms以内，大幅提升系统响应速度，减轻MySQL与MinIO的访问压力，支撑试验场多用户并发操作场景。</w:t>
      </w:r>
    </w:p>
    <w:p>
      <w:pPr>
        <w:pStyle w:val="2"/>
        <w:ind w:firstLine="552"/>
        <w:rPr>
          <w:rFonts w:hint="eastAsia"/>
          <w:lang w:eastAsia="zh-CN"/>
        </w:rPr>
      </w:pPr>
      <w:r>
        <w:rPr>
          <w:rFonts w:hint="eastAsia"/>
          <w:lang w:eastAsia="zh-CN"/>
        </w:rPr>
        <w:t>核心缓存数据结构设计</w:t>
      </w:r>
    </w:p>
    <w:p>
      <w:pPr>
        <w:pStyle w:val="2"/>
        <w:ind w:firstLine="552"/>
        <w:rPr>
          <w:rFonts w:hint="eastAsia"/>
          <w:lang w:eastAsia="zh-CN"/>
        </w:rPr>
      </w:pPr>
      <w:r>
        <w:rPr>
          <w:rFonts w:hint="eastAsia"/>
          <w:lang w:eastAsia="zh-CN"/>
        </w:rPr>
        <w:t>任务状态缓存（Hash类型）：采用“task:{taskId}”作为Key，存储任务的实时状态（如“status”:“处理中”，“currentStep”:“ONNX格式转换”）。应用服务层（如转换系统、任务调度模块）实时更新缓存中的任务状态（如每完成一步更新progress字段），前端通过WebSocket订阅任务状态变化（订阅Key为“task:{taskId}”），无需频繁查询MySQL即可获取最新进度，将任务状态更新延迟控制在</w:t>
      </w:r>
      <w:r>
        <w:rPr>
          <w:rFonts w:hint="eastAsia"/>
          <w:lang w:val="en-US" w:eastAsia="zh-CN"/>
        </w:rPr>
        <w:t>3秒</w:t>
      </w:r>
      <w:r>
        <w:rPr>
          <w:rFonts w:hint="eastAsia"/>
          <w:lang w:eastAsia="zh-CN"/>
        </w:rPr>
        <w:t>以内；设置缓存有效期为24小时（任务完成后），超过有效期自动删除，释放内存空间。</w:t>
      </w:r>
    </w:p>
    <w:p>
      <w:pPr>
        <w:pStyle w:val="2"/>
        <w:ind w:firstLine="552"/>
        <w:rPr>
          <w:rFonts w:hint="eastAsia"/>
          <w:lang w:eastAsia="zh-CN"/>
        </w:rPr>
      </w:pPr>
      <w:r>
        <w:rPr>
          <w:rFonts w:hint="eastAsia"/>
          <w:lang w:eastAsia="zh-CN"/>
        </w:rPr>
        <w:t>模型元数据缓存（String类型）：采用“model:{modelId}”作为Key，存储模型元数据表中的核心字段（如模型名称、输入维度、目标类型、存储路径），格式为JSON字符串。当用户查看模型详情、发起转换任务时，优先从Redis读取元数据，若缓存未命中（如模型刚上传），再从MySQL查询并写入Redis；针对高频访问的热门模型（如YOLO、ResNet），设置缓存有效期为7天，避免频繁查询MySQL。</w:t>
      </w:r>
    </w:p>
    <w:p>
      <w:pPr>
        <w:pStyle w:val="2"/>
        <w:ind w:firstLine="552"/>
        <w:rPr>
          <w:rFonts w:hint="eastAsia"/>
          <w:lang w:eastAsia="zh-CN"/>
        </w:rPr>
      </w:pPr>
      <w:r>
        <w:rPr>
          <w:rFonts w:hint="eastAsia"/>
          <w:lang w:eastAsia="zh-CN"/>
        </w:rPr>
        <w:t>用户登录Token缓存（String类型）：采用“token:{tokenValue}”作为Key，存储用户ID与角色类型（如“userId:1001,role:operator”），缓存有效期与Token有效期一致（24小时）。当用户发起请求时，网关代理模块从请求头中获取Token，查询Redis验证Token有效性及用户角色，若Token不存在或已过期，拒绝请求；通过Redis缓存Token，避免每次请求都查询MySQL，将用户身份验证耗时从</w:t>
      </w:r>
      <w:r>
        <w:rPr>
          <w:rFonts w:hint="eastAsia"/>
          <w:lang w:val="en-US" w:eastAsia="zh-CN"/>
        </w:rPr>
        <w:t>10</w:t>
      </w:r>
      <w:r>
        <w:rPr>
          <w:rFonts w:hint="eastAsia"/>
          <w:lang w:eastAsia="zh-CN"/>
        </w:rPr>
        <w:t>0ms缩短至</w:t>
      </w:r>
      <w:r>
        <w:rPr>
          <w:rFonts w:hint="eastAsia"/>
          <w:lang w:val="en-US" w:eastAsia="zh-CN"/>
        </w:rPr>
        <w:t>数十</w:t>
      </w:r>
      <w:r>
        <w:rPr>
          <w:rFonts w:hint="eastAsia"/>
          <w:lang w:eastAsia="zh-CN"/>
        </w:rPr>
        <w:t>ms以内。</w:t>
      </w:r>
    </w:p>
    <w:p>
      <w:pPr>
        <w:pStyle w:val="2"/>
        <w:ind w:firstLine="552"/>
        <w:rPr>
          <w:rFonts w:hint="eastAsia"/>
          <w:lang w:eastAsia="zh-CN"/>
        </w:rPr>
      </w:pPr>
      <w:r>
        <w:rPr>
          <w:rFonts w:hint="eastAsia"/>
          <w:lang w:eastAsia="zh-CN"/>
        </w:rPr>
        <w:t>硬件节点状态缓存（Set类型）：采用“hardware:online”作为Key，存储当前在线的硬件节点ID（如“nvidia-node1”“huawei-node2”）；采用“hardware:{nodeId}”作为Key（Hash类型），存储单个节点的实时负载（如“cpuUsage:30%”，“gpuUsage:50%”，“memoryUsage:40%”）。任务调度模块调度任务时，先从“hardware:online”集合中筛选在线节点，再查询各节点负载缓存，选择负载最低的节点分配任务，将节点筛选与负载查询耗时控制在10</w:t>
      </w:r>
      <w:r>
        <w:rPr>
          <w:rFonts w:hint="eastAsia"/>
          <w:lang w:val="en-US" w:eastAsia="zh-CN"/>
        </w:rPr>
        <w:t>0</w:t>
      </w:r>
      <w:r>
        <w:rPr>
          <w:rFonts w:hint="eastAsia"/>
          <w:lang w:eastAsia="zh-CN"/>
        </w:rPr>
        <w:t>ms以内；硬件监控模块每10秒更新一次节点负载缓存，确保负载数据实时性。</w:t>
      </w:r>
    </w:p>
    <w:p>
      <w:pPr>
        <w:pStyle w:val="2"/>
        <w:ind w:firstLine="552"/>
        <w:rPr>
          <w:rFonts w:hint="eastAsia"/>
          <w:lang w:eastAsia="zh-CN"/>
        </w:rPr>
      </w:pPr>
      <w:r>
        <w:rPr>
          <w:rFonts w:hint="eastAsia"/>
          <w:lang w:eastAsia="zh-CN"/>
        </w:rPr>
        <w:t>缓存优化与一致性保障</w:t>
      </w:r>
    </w:p>
    <w:p>
      <w:pPr>
        <w:pStyle w:val="2"/>
        <w:ind w:firstLine="552"/>
        <w:rPr>
          <w:rFonts w:hint="eastAsia"/>
          <w:lang w:eastAsia="zh-CN"/>
        </w:rPr>
      </w:pPr>
      <w:r>
        <w:rPr>
          <w:rFonts w:hint="eastAsia"/>
          <w:lang w:eastAsia="zh-CN"/>
        </w:rPr>
        <w:t>数据结构优化：针对任务状态、模型元数据等结构化缓存数据，采用Hash类型存储（而非String类型的JSON字符串），支持单独更新某一字段（如仅更新任务进度progress，无需重新写入整个JSON），减少数据传输量与内存占用；针对硬件节点在线列表，采用Set类型存储，支持快速判断节点是否在线（通过SISMEMBER命令），查询耗时≤1</w:t>
      </w:r>
      <w:r>
        <w:rPr>
          <w:rFonts w:hint="eastAsia"/>
          <w:lang w:val="en-US" w:eastAsia="zh-CN"/>
        </w:rPr>
        <w:t>00</w:t>
      </w:r>
      <w:r>
        <w:rPr>
          <w:rFonts w:hint="eastAsia"/>
          <w:lang w:eastAsia="zh-CN"/>
        </w:rPr>
        <w:t>ms。</w:t>
      </w:r>
    </w:p>
    <w:p>
      <w:pPr>
        <w:pStyle w:val="2"/>
        <w:ind w:firstLine="552"/>
        <w:rPr>
          <w:rFonts w:hint="eastAsia"/>
          <w:lang w:eastAsia="zh-CN"/>
        </w:rPr>
      </w:pPr>
      <w:r>
        <w:rPr>
          <w:rFonts w:hint="eastAsia"/>
          <w:lang w:eastAsia="zh-CN"/>
        </w:rPr>
        <w:t>缓存穿透防护：针对不存在的模型ID、任务ID查询请求（如恶意请求“model:9999”），采用“空值缓存”策略（若MySQL查询结果为空，在Redis中写入空值，有效期为5分钟），避免频繁查询MySQL导致数据库压力增大；同时，在网关层增加请求参数校验（如校验模型ID是否符合UUID格式），过滤无效请求。</w:t>
      </w:r>
    </w:p>
    <w:p>
      <w:pPr>
        <w:pStyle w:val="2"/>
        <w:ind w:firstLine="552"/>
        <w:rPr>
          <w:rFonts w:hint="eastAsia"/>
          <w:lang w:eastAsia="zh-CN"/>
        </w:rPr>
      </w:pPr>
      <w:r>
        <w:rPr>
          <w:rFonts w:hint="eastAsia"/>
          <w:lang w:eastAsia="zh-CN"/>
        </w:rPr>
        <w:t>缓存一致性保障：采用“更新数据库后更新缓存”的策略，当MySQL中的数据发生变更（如任务状态从“处理中”改为“成功”、模型元数据更新）时，先更新MySQL，再同步更新Redis缓存（若缓存存在），确保缓存与数据库数据一致；针对并发更新场景（如多个线程同时更新同一任务状态），采用Redis分布式锁（基于SET NX EX命令），避免缓存数据覆盖错误，确保数据更新的原子性。</w:t>
      </w:r>
    </w:p>
    <w:p>
      <w:pPr>
        <w:pStyle w:val="2"/>
        <w:ind w:firstLine="552"/>
        <w:rPr>
          <w:rFonts w:hint="eastAsia"/>
          <w:lang w:eastAsia="zh-CN"/>
        </w:rPr>
      </w:pPr>
      <w:r>
        <w:rPr>
          <w:rFonts w:hint="eastAsia"/>
          <w:lang w:eastAsia="zh-CN"/>
        </w:rPr>
        <w:t>内存管理：采用Redis的内存淘汰策略（allkeys-lru），当内存使用率超过90%时，自动淘汰最近最少使用的缓存数据（如长期未访问的模型元数据、过期任务状态），确保Redis始终有足够内存存储高频数据；定期（每日凌晨）执行缓存碎片整理（通过MEMORY PURGE命令），减少内存碎片占用，提升Redis内存利用率。</w:t>
      </w:r>
    </w:p>
    <w:p>
      <w:pPr>
        <w:numPr>
          <w:ilvl w:val="2"/>
          <w:numId w:val="1"/>
        </w:numPr>
        <w:tabs>
          <w:tab w:val="left" w:pos="0"/>
        </w:tabs>
        <w:ind w:left="1508" w:leftChars="0" w:hanging="708" w:firstLineChars="0"/>
        <w:outlineLvl w:val="2"/>
        <w:rPr>
          <w:rFonts w:hint="eastAsia"/>
          <w:sz w:val="32"/>
          <w:szCs w:val="32"/>
        </w:rPr>
      </w:pPr>
      <w:bookmarkStart w:id="31" w:name="_Toc1711406041"/>
      <w:r>
        <w:rPr>
          <w:rFonts w:hint="eastAsia"/>
          <w:sz w:val="32"/>
          <w:szCs w:val="32"/>
        </w:rPr>
        <w:t>硬件</w:t>
      </w:r>
      <w:r>
        <w:rPr>
          <w:rFonts w:hint="eastAsia" w:ascii="楷体_GB2312" w:hAnsi="楷体_GB2312" w:eastAsia="楷体_GB2312" w:cs="楷体_GB2312"/>
          <w:sz w:val="32"/>
          <w:szCs w:val="32"/>
          <w:lang w:val="en-US" w:eastAsia="zh-CN"/>
        </w:rPr>
        <w:t>资源</w:t>
      </w:r>
      <w:r>
        <w:rPr>
          <w:rFonts w:hint="eastAsia"/>
          <w:sz w:val="32"/>
          <w:szCs w:val="32"/>
        </w:rPr>
        <w:t>层：算力支撑和验证底座</w:t>
      </w:r>
      <w:bookmarkEnd w:id="31"/>
    </w:p>
    <w:p>
      <w:pPr>
        <w:pStyle w:val="2"/>
        <w:ind w:firstLine="552"/>
        <w:rPr>
          <w:rFonts w:hint="eastAsia"/>
        </w:rPr>
      </w:pPr>
      <w:r>
        <w:rPr>
          <w:rFonts w:hint="eastAsia"/>
        </w:rPr>
        <w:t>硬件资源层作为系统算力输出与跨平台验证的核心载体，整合容器化环境与异构硬件集群，覆盖华为、瑞芯微、英伟达、寒武纪4类目标平台，通过标准化部署、精细化监控与高效调度，为模型转换、推理测试提供稳定算力支撑，同时确保转换后模型在真实硬件环境下的功能与性能验证效果，匹配试验场内场调试机的实际应用场景。</w:t>
      </w:r>
    </w:p>
    <w:p>
      <w:pPr>
        <w:pStyle w:val="2"/>
        <w:ind w:firstLine="552"/>
        <w:rPr>
          <w:rFonts w:hint="eastAsia"/>
          <w:lang w:eastAsia="zh-CN"/>
        </w:rPr>
      </w:pPr>
      <w:r>
        <w:rPr>
          <w:rFonts w:hint="eastAsia"/>
          <w:b/>
          <w:bCs/>
        </w:rPr>
        <w:t>容器化环境：标准化运行底座搭建</w:t>
      </w:r>
      <w:r>
        <w:rPr>
          <w:rFonts w:hint="eastAsia"/>
          <w:lang w:eastAsia="zh-CN"/>
        </w:rPr>
        <w:t>。基于Docker与</w:t>
      </w:r>
      <w:r>
        <w:rPr>
          <w:rFonts w:hint="eastAsia"/>
          <w:lang w:val="en-US" w:eastAsia="zh-CN"/>
        </w:rPr>
        <w:t>C</w:t>
      </w:r>
      <w:r>
        <w:rPr>
          <w:rFonts w:hint="eastAsia"/>
          <w:lang w:eastAsia="zh-CN"/>
        </w:rPr>
        <w:t>onda构建“硬件-环境-工具”三层隔离的标准化运行环境，解决不同平台工具链依赖冲突问题，实现环境快速部署与复用，保障模型转换、推理测试的一致性。</w:t>
      </w:r>
    </w:p>
    <w:p>
      <w:pPr>
        <w:pStyle w:val="2"/>
        <w:ind w:firstLine="552"/>
        <w:rPr>
          <w:rFonts w:hint="eastAsia"/>
          <w:lang w:eastAsia="zh-CN"/>
        </w:rPr>
      </w:pPr>
    </w:p>
    <w:p>
      <w:pPr>
        <w:pStyle w:val="2"/>
        <w:ind w:firstLine="552"/>
        <w:rPr>
          <w:rFonts w:hint="eastAsia"/>
          <w:lang w:eastAsia="zh-CN"/>
        </w:rPr>
      </w:pPr>
      <w:r>
        <w:rPr>
          <w:rFonts w:hint="eastAsia"/>
          <w:lang w:eastAsia="zh-CN"/>
        </w:rPr>
        <w:t>Docker容器</w:t>
      </w:r>
      <w:r>
        <w:rPr>
          <w:rFonts w:hint="eastAsia"/>
          <w:lang w:val="en-US" w:eastAsia="zh-CN"/>
        </w:rPr>
        <w:t>或者Conda环境</w:t>
      </w:r>
      <w:r>
        <w:rPr>
          <w:rFonts w:hint="eastAsia"/>
          <w:lang w:eastAsia="zh-CN"/>
        </w:rPr>
        <w:t>部署：为4类目标平台分别构建专用Docker</w:t>
      </w:r>
      <w:r>
        <w:rPr>
          <w:rFonts w:hint="eastAsia"/>
          <w:lang w:val="en-US" w:eastAsia="zh-CN"/>
        </w:rPr>
        <w:t>容器或者Conda环境镜像</w:t>
      </w:r>
      <w:r>
        <w:rPr>
          <w:rFonts w:hint="eastAsia"/>
          <w:lang w:eastAsia="zh-CN"/>
        </w:rPr>
        <w:t>，内置转换工具链（如TensorRT、ATC、RKNN Toolkit、MagicMind）及基础依赖库（Python3.9、PyTorch2.0、TensorFlow2.12），版本根据实际环境适配调整。镜像采用分层构建策略，将基础系统层、驱动层、工具层分开打包，后续更新工具版本时仅需重构工具层。</w:t>
      </w:r>
    </w:p>
    <w:p>
      <w:pPr>
        <w:pStyle w:val="2"/>
        <w:ind w:firstLine="552"/>
        <w:rPr>
          <w:rFonts w:hint="eastAsia"/>
          <w:lang w:eastAsia="zh-CN"/>
        </w:rPr>
      </w:pPr>
      <w:r>
        <w:rPr>
          <w:rFonts w:hint="eastAsia"/>
          <w:lang w:val="en-US" w:eastAsia="zh-CN"/>
        </w:rPr>
        <w:t>C</w:t>
      </w:r>
      <w:r>
        <w:rPr>
          <w:rFonts w:hint="eastAsia"/>
          <w:lang w:eastAsia="zh-CN"/>
        </w:rPr>
        <w:t>onda虚拟环境隔离：针对不同模型类型（如目标检测、NLP大模型）创建专属Anaconda虚拟环境，实现Python依赖库的精细化隔离。例如，为自然语言大模型创建“nlp-env”环境，安装transformers、tokenizers等专用库；为目标检测模型创建“cv-env”环境，安装mmdetection、opencv-python等库。通过conda env export/import功能实现环境配置快速迁移，当新增硬件节点时，可直接导入已配置好的环境文件，避免重复安装依赖，环境迁移时间≤30分钟。同时，虚拟环境支持版本锁定（如指定torch==2.0.1），防止依赖库版本更新导致工具链兼容性问题。</w:t>
      </w:r>
    </w:p>
    <w:p>
      <w:pPr>
        <w:pStyle w:val="2"/>
        <w:ind w:firstLine="552"/>
        <w:rPr>
          <w:rFonts w:hint="eastAsia"/>
          <w:lang w:eastAsia="zh-CN"/>
        </w:rPr>
      </w:pPr>
      <w:r>
        <w:rPr>
          <w:rFonts w:hint="eastAsia"/>
          <w:lang w:eastAsia="zh-CN"/>
        </w:rPr>
        <w:t>环境一致性校验：开发环境校验脚本，每次容器启动时自动检查硬件驱动版本（如CUDA版本是否匹配TensorRT要求）、工具链路径（如ATC工具是否在系统环境变量中）、依赖库完整性（如是否缺少RKNN Toolkit依赖的libomp.so库），若存在异常则生成校验报告并提示修复方案（如 “CUDA版本不匹配，需升级至12.0”）。校验通过后，生成环境唯一标识（基于驱动+工具版本哈希计算），与模型转换任务关联存储，当后续出现转换失败时，可快速定位是否因环境版本差异导致，环境校验通过率≥99.5%。</w:t>
      </w:r>
    </w:p>
    <w:p>
      <w:pPr>
        <w:pStyle w:val="2"/>
        <w:ind w:firstLine="552"/>
        <w:rPr>
          <w:rFonts w:hint="eastAsia"/>
          <w:lang w:eastAsia="zh-CN"/>
        </w:rPr>
      </w:pPr>
      <w:r>
        <w:rPr>
          <w:rFonts w:hint="eastAsia"/>
          <w:b/>
          <w:bCs/>
          <w:lang w:eastAsia="zh-CN"/>
        </w:rPr>
        <w:t>异构硬件集群：4类平台算力部署</w:t>
      </w:r>
      <w:r>
        <w:rPr>
          <w:rFonts w:hint="eastAsia"/>
          <w:lang w:eastAsia="zh-CN"/>
        </w:rPr>
        <w:t>。围绕项目要求的4类目标平台，部署专用硬件设备形成分布式算力集群，同时满足20类模型的跨平台转换与推理测试需求。</w:t>
      </w:r>
    </w:p>
    <w:p>
      <w:pPr>
        <w:pStyle w:val="2"/>
        <w:ind w:firstLine="552"/>
        <w:rPr>
          <w:rFonts w:hint="eastAsia"/>
          <w:lang w:eastAsia="zh-CN"/>
        </w:rPr>
      </w:pPr>
      <w:r>
        <w:rPr>
          <w:rFonts w:hint="eastAsia"/>
          <w:lang w:eastAsia="zh-CN"/>
        </w:rPr>
        <w:t>硬件网络部署：所有硬件节点接入试验场内网，采用10Gbps以太网交换机（华为CloudEngine S5735-S24T4X-A）实现节点间高速通信，模型文件传输速度≥500MB/s（大模型传输时间≤40秒/20GB）。为硬件节点分配固定IP地址（如华为昇腾节点段：192.168.1.100-120，瑞芯微节点段：192.168.1.121-140），通过DHCP静态绑定确保IP不漂移，同时配置防火墙规则，仅允许应用服务层服务器（IP：192.168.1.50）访问硬件节点的SSH（22端口）、推理服务（5000端口），禁止外部网络直接访问，保障硬件安全。</w:t>
      </w:r>
    </w:p>
    <w:p>
      <w:pPr>
        <w:pStyle w:val="2"/>
        <w:ind w:firstLine="552"/>
        <w:rPr>
          <w:rFonts w:hint="eastAsia"/>
          <w:lang w:eastAsia="zh-CN"/>
        </w:rPr>
      </w:pPr>
      <w:r>
        <w:rPr>
          <w:rFonts w:hint="eastAsia"/>
          <w:b/>
          <w:bCs/>
          <w:lang w:eastAsia="zh-CN"/>
        </w:rPr>
        <w:t>硬件监控与调度：算力高效管理</w:t>
      </w:r>
      <w:r>
        <w:rPr>
          <w:rFonts w:hint="eastAsia"/>
          <w:lang w:eastAsia="zh-CN"/>
        </w:rPr>
        <w:t>。开发硬件监控与调度系统，实时采集硬件状态，确保硬件集群高效、稳定运行，支撑多任务并发处理。</w:t>
      </w:r>
    </w:p>
    <w:p>
      <w:pPr>
        <w:pStyle w:val="2"/>
        <w:ind w:firstLine="552"/>
        <w:rPr>
          <w:rFonts w:hint="eastAsia"/>
          <w:lang w:eastAsia="zh-CN"/>
        </w:rPr>
      </w:pPr>
      <w:r>
        <w:rPr>
          <w:rFonts w:hint="eastAsia"/>
          <w:lang w:eastAsia="zh-CN"/>
        </w:rPr>
        <w:t>实时监控模块：基于Prometheus+Grafana构建硬件监控面板，每10秒采集一次硬件指标，覆盖CPU利用率、内存/显存占用率、磁盘空间、网络带宽、NPU/GPU温度等核心参数。针对不同硬件类型定制监控指标：如英伟达GPU新增“Tensor Core利用率”“显存带宽占用”；华为昇腾NPU新增“算子执行效率”“AICore利用率”；瑞芯微NPU新增“NPU负载百分比”“数据吞吐量”。监控面板支持按平台分组查看（如单独展示所有瑞芯微节点状态）、异常指标告警（如GPU温度超过85℃时触发邮件告警，内存利用率超过90%时触发短信告警），告警响应时间≤1分钟，同时支持历史数据查询（保留30天监控数据），可生成硬件利用率趋势图（如某节点一周内CPU平均利用率），辅助算力资源优化。</w:t>
      </w:r>
    </w:p>
    <w:p>
      <w:pPr>
        <w:pStyle w:val="2"/>
        <w:ind w:firstLine="552"/>
        <w:rPr>
          <w:rFonts w:hint="eastAsia"/>
          <w:lang w:eastAsia="zh-CN"/>
        </w:rPr>
      </w:pPr>
      <w:r>
        <w:rPr>
          <w:rFonts w:hint="eastAsia"/>
          <w:b/>
          <w:bCs/>
          <w:lang w:eastAsia="zh-CN"/>
        </w:rPr>
        <w:t>硬件验证适配：跨平台兼容性保障</w:t>
      </w:r>
      <w:r>
        <w:rPr>
          <w:rFonts w:hint="eastAsia"/>
          <w:lang w:eastAsia="zh-CN"/>
        </w:rPr>
        <w:t>。针对4类平台的硬件特性，开发专用适配插件与验证脚本，确保20类模型在不同硬件上的转换兼容性与推理正确性，同时优化算子调用逻辑提升性能。</w:t>
      </w:r>
    </w:p>
    <w:p>
      <w:pPr>
        <w:pStyle w:val="2"/>
        <w:ind w:firstLine="552"/>
        <w:rPr>
          <w:rFonts w:hint="eastAsia"/>
          <w:lang w:eastAsia="zh-CN"/>
        </w:rPr>
      </w:pPr>
      <w:r>
        <w:rPr>
          <w:rFonts w:hint="eastAsia"/>
          <w:lang w:eastAsia="zh-CN"/>
        </w:rPr>
        <w:t>平台专用适配插件：为每类平台开发模型转换适配插件，解决硬件算子不兼容、数据格式不匹配问题。华为昇腾插件：开发“Sort+Deduplicate”算子替换逻辑；优化数据排布（将ONNX的NCHW格式转为昇腾高效的NHWC格式），提升算子执行效率。瑞芯微插件：针对RK3588 NPU对大kernel卷积（如11×11）支持不足的问题，开发卷积拆分算法（将11×11拆分为3×3+3×3+5×5）；支持INT8量化校准数据自动生成（基于测试集抽样100张图像），减少量化精度损失。英伟达插件：利用TensorRT的Plugin机制，自定义YOLO检测头算子，将检测头的“卷积+激活+解码”流程融合为单个算子，推理速度提升30%；支持动态形状推理（如输入图像尺寸从640×640动态调整为320×320），适配不同场景需求。寒武纪插件：针对思元NPU的算子调度特性，优化Transformer层的注意力计算顺序（将多头注意力并行计算改为串行调度），减少内存占用。</w:t>
      </w:r>
    </w:p>
    <w:p>
      <w:pPr>
        <w:pStyle w:val="2"/>
        <w:ind w:firstLine="552"/>
        <w:rPr>
          <w:rFonts w:hint="eastAsia"/>
          <w:lang w:eastAsia="zh-CN"/>
        </w:rPr>
      </w:pPr>
      <w:r>
        <w:rPr>
          <w:rFonts w:hint="eastAsia"/>
          <w:lang w:eastAsia="zh-CN"/>
        </w:rPr>
        <w:t>硬件验证脚本库：针对20类模型开发标准化验证脚本，覆盖功能验证、性能测试、精度对比三类场景。功能验证脚本：加载转换后模型，输入标准测试数据（如COCO验证集图像、GLUE文本数据），检查是否输出合法结果（如目标检测模型输出bounding box坐标在0-1范围内，分类模型输出概率和为1），若输出异常则定位错误算子（如“Conv2d算子输出NaN”）并生成错误日志。性能测试脚本：执行100轮推理，采集单轮推理延迟（取平均值）、硬件资源占用峰值，生成性能报告（如“YOLO在RK3588上INT8推理延迟2</w:t>
      </w:r>
      <w:r>
        <w:rPr>
          <w:rFonts w:hint="eastAsia"/>
          <w:lang w:val="en-US" w:eastAsia="zh-CN"/>
        </w:rPr>
        <w:t>0</w:t>
      </w:r>
      <w:r>
        <w:rPr>
          <w:rFonts w:hint="eastAsia"/>
          <w:lang w:eastAsia="zh-CN"/>
        </w:rPr>
        <w:t>0ms”），同时对比不同精度模式（FP32/FP16/INT8）的性能差异。精度对比脚本：以英伟达RTX 4090（FP32精度）的推理结果为基准，计算其他平台的精度损失（目标检测用mAP差值，分类用Top-1 Accuracy差值，NLP用GLUE Score差值），若损失超过预设阈值，则</w:t>
      </w:r>
      <w:r>
        <w:rPr>
          <w:rFonts w:hint="eastAsia"/>
          <w:lang w:val="en-US" w:eastAsia="zh-CN"/>
        </w:rPr>
        <w:t>可以</w:t>
      </w:r>
      <w:r>
        <w:rPr>
          <w:rFonts w:hint="eastAsia"/>
          <w:lang w:eastAsia="zh-CN"/>
        </w:rPr>
        <w:t>调整转换参数（如降低量化精度、更换算子映射规则）并重新验证。</w:t>
      </w:r>
    </w:p>
    <w:p>
      <w:pPr>
        <w:pStyle w:val="2"/>
        <w:ind w:firstLine="552"/>
        <w:rPr>
          <w:rFonts w:hint="eastAsia"/>
          <w:lang w:eastAsia="zh-CN"/>
        </w:rPr>
      </w:pPr>
      <w:r>
        <w:rPr>
          <w:rFonts w:hint="eastAsia"/>
          <w:lang w:eastAsia="zh-CN"/>
        </w:rPr>
        <w:t>硬件特性优化：结合各平台硬件优势，针对性优化模型推理性能。华为昇腾：利用Ascend NPU的AICore并行计算能力，将模型的卷积、池化等算子拆解为并行任务，提升计算效率；开启昇腾的“异构计算架构”，实现CPU与NPU的数据流水线传输，减少数据等待时间。瑞芯微：针对RK3588的Arm架构特性，采用NEON指令集优化模型前处理（如图像Resize、归一化），前处理速度提升40%；关闭非必要的后台服务（如图形界面），释放CPU资源用于模型推理。英伟达：利用TensorRT的混合精度计算，在FP16精度下保留关键层（如检测头）的FP32计算，平衡性能与精度；开启GPU的“持久化模式”，避免每次推理重新初始化GPU上下文，减少启动延迟。寒武纪：利用思元NPU的“张量压缩”技术，对模型权重进行压缩存储（如FP16转FP8），减少显存占用；优化NPU与内存的数据交互频率（如批量读取输入数据），降低数据传输开销。优化后，各平台模型推理性能较基础转换提升20%-50%，满足试验场调试机的实时性需求。</w:t>
      </w:r>
    </w:p>
    <w:p>
      <w:pPr>
        <w:numPr>
          <w:ilvl w:val="0"/>
          <w:numId w:val="1"/>
        </w:numPr>
        <w:tabs>
          <w:tab w:val="left" w:pos="0"/>
        </w:tabs>
        <w:ind w:left="425" w:leftChars="0" w:hanging="425" w:firstLineChars="0"/>
        <w:outlineLvl w:val="0"/>
        <w:rPr>
          <w:rFonts w:hint="eastAsia" w:ascii="黑体" w:hAnsi="黑体" w:eastAsia="黑体"/>
          <w:sz w:val="32"/>
          <w:szCs w:val="32"/>
          <w:lang w:eastAsia="zh-CN"/>
        </w:rPr>
      </w:pPr>
      <w:bookmarkStart w:id="32" w:name="_Toc205363169"/>
      <w:r>
        <w:rPr>
          <w:rFonts w:hint="eastAsia" w:ascii="黑体" w:hAnsi="黑体" w:eastAsia="黑体"/>
          <w:sz w:val="32"/>
          <w:szCs w:val="32"/>
          <w:lang w:val="en-US" w:eastAsia="zh-CN"/>
        </w:rPr>
        <w:t>系统</w:t>
      </w:r>
      <w:r>
        <w:rPr>
          <w:rFonts w:hint="eastAsia" w:ascii="楷体_GB2312" w:hAnsi="楷体_GB2312" w:eastAsia="楷体_GB2312" w:cs="楷体_GB2312"/>
          <w:sz w:val="32"/>
          <w:szCs w:val="32"/>
          <w:lang w:val="en-US" w:eastAsia="zh-CN"/>
        </w:rPr>
        <w:t>实现</w:t>
      </w:r>
      <w:r>
        <w:rPr>
          <w:rFonts w:hint="eastAsia" w:ascii="黑体" w:hAnsi="黑体" w:eastAsia="黑体"/>
          <w:sz w:val="32"/>
          <w:szCs w:val="32"/>
          <w:lang w:val="en-US" w:eastAsia="zh-CN"/>
        </w:rPr>
        <w:t>方案</w:t>
      </w:r>
      <w:bookmarkEnd w:id="32"/>
    </w:p>
    <w:p>
      <w:pPr>
        <w:numPr>
          <w:ilvl w:val="1"/>
          <w:numId w:val="1"/>
        </w:numPr>
        <w:tabs>
          <w:tab w:val="left" w:pos="0"/>
        </w:tabs>
        <w:ind w:left="850" w:leftChars="0" w:hanging="453" w:firstLineChars="0"/>
        <w:outlineLvl w:val="1"/>
        <w:rPr>
          <w:rFonts w:hint="eastAsia" w:ascii="楷体_GB2312" w:hAnsi="楷体_GB2312" w:eastAsia="楷体_GB2312" w:cs="楷体_GB2312"/>
          <w:sz w:val="32"/>
          <w:szCs w:val="32"/>
          <w:lang w:val="en-US" w:eastAsia="zh-CN"/>
        </w:rPr>
      </w:pPr>
      <w:bookmarkStart w:id="33" w:name="_Toc532560654"/>
      <w:r>
        <w:rPr>
          <w:rFonts w:hint="eastAsia" w:ascii="楷体_GB2312" w:hAnsi="楷体_GB2312" w:eastAsia="楷体_GB2312" w:cs="楷体_GB2312"/>
          <w:sz w:val="32"/>
          <w:szCs w:val="32"/>
          <w:lang w:val="en-US" w:eastAsia="zh-CN"/>
        </w:rPr>
        <w:t>基础功能——模型管理</w:t>
      </w:r>
      <w:bookmarkEnd w:id="33"/>
    </w:p>
    <w:p>
      <w:pPr>
        <w:pStyle w:val="2"/>
        <w:ind w:firstLine="552"/>
      </w:pPr>
      <w:r>
        <w:rPr>
          <w:rFonts w:hint="eastAsia"/>
        </w:rPr>
        <w:t>模型管理作为系统核心基础功能，覆盖智能模型从“接入-维护-版本控制-存储-检索”的全生命周期管理，需兼容主流光模块及交换机</w:t>
      </w:r>
      <w:r>
        <w:rPr>
          <w:rFonts w:hint="eastAsia"/>
          <w:lang w:eastAsia="zh-CN"/>
        </w:rPr>
        <w:t>（</w:t>
      </w:r>
      <w:r>
        <w:rPr>
          <w:rFonts w:hint="eastAsia"/>
          <w:lang w:val="en-US" w:eastAsia="zh-CN"/>
        </w:rPr>
        <w:t>网络传输基础能力不是本项目重点</w:t>
      </w:r>
      <w:r>
        <w:rPr>
          <w:rFonts w:hint="eastAsia"/>
          <w:lang w:eastAsia="zh-CN"/>
        </w:rPr>
        <w:t>）</w:t>
      </w:r>
      <w:r>
        <w:rPr>
          <w:rFonts w:hint="eastAsia"/>
        </w:rPr>
        <w:t>，同时满足20类智能模型（目标检测/分类/跟踪/NLP大模型）的高效管理需求，为后续跨平台转换、可视化展示提供标准化模型数据源。</w:t>
      </w:r>
    </w:p>
    <w:p>
      <w:pPr>
        <w:numPr>
          <w:ilvl w:val="2"/>
          <w:numId w:val="1"/>
        </w:numPr>
        <w:tabs>
          <w:tab w:val="left" w:pos="0"/>
        </w:tabs>
        <w:ind w:left="1508" w:leftChars="0" w:hanging="708" w:firstLineChars="0"/>
        <w:outlineLvl w:val="2"/>
      </w:pPr>
      <w:bookmarkStart w:id="34" w:name="_Toc35071082"/>
      <w:r>
        <w:rPr>
          <w:rFonts w:hint="eastAsia"/>
          <w:sz w:val="32"/>
          <w:szCs w:val="32"/>
        </w:rPr>
        <w:t>功能</w:t>
      </w:r>
      <w:r>
        <w:rPr>
          <w:rFonts w:hint="eastAsia"/>
        </w:rPr>
        <w:t>描述：全流程模型管控能力</w:t>
      </w:r>
      <w:bookmarkEnd w:id="34"/>
    </w:p>
    <w:p>
      <w:pPr>
        <w:pStyle w:val="2"/>
        <w:ind w:firstLine="552"/>
        <w:rPr>
          <w:rFonts w:hint="eastAsia"/>
        </w:rPr>
      </w:pPr>
      <w:r>
        <w:rPr>
          <w:rFonts w:hint="eastAsia"/>
        </w:rPr>
        <w:t>模型管理功能围绕试验场调试机场景下的模型使用需求，构建“接入-维护-版本-存储-检索”五大核心能力，确保模型数据的完整性、可追溯性与易用性。</w:t>
      </w:r>
    </w:p>
    <w:p>
      <w:pPr>
        <w:pStyle w:val="2"/>
        <w:ind w:firstLine="552"/>
        <w:rPr>
          <w:rFonts w:hint="eastAsia"/>
        </w:rPr>
      </w:pPr>
      <w:r>
        <w:rPr>
          <w:rFonts w:hint="eastAsia"/>
        </w:rPr>
        <w:t>模型接入：支持多渠道、多格式模型文件接入，适配试验场本地调试机与内网环境。本地接入支持通过浏览器拖拽上传、点击选择文件两种方式，兼容PyTorch（.pth/.pt）、ONNX（.onnx）等原生格式，单次上传支持多文件批量导入（最多10个文件），单个文件最大支持</w:t>
      </w:r>
      <w:r>
        <w:rPr>
          <w:rFonts w:hint="eastAsia"/>
          <w:lang w:val="en-US" w:eastAsia="zh-CN"/>
        </w:rPr>
        <w:t>2</w:t>
      </w:r>
      <w:r>
        <w:rPr>
          <w:rFonts w:hint="eastAsia"/>
        </w:rPr>
        <w:t>GB；内网接入支持从试验场文件服务器（如华为OceanStor）通过路径映射直接读取模型文件，无需重复上传。上传过程中自动触发格式校验（如检测文件后缀、解析文件头部标识），若格式不支持则实时提示“当前文件格式为.xlsx，仅支持.pth/.pb/.onnx等格式”，并列出支持的格式清单，降低操作失误率。</w:t>
      </w:r>
    </w:p>
    <w:p>
      <w:pPr>
        <w:pStyle w:val="2"/>
        <w:ind w:firstLine="552"/>
        <w:rPr>
          <w:rFonts w:hint="eastAsia"/>
        </w:rPr>
      </w:pPr>
      <w:r>
        <w:rPr>
          <w:rFonts w:hint="eastAsia"/>
        </w:rPr>
        <w:t>模型信息维护：提供精细化模型元数据编辑与补充功能，确保模型信息完整可追溯。上传后自动解析模型基础信息（如模型名称、文件大小、源框架、输入输出维度、算子数量），用户可补充业务属性信息：模型类型（目标检测/目标分类/目标跟踪/自然语言大模型）、训练数据集（如COCO/ImageNet/GLUE）、精度指标（如mAP值、Top-1准确率、BLEU分数）、适用场景（如安防监控/智能质检/文本生成）、备注说明（如“2024年3月训练，适用于小目标检测”）。支持信息批量编辑（选中多个同类型模型统一修改“适用场景”），编辑后自动同步至数据存储层的模型元数据表（model_meta），并生成修改日志（记录修改人、修改时间、修改前后内容），便于后续追溯信息变更历史。</w:t>
      </w:r>
    </w:p>
    <w:p>
      <w:pPr>
        <w:pStyle w:val="2"/>
        <w:ind w:firstLine="552"/>
        <w:rPr>
          <w:rFonts w:hint="eastAsia"/>
        </w:rPr>
      </w:pPr>
      <w:r>
        <w:rPr>
          <w:rFonts w:hint="eastAsia"/>
        </w:rPr>
        <w:t>模型版本控制：实现模型迭代过程的版本化管理，避免版本混乱。当同一模型（通过模型名称+</w:t>
      </w:r>
      <w:r>
        <w:rPr>
          <w:rFonts w:hint="eastAsia"/>
          <w:lang w:val="en-US" w:eastAsia="zh-CN"/>
        </w:rPr>
        <w:t>MD5</w:t>
      </w:r>
      <w:r>
        <w:rPr>
          <w:rFonts w:hint="eastAsia"/>
        </w:rPr>
        <w:t>值联合判定）再次上传时，系统自动识别为新版本，生成连续版本号（如V1.0→V2.0），并关联历史版本（显示“基于V1.0更新”）。每个版本保留完整元数据（含该版本的训练数据、精度指标）与对应的模型文件，支持版本回溯（如从V3.0回退至V2.0进行转换测试）、版本对比（可视化展示不同版本的输入输出维度、算子数量、精度指标差异，如“V2.0比V1.0算子数量减少20%，mAP提升3%”）。版本生命周期支持手动标记（如“当前版本V2.0为生产版本，V1.0为历史版本”），系统默认保留最近10个版本，超过数量的历史版本可手动归档至冷存储（MinIO归档桶），节省热存储资源。</w:t>
      </w:r>
    </w:p>
    <w:p>
      <w:pPr>
        <w:pStyle w:val="2"/>
        <w:ind w:firstLine="552"/>
        <w:rPr>
          <w:rFonts w:hint="eastAsia"/>
        </w:rPr>
      </w:pPr>
      <w:r>
        <w:rPr>
          <w:rFonts w:hint="eastAsia"/>
        </w:rPr>
        <w:t>模型存储管理：基于混合存储架构实现模型文件的安全存储与高效管理，适配多光模块兼容需求。模型物理文件存储于MinIO分布式对象存储的“raw-model”桶，按“用户ID/上传日期（年-月-日）/模型名称-版本”路径结构化存储（如“user001/2024-05-20/yolov8-v1.0.pth”），支持文件权限控制（仅上传者与管理员可修改/删除，其他用户仅可查看）；模型元数据存储于MySQL的model_meta表，通过“模型ID”与MinIO文件路径关联，确保元数据与物理文件一一对应。针对重复上传的模型（哈希值已存在），系统自动复用已有物理文件，仅新增版本元数据，避免存储空间浪费（经测试，重复上传率达30%时，可节省25%存储资源）。</w:t>
      </w:r>
      <w:r>
        <w:rPr>
          <w:rFonts w:hint="eastAsia"/>
          <w:lang w:val="en-US" w:eastAsia="zh-CN"/>
        </w:rPr>
        <w:t>模型文件备份暂时不考虑，但基于MinIO的分布式存储，后续如果使用规模扩大，数据安全要求提高，可以扩展为冗余备份模式，水平扩展为3节点模式，</w:t>
      </w:r>
      <w:r>
        <w:rPr>
          <w:rFonts w:hint="eastAsia"/>
        </w:rPr>
        <w:t>保障数据安全性。</w:t>
      </w:r>
    </w:p>
    <w:p>
      <w:pPr>
        <w:pStyle w:val="2"/>
        <w:ind w:firstLine="552"/>
      </w:pPr>
      <w:r>
        <w:rPr>
          <w:rFonts w:hint="eastAsia"/>
        </w:rPr>
        <w:t>模型检索与筛选：提供多维度快速检索功能，提升模型查找效率。支持精准检索（输入模型名称/模型ID精确匹配）、模糊检索（输入关键词如“yolo”，匹配所有含“yolo”的模型）、高级筛选（按模型类型、源框架、上传时间、精度指标等组合条件筛选，如“目标检测+PyTorch框架+2024年5月后上传+mAP≥0.85”）。检索结果以列表形式展示，包含模型名称、版本号、类型、精度指标、上传时间等关键信息，支持按“上传时间（降序/升序）”“精度指标（降序）”排序，列表支持分页（每页10/20/50条可选）。针对常用模型，支持“收藏”功能（点击星标标记），收藏模型在“我的收藏”列表置顶展示，减少重复检索操作，平均模型查找时间从30秒缩短至5秒以内。​</w:t>
      </w:r>
    </w:p>
    <w:p>
      <w:pPr>
        <w:numPr>
          <w:ilvl w:val="2"/>
          <w:numId w:val="1"/>
        </w:numPr>
        <w:tabs>
          <w:tab w:val="left" w:pos="0"/>
        </w:tabs>
        <w:ind w:left="1508" w:leftChars="0" w:hanging="708" w:firstLineChars="0"/>
        <w:outlineLvl w:val="2"/>
      </w:pPr>
      <w:bookmarkStart w:id="35" w:name="_Toc1029155896"/>
      <w:r>
        <w:rPr>
          <w:rFonts w:hint="eastAsia"/>
          <w:sz w:val="32"/>
          <w:szCs w:val="32"/>
        </w:rPr>
        <w:t>技术</w:t>
      </w:r>
      <w:r>
        <w:rPr>
          <w:rFonts w:hint="eastAsia"/>
        </w:rPr>
        <w:t>实现方案：高兼容、高可靠的技术架构</w:t>
      </w:r>
      <w:bookmarkEnd w:id="35"/>
    </w:p>
    <w:p>
      <w:pPr>
        <w:pStyle w:val="2"/>
        <w:ind w:firstLine="552"/>
        <w:rPr>
          <w:rFonts w:hint="eastAsia"/>
        </w:rPr>
      </w:pPr>
      <w:r>
        <w:rPr>
          <w:rFonts w:hint="eastAsia"/>
        </w:rPr>
        <w:t>围绕“多光模块兼容、25G组网稳定、全生命周期管理”需求，采用分层技术架构实现模型管理功能，覆盖前端交互、后端服务、数据存储、兼容性适配四大层面，确保功能稳定与性能达标。</w:t>
      </w:r>
    </w:p>
    <w:p>
      <w:pPr>
        <w:pStyle w:val="2"/>
        <w:ind w:firstLine="552"/>
        <w:rPr>
          <w:rFonts w:hint="eastAsia"/>
        </w:rPr>
      </w:pPr>
      <w:r>
        <w:rPr>
          <w:rFonts w:hint="eastAsia"/>
        </w:rPr>
        <w:t>前端交互层：易用性与兼容性设计</w:t>
      </w:r>
    </w:p>
    <w:p>
      <w:pPr>
        <w:pStyle w:val="2"/>
        <w:ind w:firstLine="552"/>
        <w:rPr>
          <w:rFonts w:hint="eastAsia"/>
        </w:rPr>
      </w:pPr>
      <w:r>
        <w:rPr>
          <w:rFonts w:hint="eastAsia"/>
        </w:rPr>
        <w:t>基于Vue3+Element Plus构建响应式界面，适配试验场调试机的1920×1080分辨率，支持Chrome/Edge/Firefox主流浏览器（版本≥90.0），界面操作支持键盘快捷键（如Ctrl+U快速上传、Ctrl+F快速检索），提升操作效率。</w:t>
      </w:r>
    </w:p>
    <w:p>
      <w:pPr>
        <w:pStyle w:val="2"/>
        <w:ind w:firstLine="552"/>
        <w:rPr>
          <w:rFonts w:hint="eastAsia"/>
        </w:rPr>
      </w:pPr>
      <w:r>
        <w:rPr>
          <w:rFonts w:hint="eastAsia"/>
        </w:rPr>
        <w:t>模型上传采用分片上传技术（基于WebUploader组件），将大文件（如5GB NLP模型）拆分为</w:t>
      </w:r>
      <w:r>
        <w:rPr>
          <w:rFonts w:hint="eastAsia"/>
          <w:lang w:val="en-US" w:eastAsia="zh-CN"/>
        </w:rPr>
        <w:t>5</w:t>
      </w:r>
      <w:r>
        <w:rPr>
          <w:rFonts w:hint="eastAsia"/>
        </w:rPr>
        <w:t>MB/片，通过25G组网环境实现并行传输，同时支持断点续传（网络中断后重新连接可从上次中断分片继续上传），上传成功率≥99.9%。上传进度实时展示（进度条+百分比+剩余时间），上传完成后弹出“上传成功”提示，并自动跳转至模型信息编辑页面。</w:t>
      </w:r>
    </w:p>
    <w:p>
      <w:pPr>
        <w:pStyle w:val="2"/>
        <w:ind w:firstLine="552"/>
        <w:rPr>
          <w:rFonts w:hint="eastAsia"/>
        </w:rPr>
      </w:pPr>
      <w:r>
        <w:rPr>
          <w:rFonts w:hint="eastAsia"/>
        </w:rPr>
        <w:t>模型检索功能采用“前端预筛选+后端精准查询”结合方式：前端缓存最近30天的检索历史与常用筛选条件，用户输入关键词时先在前端预匹配，若匹配结果不足再发起后端查询；结果通过WebSocket</w:t>
      </w:r>
      <w:r>
        <w:rPr>
          <w:rFonts w:hint="eastAsia"/>
          <w:lang w:val="en-US" w:eastAsia="zh-CN"/>
        </w:rPr>
        <w:t>或者前端轮询</w:t>
      </w:r>
      <w:r>
        <w:rPr>
          <w:rFonts w:hint="eastAsia"/>
        </w:rPr>
        <w:t>实时推送到前端，避免页面刷新，提升交互流畅度。</w:t>
      </w:r>
    </w:p>
    <w:p>
      <w:pPr>
        <w:pStyle w:val="2"/>
        <w:ind w:firstLine="552"/>
        <w:rPr>
          <w:rFonts w:hint="eastAsia"/>
        </w:rPr>
      </w:pPr>
      <w:r>
        <w:rPr>
          <w:rFonts w:hint="eastAsia"/>
        </w:rPr>
        <w:t>后端服务层：高可用的业务逻辑支撑</w:t>
      </w:r>
    </w:p>
    <w:p>
      <w:pPr>
        <w:pStyle w:val="2"/>
        <w:ind w:firstLine="552"/>
        <w:rPr>
          <w:rFonts w:hint="eastAsia"/>
        </w:rPr>
      </w:pPr>
      <w:r>
        <w:rPr>
          <w:rFonts w:hint="eastAsia"/>
          <w:lang w:val="en-US" w:eastAsia="zh-CN"/>
        </w:rPr>
        <w:t>基于成熟框架</w:t>
      </w:r>
      <w:r>
        <w:rPr>
          <w:rFonts w:hint="eastAsia"/>
        </w:rPr>
        <w:t>构建微服务接口，采用RESTful风格设计模型管理API（如POST/api/model/upload上传模型、GET/api/model/list查询模型列表、PUT/api/model/info更新模型信息），接口支持HTTPS加密传输（基于TLS1.2协议），保障数据传输安全。</w:t>
      </w:r>
    </w:p>
    <w:p>
      <w:pPr>
        <w:pStyle w:val="2"/>
        <w:ind w:firstLine="552"/>
        <w:rPr>
          <w:rFonts w:hint="eastAsia"/>
        </w:rPr>
      </w:pPr>
      <w:r>
        <w:rPr>
          <w:rFonts w:hint="eastAsia"/>
        </w:rPr>
        <w:t>模型解析服务集成Netron核心解析引擎与ONNX Runtime解析工具，实现多格式模型元数据提取：对于PyTorch模型，通过加载模型权重文件解析输入输出维度、算子类型；对于ONNX模型，直接解析ONNX ProtoBuf结构获取模型信息，解析成功率≥99.5%（覆盖20类目标模型）。解析过程采用异步处理（基于RabbitMQ消息队列），避免大模型解析阻塞主线程。</w:t>
      </w:r>
    </w:p>
    <w:p>
      <w:pPr>
        <w:pStyle w:val="2"/>
        <w:ind w:firstLine="552"/>
        <w:rPr>
          <w:rFonts w:hint="eastAsia"/>
        </w:rPr>
      </w:pPr>
      <w:r>
        <w:rPr>
          <w:rFonts w:hint="eastAsia"/>
        </w:rPr>
        <w:t>版本控制服务基于“模型唯一标识+版本号”机制实现：通过</w:t>
      </w:r>
      <w:r>
        <w:rPr>
          <w:rFonts w:hint="eastAsia"/>
          <w:lang w:val="en-US" w:eastAsia="zh-CN"/>
        </w:rPr>
        <w:t>MD5</w:t>
      </w:r>
      <w:r>
        <w:rPr>
          <w:rFonts w:hint="eastAsia"/>
        </w:rPr>
        <w:t>算法计算模型文件哈希值，结合模型名称生成唯一标识（如“yolov8_7a3f2d”），同一唯一标识的模型视为同一基础模型，再次上传时自动递增版本号（如V1.0→V2.0）。版本关联关系存储于MySQL的model_version表，通过“基础模型ID”关联所有版本，支持高效的版本回溯与对比查询。</w:t>
      </w:r>
    </w:p>
    <w:p>
      <w:pPr>
        <w:pStyle w:val="2"/>
        <w:ind w:firstLine="552"/>
        <w:rPr>
          <w:rFonts w:hint="eastAsia"/>
        </w:rPr>
      </w:pPr>
      <w:r>
        <w:rPr>
          <w:rFonts w:hint="eastAsia"/>
        </w:rPr>
        <w:t>数据存储层：混合存储与安全保障</w:t>
      </w:r>
    </w:p>
    <w:p>
      <w:pPr>
        <w:pStyle w:val="2"/>
        <w:ind w:firstLine="552"/>
        <w:rPr>
          <w:rFonts w:hint="eastAsia"/>
        </w:rPr>
      </w:pPr>
      <w:r>
        <w:rPr>
          <w:rFonts w:hint="eastAsia"/>
        </w:rPr>
        <w:t>模型文件存储采用MinIO分布式对象存储，</w:t>
      </w:r>
      <w:r>
        <w:rPr>
          <w:rFonts w:hint="eastAsia"/>
          <w:lang w:val="en-US" w:eastAsia="zh-CN"/>
        </w:rPr>
        <w:t>本项目</w:t>
      </w:r>
      <w:r>
        <w:rPr>
          <w:rFonts w:hint="eastAsia"/>
        </w:rPr>
        <w:t>部署</w:t>
      </w:r>
      <w:r>
        <w:rPr>
          <w:rFonts w:hint="eastAsia"/>
          <w:lang w:val="en-US" w:eastAsia="zh-CN"/>
        </w:rPr>
        <w:t>单节点即可（可支持</w:t>
      </w:r>
      <w:r>
        <w:rPr>
          <w:rFonts w:hint="eastAsia"/>
        </w:rPr>
        <w:t>3节点集群1主2从</w:t>
      </w:r>
      <w:r>
        <w:rPr>
          <w:rFonts w:hint="eastAsia"/>
          <w:lang w:val="en-US" w:eastAsia="zh-CN"/>
        </w:rPr>
        <w:t>扩展</w:t>
      </w:r>
      <w:r>
        <w:rPr>
          <w:rFonts w:hint="eastAsia"/>
        </w:rPr>
        <w:t>，支持数据冗余备份</w:t>
      </w:r>
      <w:r>
        <w:rPr>
          <w:rFonts w:hint="eastAsia"/>
          <w:lang w:eastAsia="zh-CN"/>
        </w:rPr>
        <w:t>，</w:t>
      </w:r>
      <w:r>
        <w:rPr>
          <w:rFonts w:hint="eastAsia"/>
        </w:rPr>
        <w:t>每份文件保存3个副本</w:t>
      </w:r>
      <w:r>
        <w:rPr>
          <w:rFonts w:hint="eastAsia"/>
          <w:lang w:eastAsia="zh-CN"/>
        </w:rPr>
        <w:t>）</w:t>
      </w:r>
      <w:r>
        <w:rPr>
          <w:rFonts w:hint="eastAsia"/>
        </w:rPr>
        <w:t>，适配多光模块兼容需求。MinIO桶策略配置为“私有访问”，仅通过后端服务的访问密钥（Access Key/Secret Key）授权访问，防止未授权下载。</w:t>
      </w:r>
    </w:p>
    <w:p>
      <w:pPr>
        <w:pStyle w:val="2"/>
        <w:ind w:firstLine="552"/>
        <w:rPr>
          <w:rFonts w:hint="eastAsia"/>
        </w:rPr>
      </w:pPr>
      <w:r>
        <w:rPr>
          <w:rFonts w:hint="eastAsia"/>
        </w:rPr>
        <w:t>模型元数据与版本信息存储于MySQL数据库，采用“分表分索引”优化性能：model_meta表按“上传日期”分表（每月1张表），减少单表数据量；建立“模型名称+哈希值”联合唯一索引（防止重复基础模型）、“模型类型+上传时间”联合索引（优化筛选查询），查询耗时≤</w:t>
      </w:r>
      <w:r>
        <w:rPr>
          <w:rFonts w:hint="eastAsia"/>
          <w:lang w:val="en-US" w:eastAsia="zh-CN"/>
        </w:rPr>
        <w:t>20</w:t>
      </w:r>
      <w:r>
        <w:rPr>
          <w:rFonts w:hint="eastAsia"/>
        </w:rPr>
        <w:t>0ms。</w:t>
      </w:r>
    </w:p>
    <w:p>
      <w:pPr>
        <w:pStyle w:val="2"/>
        <w:ind w:firstLine="552"/>
        <w:rPr>
          <w:rFonts w:hint="eastAsia"/>
        </w:rPr>
      </w:pPr>
      <w:r>
        <w:rPr>
          <w:rFonts w:hint="eastAsia"/>
        </w:rPr>
        <w:t>数据安全保障：模型文件上传后自动生成访问令牌（基于UUID），令牌有效期24小时，用户下载时需验证令牌有效性；数据库中敏感信息（如模型训练数据集路径）采用AES-256加密存储，解密密钥通过配置中心动态管理，避免密钥硬编码；所有操作日志（上传/编辑/删除/下载）记录至MySQL的model_operation_log表，包含操作人、操作时间、IP地址、操作内容，日志</w:t>
      </w:r>
      <w:r>
        <w:rPr>
          <w:rFonts w:hint="eastAsia"/>
          <w:lang w:val="en-US" w:eastAsia="zh-CN"/>
        </w:rPr>
        <w:t>永久保留</w:t>
      </w:r>
      <w:r>
        <w:rPr>
          <w:rFonts w:hint="eastAsia"/>
        </w:rPr>
        <w:t>，便于安全审计。</w:t>
      </w:r>
    </w:p>
    <w:p>
      <w:pPr>
        <w:pStyle w:val="2"/>
        <w:ind w:firstLine="552"/>
        <w:rPr>
          <w:rFonts w:hint="eastAsia"/>
        </w:rPr>
      </w:pPr>
      <w:r>
        <w:rPr>
          <w:rFonts w:hint="eastAsia"/>
        </w:rPr>
        <w:t>兼容性适配层：25G组网与多光模块兼容</w:t>
      </w:r>
      <w:r>
        <w:rPr>
          <w:rFonts w:hint="eastAsia"/>
          <w:lang w:eastAsia="zh-CN"/>
        </w:rPr>
        <w:t>。</w:t>
      </w:r>
      <w:r>
        <w:rPr>
          <w:rFonts w:hint="eastAsia"/>
          <w:lang w:val="en-US" w:eastAsia="zh-CN"/>
        </w:rPr>
        <w:t>应用系统不验证网络传输层适配性，由甲方保证网络传输层性能和稳定性</w:t>
      </w:r>
      <w:r>
        <w:rPr>
          <w:rFonts w:hint="eastAsia"/>
        </w:rPr>
        <w:t>。</w:t>
      </w:r>
    </w:p>
    <w:p>
      <w:pPr>
        <w:pStyle w:val="2"/>
        <w:ind w:firstLine="552"/>
        <w:rPr>
          <w:rFonts w:hint="eastAsia"/>
        </w:rPr>
      </w:pPr>
      <w:r>
        <w:rPr>
          <w:rFonts w:hint="eastAsia"/>
        </w:rPr>
        <w:t>性能优化与监控</w:t>
      </w:r>
    </w:p>
    <w:p>
      <w:pPr>
        <w:pStyle w:val="2"/>
        <w:ind w:firstLine="552"/>
        <w:rPr>
          <w:rFonts w:hint="eastAsia"/>
        </w:rPr>
      </w:pPr>
      <w:r>
        <w:rPr>
          <w:rFonts w:hint="eastAsia"/>
        </w:rPr>
        <w:t>采用Redis缓存高频访问数据：将最近7天的热门模型元数据（如访问量Top20的模型）、用户检索历史、常用筛选条件缓存至Redis，缓存有效期24小时，缓存命中率≥</w:t>
      </w:r>
      <w:r>
        <w:rPr>
          <w:rFonts w:hint="eastAsia"/>
          <w:lang w:val="en-US" w:eastAsia="zh-CN"/>
        </w:rPr>
        <w:t>6</w:t>
      </w:r>
      <w:r>
        <w:rPr>
          <w:rFonts w:hint="eastAsia"/>
        </w:rPr>
        <w:t>0%，减少MySQL查询压力（MySQL查询量降低60%）。</w:t>
      </w:r>
    </w:p>
    <w:p>
      <w:pPr>
        <w:pStyle w:val="2"/>
        <w:ind w:firstLine="552"/>
        <w:rPr>
          <w:rFonts w:hint="eastAsia"/>
        </w:rPr>
      </w:pPr>
      <w:r>
        <w:rPr>
          <w:rFonts w:hint="eastAsia"/>
        </w:rPr>
        <w:t>部署Prometheus+Grafana监控模型管理服务性能：监控指标包括API接口响应时间（目标≤3</w:t>
      </w:r>
      <w:r>
        <w:rPr>
          <w:rFonts w:hint="eastAsia"/>
          <w:lang w:val="en-US" w:eastAsia="zh-CN"/>
        </w:rPr>
        <w:t>秒</w:t>
      </w:r>
      <w:r>
        <w:rPr>
          <w:rFonts w:hint="eastAsia"/>
        </w:rPr>
        <w:t>）、模型解析成功率（目标≥99.5%）、文件上传速率（目标≥</w:t>
      </w:r>
      <w:r>
        <w:rPr>
          <w:rFonts w:hint="eastAsia"/>
          <w:lang w:val="en-US" w:eastAsia="zh-CN"/>
        </w:rPr>
        <w:t>10M</w:t>
      </w:r>
      <w:r>
        <w:rPr>
          <w:rFonts w:hint="eastAsia"/>
        </w:rPr>
        <w:t>B/s）、数据库查询耗时（目标≤5</w:t>
      </w:r>
      <w:r>
        <w:rPr>
          <w:rFonts w:hint="eastAsia"/>
          <w:lang w:val="en-US" w:eastAsia="zh-CN"/>
        </w:rPr>
        <w:t>0</w:t>
      </w:r>
      <w:r>
        <w:rPr>
          <w:rFonts w:hint="eastAsia"/>
        </w:rPr>
        <w:t>0ms），确保服务稳定运行。</w:t>
      </w:r>
    </w:p>
    <w:p>
      <w:pPr>
        <w:numPr>
          <w:ilvl w:val="1"/>
          <w:numId w:val="1"/>
        </w:numPr>
        <w:tabs>
          <w:tab w:val="left" w:pos="0"/>
        </w:tabs>
        <w:ind w:left="850" w:leftChars="0" w:hanging="453" w:firstLineChars="0"/>
        <w:outlineLvl w:val="1"/>
        <w:rPr>
          <w:rFonts w:hint="eastAsia" w:ascii="楷体_GB2312" w:hAnsi="楷体_GB2312" w:eastAsia="楷体_GB2312" w:cs="楷体_GB2312"/>
          <w:sz w:val="32"/>
          <w:szCs w:val="32"/>
          <w:lang w:val="en-US" w:eastAsia="zh-CN"/>
        </w:rPr>
      </w:pPr>
      <w:bookmarkStart w:id="36" w:name="_Toc1189851134"/>
      <w:r>
        <w:rPr>
          <w:rFonts w:hint="eastAsia" w:ascii="楷体_GB2312" w:hAnsi="楷体_GB2312" w:eastAsia="楷体_GB2312" w:cs="楷体_GB2312"/>
          <w:sz w:val="32"/>
          <w:szCs w:val="32"/>
          <w:lang w:val="en-US" w:eastAsia="zh-CN"/>
        </w:rPr>
        <w:t>功能指标1：可支持模型的跨平台、跨底层架构的格式转化</w:t>
      </w:r>
      <w:bookmarkEnd w:id="36"/>
    </w:p>
    <w:p>
      <w:pPr>
        <w:pStyle w:val="2"/>
      </w:pPr>
      <w:r>
        <w:rPr>
          <w:rFonts w:hint="eastAsia"/>
        </w:rPr>
        <w:t>作为系统核心功能指标，模型跨平台、跨底层架构格式转化需实现“多源模型兼容、多平台适配、高精度转换、全流程可控”，严格匹配“支持不少于20类主流智能体模型、覆盖华为/瑞芯微/英伟达/寒武纪4类平台”的性能要求，同时满足试验场内场调试机对转换效率、结果可靠性的实际应用需求，为后续模型部署测试提供标准化格式支撑。</w:t>
      </w:r>
    </w:p>
    <w:p>
      <w:pPr>
        <w:numPr>
          <w:ilvl w:val="2"/>
          <w:numId w:val="1"/>
        </w:numPr>
        <w:tabs>
          <w:tab w:val="left" w:pos="0"/>
        </w:tabs>
        <w:ind w:left="1508" w:leftChars="0" w:hanging="708" w:firstLineChars="0"/>
        <w:outlineLvl w:val="2"/>
      </w:pPr>
      <w:bookmarkStart w:id="37" w:name="_Toc460288274"/>
      <w:r>
        <w:rPr>
          <w:rFonts w:hint="eastAsia"/>
        </w:rPr>
        <w:t>功能描述</w:t>
      </w:r>
      <w:r>
        <w:rPr>
          <w:rFonts w:hint="eastAsia"/>
          <w:lang w:eastAsia="zh-CN"/>
        </w:rPr>
        <w:t>，</w:t>
      </w:r>
      <w:r>
        <w:rPr>
          <w:rFonts w:hint="eastAsia"/>
          <w:lang w:val="en-US" w:eastAsia="zh-CN"/>
        </w:rPr>
        <w:t>支持性能指标2和3，覆盖全场景的转换能力</w:t>
      </w:r>
      <w:bookmarkEnd w:id="37"/>
    </w:p>
    <w:p>
      <w:pPr>
        <w:pStyle w:val="2"/>
        <w:ind w:firstLine="552"/>
        <w:rPr>
          <w:rFonts w:hint="eastAsia"/>
        </w:rPr>
      </w:pPr>
      <w:r>
        <w:rPr>
          <w:rFonts w:hint="eastAsia"/>
        </w:rPr>
        <w:t>围绕“跨平台、跨架构”核心目标，构建从“转换配置-任务执行-结果校验-日志追溯”的全流程功能体系，确保20类模型（目标检测/分类/跟踪/NLP大模型）在4类平台上的高效、精准转换，同时提供灵活的参数配置与可视化的任务管控能力。</w:t>
      </w:r>
    </w:p>
    <w:p>
      <w:pPr>
        <w:pStyle w:val="2"/>
        <w:ind w:firstLine="552"/>
        <w:rPr>
          <w:rFonts w:hint="eastAsia"/>
        </w:rPr>
      </w:pPr>
      <w:r>
        <w:rPr>
          <w:rFonts w:hint="eastAsia"/>
        </w:rPr>
        <w:t>多源模型格式兼容：全面支持20类主流智能体模型的原生格式导入，覆盖计算机视觉与自然语言处理两大领域</w:t>
      </w:r>
      <w:r>
        <w:rPr>
          <w:rFonts w:hint="eastAsia"/>
          <w:lang w:eastAsia="zh-CN"/>
        </w:rPr>
        <w:t>，</w:t>
      </w:r>
      <w:r>
        <w:rPr>
          <w:rFonts w:hint="eastAsia"/>
          <w:lang w:val="en-US" w:eastAsia="zh-CN"/>
        </w:rPr>
        <w:t>包括DETR，faster-RCNN，Deformable DETR，RT-DETR，Mask2Former，CenterNet，yolo26，DEIMv2，yolov3,v5,v8等</w:t>
      </w:r>
      <w:r>
        <w:rPr>
          <w:rFonts w:hint="eastAsia"/>
        </w:rPr>
        <w:t>。</w:t>
      </w:r>
    </w:p>
    <w:p>
      <w:pPr>
        <w:pStyle w:val="2"/>
        <w:ind w:firstLine="552"/>
        <w:rPr>
          <w:rFonts w:hint="eastAsia"/>
        </w:rPr>
      </w:pPr>
      <w:r>
        <w:rPr>
          <w:rFonts w:hint="eastAsia"/>
        </w:rPr>
        <w:t>4类平台格式输出适配：针对华为、瑞芯微、英伟达、寒武纪4类平台的底层架构差异，输出对应原生格式，确保模型可直接部署。具体适配如下：华为昇腾平台输出OM格式（适配</w:t>
      </w:r>
      <w:r>
        <w:rPr>
          <w:rFonts w:hint="eastAsia"/>
          <w:lang w:val="en-US" w:eastAsia="zh-CN"/>
        </w:rPr>
        <w:t>910B</w:t>
      </w:r>
      <w:r>
        <w:rPr>
          <w:rFonts w:hint="eastAsia"/>
        </w:rPr>
        <w:t>设备，基于CANN架构编译）；瑞芯微平台输出RKNN格式（适配RK3588开发板，支持NPU硬件加速）；英伟达平台输出TensorRT Engine格式（适配RTX4090，优化CUDA内核调用）；寒武纪平台输出CNModel格式（适配思元370服务器，匹配Neuware架构）。支持同一模型批量转换至多平台格式（如一次提交将YOLO模型同时转换为OM、RKNN、TensorRT Engine格式</w:t>
      </w:r>
      <w:r>
        <w:rPr>
          <w:rFonts w:hint="eastAsia"/>
          <w:lang w:eastAsia="zh-CN"/>
        </w:rPr>
        <w:t>，</w:t>
      </w:r>
      <w:r>
        <w:rPr>
          <w:rFonts w:hint="eastAsia"/>
          <w:lang w:val="en-US" w:eastAsia="zh-CN"/>
        </w:rPr>
        <w:t>批量创建任务，执行时串行，没有并行必要</w:t>
      </w:r>
      <w:r>
        <w:rPr>
          <w:rFonts w:hint="eastAsia"/>
        </w:rPr>
        <w:t>）。</w:t>
      </w:r>
    </w:p>
    <w:p>
      <w:pPr>
        <w:pStyle w:val="2"/>
        <w:ind w:firstLine="552"/>
        <w:rPr>
          <w:rFonts w:hint="eastAsia"/>
        </w:rPr>
      </w:pPr>
      <w:r>
        <w:rPr>
          <w:rFonts w:hint="eastAsia"/>
        </w:rPr>
        <w:t>灵活转换参数配置：提供精细化参数配置功能，用户可根据平台特性与应用场景调整转换策略，平衡精度与性能。核心配置项包括：</w:t>
      </w:r>
    </w:p>
    <w:p>
      <w:pPr>
        <w:pStyle w:val="2"/>
        <w:ind w:firstLine="552"/>
        <w:rPr>
          <w:rFonts w:hint="eastAsia"/>
        </w:rPr>
      </w:pPr>
      <w:r>
        <w:rPr>
          <w:rFonts w:hint="eastAsia"/>
        </w:rPr>
        <w:t>精度模式：支持FP32（高精度，适用于医疗影像等对精度敏感场景）、FP16（平衡精度与性能，适用于多数计算机视觉场景）、INT8（高性能低功耗，适用于边缘端瑞芯微/RK3588平台）。</w:t>
      </w:r>
    </w:p>
    <w:p>
      <w:pPr>
        <w:pStyle w:val="2"/>
        <w:ind w:firstLine="552"/>
        <w:rPr>
          <w:rFonts w:hint="eastAsia"/>
        </w:rPr>
      </w:pPr>
      <w:r>
        <w:rPr>
          <w:rFonts w:hint="eastAsia"/>
        </w:rPr>
        <w:t>输入形状适配：支持固定形状（如设置输入图像尺寸为640×640）与动态形状（设置尺寸范围如320×320~1280×1280，步长16），动态形状适配自然语言大模型的可变序列长度（如BERT模型支持序列长度16~512），避免模型因输入尺寸固定导致的场景限制。</w:t>
      </w:r>
    </w:p>
    <w:p>
      <w:pPr>
        <w:pStyle w:val="2"/>
        <w:ind w:firstLine="552"/>
        <w:rPr>
          <w:rFonts w:hint="eastAsia"/>
        </w:rPr>
      </w:pPr>
      <w:r>
        <w:rPr>
          <w:rFonts w:hint="eastAsia"/>
        </w:rPr>
        <w:t>算子优化策略：提供“性能优先”“精度优先”“兼容优先”三种策略，性能优先模式启用算子融合（如Conv+BN+ReLU合并）、常量折叠，提升推理速度；精度优先模式禁用激进量化、保留关键层FP32计算，降低精度损失；兼容优先模式替换稀有算子（如将TensorFlow的“Unique”算子替换为平台支持的组合算子），确保转换成功率。</w:t>
      </w:r>
    </w:p>
    <w:p>
      <w:pPr>
        <w:pStyle w:val="2"/>
        <w:ind w:firstLine="552"/>
        <w:rPr>
          <w:rFonts w:hint="eastAsia"/>
        </w:rPr>
      </w:pPr>
      <w:r>
        <w:rPr>
          <w:rFonts w:hint="eastAsia"/>
        </w:rPr>
        <w:t>转换任务全流程管控：支持转换任务的提交、监控、暂停、取消、重试全生命周期操作。用户提交任务时生成唯一任务ID（UUID格式），关联模型ID、目标平台、参数配置等信息；任务列表实时展示任务状态（等待中/处理中/成功/失败）、进度（如“ONNX格式转换中”）、预计剩余时间；处理中任务支持暂停（暂停后保留当前进度，恢复时从断点继续）与取消（取消后释放硬件资源，删除临时文件）；失败任务显示失败原因摘要（如“算子XXX不支持”“硬件节点离线”），并提供修复建议（如“建议切换为兼容优先策略”），支持一键重试（自动沿用原配置参数，无需重新填写）。</w:t>
      </w:r>
    </w:p>
    <w:p>
      <w:pPr>
        <w:pStyle w:val="2"/>
        <w:ind w:firstLine="552"/>
        <w:rPr>
          <w:rFonts w:hint="eastAsia"/>
        </w:rPr>
      </w:pPr>
      <w:r>
        <w:rPr>
          <w:rFonts w:hint="eastAsia"/>
        </w:rPr>
        <w:t>转换结果自动校验：转换完成后触发多维度校验，确保输出模型的完整性与可用性，避免无效转换结果流入后续测试环节。校验内容包括：</w:t>
      </w:r>
    </w:p>
    <w:p>
      <w:pPr>
        <w:pStyle w:val="2"/>
        <w:ind w:firstLine="552"/>
        <w:rPr>
          <w:rFonts w:hint="eastAsia"/>
        </w:rPr>
      </w:pPr>
      <w:r>
        <w:rPr>
          <w:rFonts w:hint="eastAsia"/>
        </w:rPr>
        <w:t>格式完整性校验：检查输出文件是否符合目标平台格式规范（如OM文件是否包含完整的昇腾算子信息、RKNN文件是否通过RKNN Toolkit的格式验证），若格式损坏则标记“校验失败”，并重新执行转换（最多重试2次）。</w:t>
      </w:r>
    </w:p>
    <w:p>
      <w:pPr>
        <w:pStyle w:val="2"/>
        <w:ind w:firstLine="552"/>
        <w:rPr>
          <w:rFonts w:hint="eastAsia"/>
        </w:rPr>
      </w:pPr>
      <w:r>
        <w:rPr>
          <w:rFonts w:hint="eastAsia"/>
        </w:rPr>
        <w:t>结构一致性校验：对比转换前后模型的输入输出维度（如原模型输入[1,3,640,640]，转换后应保持一致）、算子数量（允许±5%偏差，因平台优化导致的算子融合/拆分），若偏差超过阈值则生成“结构异常报告”，定位差异算子。</w:t>
      </w:r>
    </w:p>
    <w:p>
      <w:pPr>
        <w:pStyle w:val="2"/>
        <w:ind w:firstLine="552"/>
        <w:rPr>
          <w:rFonts w:hint="eastAsia"/>
        </w:rPr>
      </w:pPr>
      <w:r>
        <w:rPr>
          <w:rFonts w:hint="eastAsia"/>
        </w:rPr>
        <w:t>基础功能校验：在目标平台测试节点加载转换后模型，执行10轮基础推理（输入标准测试数据），检查是否输出合法结果（如目标检测模型输出有效bounding box、NLP模型输出非空文本），推理失败则标记“功能异常”，并记录错误日志（如“显存溢出”“算子执行超时”）。</w:t>
      </w:r>
    </w:p>
    <w:p>
      <w:pPr>
        <w:pStyle w:val="2"/>
        <w:ind w:firstLine="552"/>
      </w:pPr>
      <w:r>
        <w:rPr>
          <w:rFonts w:hint="eastAsia"/>
        </w:rPr>
        <w:t>转换日志追溯：自动生成详细转换日志，记录任务全流程关键信息，便于问题排查与审计。日志内容包括：任务基础信息（任务ID、提交人、时间）、参数配置（精度模式、输入形状、优化策略）、转换步骤详情（每一步操作、耗时、涉及工具版本，如“2024-05-20 10:05:00开始ONNX转换，使用ONNX Runtime 1.15，耗时120s”）、校验结果（各校验项是否通过、异常信息）。日志支持按任务ID查询、关键词搜索（如搜索“算子不兼容”），日志保留时间与模型版本一致（默认30天，可手动延长至90天）。</w:t>
      </w:r>
    </w:p>
    <w:p>
      <w:pPr>
        <w:numPr>
          <w:ilvl w:val="2"/>
          <w:numId w:val="1"/>
        </w:numPr>
        <w:tabs>
          <w:tab w:val="left" w:pos="0"/>
        </w:tabs>
        <w:ind w:left="1508" w:leftChars="0" w:hanging="708" w:firstLineChars="0"/>
        <w:outlineLvl w:val="2"/>
      </w:pPr>
      <w:bookmarkStart w:id="38" w:name="_Toc828924624"/>
      <w:r>
        <w:rPr>
          <w:rFonts w:hint="eastAsia"/>
        </w:rPr>
        <w:t>技术实现方案</w:t>
      </w:r>
      <w:r>
        <w:rPr>
          <w:rFonts w:hint="eastAsia"/>
          <w:lang w:eastAsia="zh-CN"/>
        </w:rPr>
        <w:t>：高兼容、高精度的转换架构</w:t>
      </w:r>
      <w:bookmarkEnd w:id="38"/>
    </w:p>
    <w:p>
      <w:pPr>
        <w:pStyle w:val="2"/>
        <w:ind w:firstLine="552"/>
        <w:rPr>
          <w:rFonts w:hint="eastAsia"/>
        </w:rPr>
      </w:pPr>
      <w:r>
        <w:rPr>
          <w:rFonts w:hint="eastAsia"/>
        </w:rPr>
        <w:t>基于“中间格式解耦+平台插件化+自动化校验”的技术思路，构建分层转换架构，覆盖模型解析、中间格式转换、平台适配、结果校验四大环节，解决跨平台算子不兼容、精度损失、转换效率低等核心问题，确保20类模型在4类平台上的转换需求落地。</w:t>
      </w:r>
    </w:p>
    <w:p>
      <w:pPr>
        <w:pStyle w:val="2"/>
        <w:ind w:firstLine="552"/>
        <w:rPr>
          <w:rFonts w:hint="eastAsia"/>
        </w:rPr>
      </w:pPr>
      <w:r>
        <w:rPr>
          <w:rFonts w:hint="eastAsia"/>
        </w:rPr>
        <w:t>分层转换架构设计：采用“原生格式→ONNX中间格式→目标平台格式”的两步转换流程，以ONNX作为“桥梁”解耦原生模型与目标平台，降低适配复杂度。第一步实现“多源归一”：将PyTorch/TensorFlow等原生格式统一转换为ONNX标准格式（支持ONNX1.8~1.15版本），解决不同框架的格式差异；第二步实现“一分多”：基于ONNX中间格式，通过平台专用插件转换为OM/RKNN/TensorRT Engine/CNModel格式，适配不同硬件架构。</w:t>
      </w:r>
    </w:p>
    <w:p>
      <w:pPr>
        <w:pStyle w:val="2"/>
        <w:ind w:firstLine="552"/>
        <w:rPr>
          <w:rFonts w:hint="eastAsia"/>
        </w:rPr>
      </w:pPr>
      <w:r>
        <w:rPr>
          <w:rFonts w:hint="eastAsia"/>
        </w:rPr>
        <w:t>原生格式解析引擎开发：集成Netron核心解析能力与框架专用解析工具，实现20类模型的精准解析，提取模型拓扑结构、算子类型、输入输出维度、权重数据。具体解析策略如下：</w:t>
      </w:r>
    </w:p>
    <w:p>
      <w:pPr>
        <w:pStyle w:val="2"/>
        <w:ind w:firstLine="552"/>
        <w:rPr>
          <w:rFonts w:hint="eastAsia"/>
        </w:rPr>
      </w:pPr>
      <w:r>
        <w:rPr>
          <w:rFonts w:hint="eastAsia"/>
        </w:rPr>
        <w:t>PyTorch模型（.pth/.pt）：通过torch.load()加载模型权重，结合torch.onnx.export()将模型导出为ONNX格式，导出时设置do_constant_folding=True启用常量折叠，优化模型结构；针对YOLOv8等自定义模型，加载对应模型定义文件（如yolov8.py），确保自定义算子（如Detect头）可正常解析。</w:t>
      </w:r>
    </w:p>
    <w:p>
      <w:pPr>
        <w:pStyle w:val="2"/>
        <w:ind w:firstLine="552"/>
        <w:rPr>
          <w:rFonts w:hint="eastAsia"/>
        </w:rPr>
      </w:pPr>
      <w:r>
        <w:rPr>
          <w:rFonts w:hint="eastAsia"/>
        </w:rPr>
        <w:t>TensorFlow模型（.pb/.saved_model）：使用tensorflow.saved_model.load()加载模型，通过tf.saved_model.save()转换为SavedModel格式，再调用tf2onnx工具导出ONNX，处理TensorFlow特有的NHWC数据排布（自动转换为ONNX标准的NCHW格式），避免后续转换维度错误。</w:t>
      </w:r>
    </w:p>
    <w:p>
      <w:pPr>
        <w:pStyle w:val="2"/>
        <w:ind w:firstLine="552"/>
        <w:rPr>
          <w:rFonts w:hint="eastAsia"/>
        </w:rPr>
      </w:pPr>
      <w:r>
        <w:rPr>
          <w:rFonts w:hint="eastAsia"/>
        </w:rPr>
        <w:t>自然语言大模型（如BERT/GPT-2）：针对Transformer层结构复杂的特点，开发专用解析适配器，提取注意力头数量、隐藏层维度、序列长度等关键参数，导出ONNX时启用dynamic_axes配置，支持动态形状，避免因序列长度固定导致的场景限制。</w:t>
      </w:r>
    </w:p>
    <w:p>
      <w:pPr>
        <w:pStyle w:val="2"/>
        <w:ind w:firstLine="552"/>
        <w:rPr>
          <w:rFonts w:hint="eastAsia"/>
        </w:rPr>
      </w:pPr>
      <w:r>
        <w:rPr>
          <w:rFonts w:hint="eastAsia"/>
        </w:rPr>
        <w:t>ONNX中间格式优化：在原生格式转ONNX后，新增优化环节提升后续平台转换效率与模型性能，优化操作包括：</w:t>
      </w:r>
    </w:p>
    <w:p>
      <w:pPr>
        <w:pStyle w:val="2"/>
        <w:ind w:firstLine="552"/>
        <w:rPr>
          <w:rFonts w:hint="eastAsia"/>
        </w:rPr>
      </w:pPr>
      <w:r>
        <w:rPr>
          <w:rFonts w:hint="eastAsia"/>
        </w:rPr>
        <w:t>模型简化：调用ONNX Simplifier工具移除冗余算子（如无用的Reshape、Identity算子）、合并常量节点（如将多个Constant算子合并为单个）、消除死代码（未被使用的层）。</w:t>
      </w:r>
    </w:p>
    <w:p>
      <w:pPr>
        <w:pStyle w:val="2"/>
        <w:ind w:firstLine="552"/>
        <w:rPr>
          <w:rFonts w:hint="eastAsia"/>
        </w:rPr>
      </w:pPr>
      <w:r>
        <w:rPr>
          <w:rFonts w:hint="eastAsia"/>
        </w:rPr>
        <w:t>算子兼容性修正：基于ONNX算子规范，修正非标准算子（如将PyTorch的“torch.nn.functional.interpolate”算子替换为ONNX标准的“Resize”算子），避免后续平台插件因算子不识别导致转换失败，算子修正覆盖率≥98%（覆盖20类模型常用算子）。</w:t>
      </w:r>
    </w:p>
    <w:p>
      <w:pPr>
        <w:pStyle w:val="2"/>
        <w:ind w:firstLine="552"/>
        <w:rPr>
          <w:rFonts w:hint="eastAsia"/>
        </w:rPr>
      </w:pPr>
      <w:r>
        <w:rPr>
          <w:rFonts w:hint="eastAsia"/>
        </w:rPr>
        <w:t>精度保持优化：针对FP16/INT8量化场景，在ONNX层面插入量化节点（如QuantizeLinear/DequantizeLinear），确保量化参数传递至目标平台，减少精度损失；对于自然语言大模型的Transformer层，保留FP32精度计算，仅对非关键层（如Embedding层）进行量化，平衡精度与性能。</w:t>
      </w:r>
    </w:p>
    <w:p>
      <w:pPr>
        <w:pStyle w:val="2"/>
        <w:ind w:firstLine="552"/>
        <w:rPr>
          <w:rFonts w:hint="eastAsia"/>
        </w:rPr>
      </w:pPr>
      <w:r>
        <w:rPr>
          <w:rFonts w:hint="eastAsia"/>
        </w:rPr>
        <w:t>平台专用转换插件开发：采用插件化设计，为4类平台开发独立转换插件，集成平台专用工具链，实现ONNX到目标格式的精准转换，同时解决硬件架构差异导致的兼容性问题。各插件技术实现如下：</w:t>
      </w:r>
    </w:p>
    <w:p>
      <w:pPr>
        <w:pStyle w:val="2"/>
        <w:ind w:firstLine="552"/>
        <w:rPr>
          <w:rFonts w:hint="eastAsia"/>
        </w:rPr>
      </w:pPr>
      <w:r>
        <w:rPr>
          <w:rFonts w:hint="eastAsia"/>
        </w:rPr>
        <w:t>华为昇腾OM插件：集成华为ATC（Ascend Tensor Compiler）工具，封装ATC编译接口，支持通过配置文件传入算子融合、数据排布优化参数（如--input_format=NCHW--fusion_switch=true）。针对昇腾不支持的算子（如TensorFlow的“Unique”），开发算子替换库：将“Unique”算子替换为“Sort+Deduplicate”组合算子，确保功能等价；针对大模型（如GPT-2），启用昇腾的“模型并行”功能，将模型拆分至多个AICore执行，解决显存不足问题。</w:t>
      </w:r>
    </w:p>
    <w:p>
      <w:pPr>
        <w:pStyle w:val="2"/>
        <w:ind w:firstLine="552"/>
        <w:rPr>
          <w:rFonts w:hint="eastAsia"/>
        </w:rPr>
      </w:pPr>
      <w:r>
        <w:rPr>
          <w:rFonts w:hint="eastAsia"/>
        </w:rPr>
        <w:t>瑞芯微RKNN插件：基于RKNN</w:t>
      </w:r>
      <w:r>
        <w:rPr>
          <w:rFonts w:hint="eastAsia"/>
          <w:lang w:val="en-US" w:eastAsia="zh-CN"/>
        </w:rPr>
        <w:t xml:space="preserve"> </w:t>
      </w:r>
      <w:r>
        <w:rPr>
          <w:rFonts w:hint="eastAsia"/>
        </w:rPr>
        <w:t>Toolkit开发，封装rknn.api接口，实现ONNX模型加载、量化、编译全流程自动化。针对瑞芯微NPU对大kernel卷积（如11×11）支持不足的问题，开发卷积拆分算法：将11×11卷积拆分为3×3+3×3+5×5的组合卷积；支持RK3588平台差异化配置（如RK3588启用INT8量化），插件自动识别硬件型号并加载对应配置。</w:t>
      </w:r>
    </w:p>
    <w:p>
      <w:pPr>
        <w:pStyle w:val="2"/>
        <w:ind w:firstLine="552"/>
        <w:rPr>
          <w:rFonts w:hint="eastAsia"/>
        </w:rPr>
      </w:pPr>
      <w:r>
        <w:rPr>
          <w:rFonts w:hint="eastAsia"/>
        </w:rPr>
        <w:t>英伟达TensorRT插件：集成TensorRT 8.6 C++ API，实现ONNX模型解析、构建优化、序列化流程。开发自定义Plugin插件，适配YOLOv8检测头、BERT注意力层等专用算子，将检测头的“卷积+激活+解码”流程融合为单个TensorRT Plugin，推理速度提升30%；支持动态形状推理（通过IBuilderConfig设置dynamicShapes），适配自然语言大模型的可变序列长度；启用TensorRT的“BuilderOptimizationLevel=5”，采用最激进的优化策略（如层融合、内核自动调优），平衡转换时间与推理性能。</w:t>
      </w:r>
    </w:p>
    <w:p>
      <w:pPr>
        <w:pStyle w:val="2"/>
        <w:ind w:firstLine="552"/>
        <w:rPr>
          <w:rFonts w:hint="eastAsia"/>
        </w:rPr>
      </w:pPr>
      <w:r>
        <w:rPr>
          <w:rFonts w:hint="eastAsia"/>
        </w:rPr>
        <w:t>寒武纪CNModel插件：基于MagicMind</w:t>
      </w:r>
      <w:r>
        <w:rPr>
          <w:rFonts w:hint="eastAsia"/>
          <w:lang w:val="en-US" w:eastAsia="zh-CN"/>
        </w:rPr>
        <w:t xml:space="preserve"> </w:t>
      </w:r>
      <w:r>
        <w:rPr>
          <w:rFonts w:hint="eastAsia"/>
        </w:rPr>
        <w:t>SDK开发，调用magicmind::Builder接口构建模型，支持算子自动映射（MagicMind内置1000+ONNX算子映射规则），未映射算子通过MagicMind 的“自定义算子”功能实现（基于C++编写算子执行逻辑，编译为动态链接库供插件调用）。针对寒武纪思元NPU的内存特性，优化模型内存分配策略（如按层顺序分配内存、复用中间张量内存），显存占用降低25%。</w:t>
      </w:r>
    </w:p>
    <w:p>
      <w:pPr>
        <w:pStyle w:val="2"/>
        <w:ind w:firstLine="552"/>
        <w:rPr>
          <w:rFonts w:hint="eastAsia"/>
        </w:rPr>
      </w:pPr>
      <w:r>
        <w:rPr>
          <w:rFonts w:hint="eastAsia"/>
        </w:rPr>
        <w:t>转换任务调度与资源管理：基于Kubernetes+RabbitMQ构建分布式任务调度系统，实现转换任务的高效分配与硬件资源管控，避免节点过载导致的转换失败。调度逻辑如下：</w:t>
      </w:r>
    </w:p>
    <w:p>
      <w:pPr>
        <w:pStyle w:val="2"/>
        <w:ind w:firstLine="552"/>
        <w:rPr>
          <w:rFonts w:hint="eastAsia"/>
        </w:rPr>
      </w:pPr>
      <w:r>
        <w:rPr>
          <w:rFonts w:hint="eastAsia"/>
        </w:rPr>
        <w:t>任务队列管理：用户提交的转换任务先进入RabbitMQ队列，按“优先级（高/中/低）+提交时间”排序，试验场紧急调试任务标记为“高优先级”，优先占用资源（优先级权重：高=3，中=2，低=1）。</w:t>
      </w:r>
    </w:p>
    <w:p>
      <w:pPr>
        <w:pStyle w:val="2"/>
        <w:ind w:firstLine="552"/>
        <w:rPr>
          <w:rFonts w:hint="eastAsia"/>
        </w:rPr>
      </w:pPr>
      <w:r>
        <w:rPr>
          <w:rFonts w:hint="eastAsia"/>
        </w:rPr>
        <w:t>资源隔离：采用Docker容器</w:t>
      </w:r>
      <w:r>
        <w:rPr>
          <w:rFonts w:hint="eastAsia"/>
          <w:lang w:val="en-US" w:eastAsia="zh-CN"/>
        </w:rPr>
        <w:t>或者Anaconda环境（具体隔离环境按照工具和平台要求来搭建）</w:t>
      </w:r>
      <w:r>
        <w:rPr>
          <w:rFonts w:hint="eastAsia"/>
        </w:rPr>
        <w:t>隔离不同平台的转换环境（如华为昇腾容器仅运行OM插件，瑞芯微容器仅运行RKNN插件），避免工具链依赖冲突；为每个容器分配固定资源配额（如CPU 8核、内存16GB、显存12GB），防止单个任务占用过多资源。</w:t>
      </w:r>
    </w:p>
    <w:p>
      <w:pPr>
        <w:pStyle w:val="2"/>
        <w:ind w:firstLine="552"/>
        <w:rPr>
          <w:rFonts w:hint="eastAsia"/>
        </w:rPr>
      </w:pPr>
      <w:r>
        <w:rPr>
          <w:rFonts w:hint="eastAsia"/>
        </w:rPr>
        <w:t>失败重试机制：任务转换失败时（如硬件节点临时离线、算子适配错误），调度系统自动将任务重新加入队列（最多重试2次），重试时优先分配至同类型其他节点，若连续失败则标记“任务失败”并通知用户，任务成功率≥98%（排除模型文件损坏、硬件故障等不可抗因素）。</w:t>
      </w:r>
    </w:p>
    <w:p>
      <w:pPr>
        <w:pStyle w:val="2"/>
        <w:ind w:firstLine="552"/>
        <w:rPr>
          <w:rFonts w:hint="eastAsia"/>
        </w:rPr>
      </w:pPr>
      <w:r>
        <w:rPr>
          <w:rFonts w:hint="eastAsia"/>
        </w:rPr>
        <w:t>自动化校验与异常处理：开发校验脚本库与异常处理模块，实现转换结果的自动校验与问题修复，确保输出模型可用。具体实现如下：</w:t>
      </w:r>
    </w:p>
    <w:p>
      <w:pPr>
        <w:pStyle w:val="2"/>
        <w:ind w:firstLine="552"/>
        <w:rPr>
          <w:rFonts w:hint="eastAsia"/>
        </w:rPr>
      </w:pPr>
      <w:r>
        <w:rPr>
          <w:rFonts w:hint="eastAsia"/>
        </w:rPr>
        <w:t>格式完整性校验：调用平台专用工具验证输出格式（如华为atc--check_model验证OM文件、瑞芯微rknn.load_rknn验证RKNN文件），校验不通过则触发重新转换（最多2次），重新转换时自动调整参数（如更换量化算法、禁用算子融合）。</w:t>
      </w:r>
    </w:p>
    <w:p>
      <w:pPr>
        <w:pStyle w:val="2"/>
        <w:ind w:firstLine="552"/>
        <w:rPr>
          <w:rFonts w:hint="eastAsia"/>
        </w:rPr>
      </w:pPr>
      <w:r>
        <w:rPr>
          <w:rFonts w:hint="eastAsia"/>
        </w:rPr>
        <w:t>结构一致性校验：通过ONNX Runtime加载转换前后的模型（原生转ONNX后的模型、目标平台格式反编译为ONNX的模型），对比输入输出维度、算子类型、权重数据哈希值，差异超过阈值时生成“结构差异报告”，标记差异算子（如“原模型Conv2d→目标模型ConvTranspose2d”），辅助开发人员定位适配问题。</w:t>
      </w:r>
    </w:p>
    <w:p>
      <w:pPr>
        <w:pStyle w:val="2"/>
        <w:ind w:firstLine="552"/>
        <w:rPr>
          <w:rFonts w:hint="eastAsia"/>
        </w:rPr>
      </w:pPr>
      <w:r>
        <w:rPr>
          <w:rFonts w:hint="eastAsia"/>
        </w:rPr>
        <w:t>基础功能校验：在目标平台测试节点部署校验脚本，加载转换后模型执行推理测试（输入标准测试数据，如COCO验证集图像、GLUE文本），检查推理结果是否合法（如目标检测模型输出bounding box坐标在0-1范围内、分类模型输出概率和为1），推理失败则记录错误日志（如“算子XXX执行超时”“显存不足”），并提供修复建议（如“建议降低精度模式至INT8”“增大节点显存配额”）。</w:t>
      </w:r>
    </w:p>
    <w:p>
      <w:pPr>
        <w:pStyle w:val="2"/>
        <w:ind w:firstLine="552"/>
        <w:rPr>
          <w:rFonts w:hint="eastAsia" w:eastAsia="仿宋_GB2312"/>
          <w:lang w:eastAsia="zh-CN"/>
        </w:rPr>
      </w:pPr>
      <w:r>
        <w:rPr>
          <w:rFonts w:hint="eastAsia"/>
        </w:rPr>
        <w:t>异常处理模块：建立异常案例库，收录常见转换异常（如算子不兼容、显存溢出、量化精度损失超标）及解决方案，当校验发现异常时，自动匹配案例库给出修复建议</w:t>
      </w:r>
      <w:r>
        <w:rPr>
          <w:rFonts w:hint="eastAsia"/>
          <w:lang w:eastAsia="zh-CN"/>
        </w:rPr>
        <w:t>。</w:t>
      </w:r>
    </w:p>
    <w:p>
      <w:pPr>
        <w:numPr>
          <w:ilvl w:val="1"/>
          <w:numId w:val="1"/>
        </w:numPr>
        <w:tabs>
          <w:tab w:val="left" w:pos="0"/>
        </w:tabs>
        <w:ind w:left="850" w:leftChars="0" w:hanging="453" w:firstLineChars="0"/>
        <w:outlineLvl w:val="1"/>
        <w:rPr>
          <w:rFonts w:hint="eastAsia" w:ascii="楷体_GB2312" w:hAnsi="楷体_GB2312" w:eastAsia="楷体_GB2312" w:cs="楷体_GB2312"/>
          <w:sz w:val="32"/>
          <w:szCs w:val="32"/>
          <w:lang w:val="en-US" w:eastAsia="zh-CN"/>
        </w:rPr>
      </w:pPr>
      <w:bookmarkStart w:id="39" w:name="_Toc1009737479"/>
      <w:r>
        <w:rPr>
          <w:rFonts w:hint="eastAsia" w:ascii="楷体_GB2312" w:hAnsi="楷体_GB2312" w:eastAsia="楷体_GB2312" w:cs="楷体_GB2312"/>
          <w:sz w:val="32"/>
          <w:szCs w:val="32"/>
          <w:lang w:val="en-US" w:eastAsia="zh-CN"/>
        </w:rPr>
        <w:t>功能指标2：可根据模型格式进行模型可视化</w:t>
      </w:r>
      <w:bookmarkEnd w:id="39"/>
    </w:p>
    <w:p>
      <w:pPr>
        <w:pStyle w:val="2"/>
      </w:pPr>
      <w:r>
        <w:rPr>
          <w:rFonts w:hint="eastAsia"/>
        </w:rPr>
        <w:t>作为系统核心交互功能指标，模型可视化需实现“多格式模型结构解析、差异化场景展示、交互式参数探索”，严格匹配“支持不少于20类主流智能体模型网络结构可视化”的性能</w:t>
      </w:r>
      <w:r>
        <w:rPr>
          <w:rFonts w:hint="eastAsia"/>
          <w:lang w:val="en-US" w:eastAsia="zh-CN"/>
        </w:rPr>
        <w:t>指标</w:t>
      </w:r>
      <w:r>
        <w:rPr>
          <w:rFonts w:hint="eastAsia"/>
        </w:rPr>
        <w:t>要求，将复杂的模型“黑箱”转化为直观的图形化表达，辅助试验场技术人员快速理解模型拓扑、定位转换异常、优化模型结构，为跨平台转换效果验证与模型调试提供可视化支撑。</w:t>
      </w:r>
    </w:p>
    <w:p>
      <w:pPr>
        <w:numPr>
          <w:ilvl w:val="2"/>
          <w:numId w:val="1"/>
        </w:numPr>
        <w:tabs>
          <w:tab w:val="left" w:pos="0"/>
        </w:tabs>
        <w:ind w:left="1508" w:leftChars="0" w:hanging="708" w:firstLineChars="0"/>
        <w:outlineLvl w:val="2"/>
      </w:pPr>
      <w:bookmarkStart w:id="40" w:name="_Toc1242030959"/>
      <w:r>
        <w:rPr>
          <w:rFonts w:hint="eastAsia" w:ascii="楷体_GB2312" w:hAnsi="楷体_GB2312" w:eastAsia="楷体_GB2312" w:cs="楷体_GB2312"/>
          <w:sz w:val="32"/>
          <w:szCs w:val="32"/>
          <w:lang w:val="en-US" w:eastAsia="zh-CN"/>
        </w:rPr>
        <w:t>功能</w:t>
      </w:r>
      <w:r>
        <w:rPr>
          <w:rFonts w:hint="eastAsia"/>
        </w:rPr>
        <w:t>描述</w:t>
      </w:r>
      <w:r>
        <w:rPr>
          <w:rFonts w:hint="eastAsia"/>
          <w:lang w:eastAsia="zh-CN"/>
        </w:rPr>
        <w:t>，</w:t>
      </w:r>
      <w:r>
        <w:rPr>
          <w:rFonts w:hint="eastAsia"/>
          <w:lang w:val="en-US" w:eastAsia="zh-CN"/>
        </w:rPr>
        <w:t>支持性能指标1</w:t>
      </w:r>
      <w:bookmarkEnd w:id="40"/>
    </w:p>
    <w:p>
      <w:pPr>
        <w:pStyle w:val="2"/>
        <w:ind w:firstLine="552"/>
        <w:rPr>
          <w:rFonts w:hint="eastAsia"/>
        </w:rPr>
      </w:pPr>
      <w:r>
        <w:rPr>
          <w:rFonts w:hint="eastAsia"/>
        </w:rPr>
        <w:t>围绕“结构清晰、参数可查、交互灵活”核心目标，构建从“模型解析-场景化展示-交互探索-结果导出”的全流程可视化功能体系，针对20类模型（目标检测/分类/跟踪/NLP大模型）的结构特性提供差异化展示方案，同时支持多维度参数查询与自定义交互操作，满足试验场调试机场景下的模型分析需求。</w:t>
      </w:r>
    </w:p>
    <w:p>
      <w:pPr>
        <w:pStyle w:val="2"/>
        <w:ind w:firstLine="552"/>
        <w:rPr>
          <w:rFonts w:hint="eastAsia"/>
        </w:rPr>
      </w:pPr>
      <w:r>
        <w:rPr>
          <w:rFonts w:hint="eastAsia"/>
        </w:rPr>
        <w:t>多格式模型结构解析与适配：全面支持20类模型原生格式的结构解析，覆盖计算机视觉与自然语言处理领域主流模型。其中目标检测模型（YOLOv5/v7/v8、Faster R-CNN）需解析backbone（特征提取网络）、neck（特征融合网络）、head（检测头）三层结构及层间连接关系；目标分类模型（ResNet50/101、EfficientNet-B0/B4、MobileNetV3）需解析残差块、注意力模块等核心组件；目标跟踪模型（SORT、DeepSORT、ByteTrack）需解析检测器、卡尔曼滤波、匈牙利匹配等流程模块；自然语言大模型（BERT-base、RoBERTa、GPT-2、T5-small）需解析Transformer编码器/解码器层、多头注意力模块、Feed Forward网络等关键结构。解析过程自动识别模型格式（通过文件后缀+结构特征双重判定，如检测到含“Detect”层的.pt文件时标记为YOLO系列模型），并加载对应的可视化模板，无需用户手动配置，解析成功率≥99.5%（针对20类目标模型）。</w:t>
      </w:r>
    </w:p>
    <w:p>
      <w:pPr>
        <w:pStyle w:val="2"/>
        <w:ind w:firstLine="552"/>
        <w:rPr>
          <w:rFonts w:hint="eastAsia"/>
        </w:rPr>
      </w:pPr>
      <w:r>
        <w:rPr>
          <w:rFonts w:hint="eastAsia"/>
        </w:rPr>
        <w:t>差异化场景化展示：针对不同类型模型的结构特性，设计专属可视化视图，突出核心模块与功能逻辑，避免信息冗余。</w:t>
      </w:r>
    </w:p>
    <w:p>
      <w:pPr>
        <w:pStyle w:val="2"/>
        <w:ind w:firstLine="552"/>
        <w:rPr>
          <w:rFonts w:hint="eastAsia"/>
        </w:rPr>
      </w:pPr>
      <w:r>
        <w:rPr>
          <w:rFonts w:hint="eastAsia"/>
        </w:rPr>
        <w:t>计算机视觉模型视图：采用“分层折叠式”布局，按功能模块（backbone/neck/head）纵向分组，每个模块用不同颜色标识（backbone蓝色、neck绿色、head橙色），模块内按层顺序横向排列（如ResNet50的backbone按conv1→layer1→layer2→layer3→layer4顺序展示）。支持模块独立折叠/展开（点击模块标题可隐藏/显示内部层结构），层节点标注核心参数（如卷积层标注“Conv2d(3→64,7×7,stride=2)”，池化层标注“MaxPool(3×3,stride=2)”），鼠标悬浮时显示该层的输入输出维度（如“输入[1,3,224,224]→输出[1,64,112,112]”）与计算量（FLOPs），帮助快速掌握层功能。</w:t>
      </w:r>
    </w:p>
    <w:p>
      <w:pPr>
        <w:pStyle w:val="2"/>
        <w:ind w:firstLine="552"/>
        <w:rPr>
          <w:rFonts w:hint="eastAsia"/>
        </w:rPr>
      </w:pPr>
      <w:r>
        <w:rPr>
          <w:rFonts w:hint="eastAsia"/>
        </w:rPr>
        <w:t>自然语言大模型视图：采用“横向链式”布局，按Transformer层顺序横向排列（如BERT-base的12个编码器层依次横向展开），每个Transformer层内部用“环形图”展示多头注意力模块（不同颜色标识不同注意力头），用“矩形块”展示Feed Forward网络，层间用箭头标注数据流向（如“词嵌入层→编码器层1→编码器层2→...→分类层”）。支持注意力权重热力图展示（点击注意力模块弹出热力图，横轴/纵轴为序列位置，颜色深浅代表权重大小），直观呈现模型对文本序列的关注重点；针对GPT-2等生成式模型，额外展示“解码流程”（如自回归生成时的token预测顺序），辅助理解生成逻辑。</w:t>
      </w:r>
    </w:p>
    <w:p>
      <w:pPr>
        <w:pStyle w:val="2"/>
        <w:ind w:firstLine="552"/>
        <w:rPr>
          <w:rFonts w:hint="eastAsia"/>
        </w:rPr>
      </w:pPr>
      <w:r>
        <w:rPr>
          <w:rFonts w:hint="eastAsia"/>
        </w:rPr>
        <w:t>目标跟踪模型视图：新增“流程可视化”功能，除展示检测器的网络结构外，用流程图形式展示跟踪流程（检测器输出bbox→卡尔曼滤波预测→匈牙利算法匹配→轨迹更新），每个流程节点标注核心参数（如卡尔曼滤波标注“状态维度4，观测维度2”），支持模拟输入视频帧，动态演示轨迹生成过程（如不同目标的bbox与轨迹线实时更新），直观呈现跟踪逻辑。</w:t>
      </w:r>
    </w:p>
    <w:p>
      <w:pPr>
        <w:pStyle w:val="2"/>
        <w:ind w:firstLine="552"/>
        <w:rPr>
          <w:rFonts w:hint="eastAsia"/>
        </w:rPr>
      </w:pPr>
      <w:r>
        <w:rPr>
          <w:rFonts w:hint="eastAsia"/>
        </w:rPr>
        <w:t>交互式参数探索：提供丰富的交互操作，支持技术人员深入探索模型参数细节，定位潜在问题。</w:t>
      </w:r>
    </w:p>
    <w:p>
      <w:pPr>
        <w:pStyle w:val="2"/>
        <w:ind w:firstLine="552"/>
        <w:rPr>
          <w:rFonts w:hint="eastAsia"/>
        </w:rPr>
      </w:pPr>
      <w:r>
        <w:rPr>
          <w:rFonts w:hint="eastAsia"/>
        </w:rPr>
        <w:t>层节点交互：支持鼠标拖拽层节点调整位置（便于查看复杂连接关系）、双击节点展开详细参数面板（显示权重分布直方图、偏置值范围、激活函数类型，如卷积层显示“权重均值0.2、标准差0.1，激活函数ReLU”）、框选多个节点对比参数（如同时选中两个残差块，对比其卷积核大小、输出通道数差异）。</w:t>
      </w:r>
    </w:p>
    <w:p>
      <w:pPr>
        <w:pStyle w:val="2"/>
        <w:ind w:firstLine="552"/>
        <w:rPr>
          <w:rFonts w:hint="eastAsia"/>
        </w:rPr>
      </w:pPr>
      <w:r>
        <w:rPr>
          <w:rFonts w:hint="eastAsia"/>
        </w:rPr>
        <w:t>结构导航与搜索：提供“全局缩放”（鼠标滚轮缩放视图，缩放范围10%~500%）、“定位跳转”（输入层名称如“conv2d_1”快速定位至对应节点）、“功能筛选”（勾选“仅显示卷积层”“隐藏BN层”等选项，过滤无关信息），针对1000层以上的大模型（如GPT-2），支持“缩略图导航”（右侧显示模型整体缩略图，红色框标识当前视图位置，拖动红色框可快速切换视图区域），避免操作迷失。</w:t>
      </w:r>
    </w:p>
    <w:p>
      <w:pPr>
        <w:pStyle w:val="2"/>
        <w:ind w:firstLine="552"/>
        <w:rPr>
          <w:rFonts w:hint="eastAsia"/>
        </w:rPr>
      </w:pPr>
      <w:r>
        <w:rPr>
          <w:rFonts w:hint="eastAsia"/>
        </w:rPr>
        <w:t>可视化结果导出与分享：支持将可视化结果导出为多种格式，便于文档编写、汇报展示与问题沟通。可导出模型拓扑图（PNG/SVG格式，SVG格式支持无限缩放不失真）、参数详情表（Excel格式，包含所有层的名称、类型、参数、输入输出维度）、注意力热力图（PNG/PDF格式）；针对目标跟踪模型，可导出轨迹模拟视频（MP4格式，帧率25fps）。导出时支持自定义配置（如PNG格式可选择分辨率300dpi/600dpi，Excel表可选择是否包含计算量数据），导出文件自动命名（如“YOLOv8_结构拓扑图_20240520.png”），并关联模型ID与版本号，便于追溯。同时支持生成可视化报告（HTML/PDF格式），包含模型基础信息、结构分析、关键参数统计（如总层数、总参数规模、总计算量）与优化建议（如“检测头参数规模较大，建议轻量化以提升推理速度”），报告可直接分享至试验场内部系统（如OA、项目管理平台）。</w:t>
      </w:r>
    </w:p>
    <w:p>
      <w:pPr>
        <w:pStyle w:val="2"/>
        <w:ind w:firstLine="552"/>
        <w:rPr>
          <w:rFonts w:hint="eastAsia"/>
        </w:rPr>
      </w:pPr>
      <w:r>
        <w:rPr>
          <w:rFonts w:hint="eastAsia"/>
        </w:rPr>
        <w:t>跨转换环节联动展示：与模型跨平台转换功能联动，支持对比转换前后的模型结构差异，辅助验证转换效果。转换完成后，可在可视化界面同时加载“转换前ONNX模型”与“转换后目标平台模型（反编译为ONNX格式）”，系统自动标记结构差异（如算子替换、层顺序调整，差异层用红色边框标识），并生成差异报告（如“转换后Conv2d算子替换为昇腾平台的GeMM算子，输入维度保持一致”）。针对精度损失超标的模型（如mAP损失＞</w:t>
      </w:r>
      <w:r>
        <w:rPr>
          <w:rFonts w:hint="eastAsia"/>
          <w:lang w:val="en-US" w:eastAsia="zh-CN"/>
        </w:rPr>
        <w:t>8</w:t>
      </w:r>
      <w:r>
        <w:rPr>
          <w:rFonts w:hint="eastAsia"/>
        </w:rPr>
        <w:t>%），支持定位差异算子并分析影响（如“量化后的注意力模块权重分布偏移，导致精度下降”），为转换参数优化（如调整量化算法）提供依据。</w:t>
      </w:r>
    </w:p>
    <w:p>
      <w:pPr>
        <w:numPr>
          <w:ilvl w:val="2"/>
          <w:numId w:val="1"/>
        </w:numPr>
        <w:tabs>
          <w:tab w:val="left" w:pos="0"/>
        </w:tabs>
        <w:ind w:left="1508" w:leftChars="0" w:hanging="708" w:firstLineChars="0"/>
        <w:outlineLvl w:val="2"/>
      </w:pPr>
      <w:bookmarkStart w:id="41" w:name="_Toc1273279073"/>
      <w:r>
        <w:rPr>
          <w:rFonts w:hint="eastAsia"/>
        </w:rPr>
        <w:t>技术实现方案</w:t>
      </w:r>
      <w:r>
        <w:rPr>
          <w:rFonts w:hint="eastAsia"/>
          <w:lang w:eastAsia="zh-CN"/>
        </w:rPr>
        <w:t>：高精准、高交互的可视化架构</w:t>
      </w:r>
      <w:bookmarkEnd w:id="41"/>
    </w:p>
    <w:p>
      <w:pPr>
        <w:pStyle w:val="2"/>
        <w:rPr>
          <w:rFonts w:hint="eastAsia"/>
        </w:rPr>
      </w:pPr>
      <w:r>
        <w:rPr>
          <w:rFonts w:hint="eastAsia"/>
        </w:rPr>
        <w:t>基于“解析引擎+模板驱动+交互优化”的技术思路，构建分层可视化架构，覆盖模型解析、模板管理、渲染优化、交互控制四大环节，解决多格式适配、大模型渲染卡顿、参数展示不直观等核心问题，确保20类模型的可视化需求落地。</w:t>
      </w:r>
    </w:p>
    <w:p>
      <w:pPr>
        <w:pStyle w:val="2"/>
        <w:rPr>
          <w:rFonts w:hint="eastAsia"/>
        </w:rPr>
      </w:pPr>
      <w:r>
        <w:rPr>
          <w:rFonts w:hint="eastAsia"/>
        </w:rPr>
        <w:t>模型解析引擎开发：集成Netron开源解析内核与自定义适配器，实现多格式模型结构数据的精准提取与标准化处理，为可视化渲染提供统一数据格式。</w:t>
      </w:r>
    </w:p>
    <w:p>
      <w:pPr>
        <w:pStyle w:val="2"/>
        <w:rPr>
          <w:rFonts w:hint="eastAsia"/>
        </w:rPr>
      </w:pPr>
      <w:r>
        <w:rPr>
          <w:rFonts w:hint="eastAsia"/>
        </w:rPr>
        <w:t>基础解析能力：基于Netron核心库解析ONNX、PyTorch、TensorFlow等格式模型，提取模型拓扑结构（层名称、类型、父层/子层关系）、算子参数（卷积核大小、步长、填充方式）、输入输出维度等基础数据，解析结果转换为JSON格式（包含“layers”数组与“connections”数组，layers记录层信息，connections记录层间连接关系），确保后续渲染模块可直接调用。</w:t>
      </w:r>
    </w:p>
    <w:p>
      <w:pPr>
        <w:pStyle w:val="2"/>
        <w:rPr>
          <w:rFonts w:hint="eastAsia"/>
        </w:rPr>
      </w:pPr>
      <w:r>
        <w:rPr>
          <w:rFonts w:hint="eastAsia"/>
        </w:rPr>
        <w:t>数据标准化处理：解析完成后对数据进行标准化（如统一参数命名格式，将“kernel_size”“filter_size”统一为“kernel”；统一维度表示方式，将“(1,3,224,224)”标准化为“[batch,channel,height,width]”），避免因模型格式差异导致的渲染异常；针对大模型，对层数据进行抽样预处理（默认保留每10层的详细参数，其余层仅保留核心信息），降低渲染数据量。</w:t>
      </w:r>
    </w:p>
    <w:p>
      <w:pPr>
        <w:pStyle w:val="2"/>
        <w:rPr>
          <w:rFonts w:hint="eastAsia"/>
        </w:rPr>
      </w:pPr>
      <w:r>
        <w:rPr>
          <w:rFonts w:hint="eastAsia"/>
        </w:rPr>
        <w:t>模板驱动渲染系统：采用“模板+数据”分离的渲染模式，为不同类型模型设计可视化模板，通过模板定义渲染规则（布局方式、颜色配置、参数展示逻辑），实现差异化展示，同时提升渲染灵活性与可扩展性。</w:t>
      </w:r>
    </w:p>
    <w:p>
      <w:pPr>
        <w:pStyle w:val="2"/>
        <w:rPr>
          <w:rFonts w:hint="eastAsia"/>
        </w:rPr>
      </w:pPr>
      <w:r>
        <w:rPr>
          <w:rFonts w:hint="eastAsia"/>
        </w:rPr>
        <w:t>模板结构设计：可视化模板采用JSON格式定义，包含“layout”（布局规则）、“style”（样式配置）、“parameterDisplay”（参数展示逻辑）三大模块。例如，YOLO模型模板的layout模块定义“分层折叠式”布局，style模块定义backbone为蓝色、head为橙色，parameterDisplay模块定义卷积层需展示“输入通道→输出通道，kernel尺寸，stride”参数。模板存储于MySQL的visual_template表，通过“模型类型”字段与模型关联（如“模型类型=目标检测-YOLO”关联YOLO模板），支持管理员在线编辑模板（修改颜色、调整参数展示项），修改后实时生效。</w:t>
      </w:r>
    </w:p>
    <w:p>
      <w:pPr>
        <w:pStyle w:val="2"/>
        <w:rPr>
          <w:rFonts w:hint="eastAsia"/>
        </w:rPr>
      </w:pPr>
      <w:r>
        <w:rPr>
          <w:rFonts w:hint="eastAsia"/>
        </w:rPr>
        <w:t>多引擎渲染适配：根据模型类型与数据规模选择合适的渲染引擎，确保渲染效率与展示效果平衡。针对计算机视觉模型（层数≤200层），采用D3.js渲染拓扑图，支持精细的节点交互与参数展示；针对自然语言大模型（层数≥100层），采用SVG矢量图形渲染，减少内存占用，同时支持无限缩放；针对目标跟踪模型的流程可视化，采用Mermaid.js绘制流程图，结合ECharts绘制轨迹模拟动画。渲染过程采用“分层渲染”策略：优先渲染模型整体结构（仅显示层名称与连接关系），用户交互时（如展开模块、点击节点）再动态加载详细参数与图形（如注意力热力图）。</w:t>
      </w:r>
    </w:p>
    <w:p>
      <w:pPr>
        <w:pStyle w:val="2"/>
        <w:rPr>
          <w:rFonts w:hint="eastAsia"/>
        </w:rPr>
      </w:pPr>
      <w:r>
        <w:rPr>
          <w:rFonts w:hint="eastAsia"/>
        </w:rPr>
        <w:t>交互控制模块开发：基于前端事件驱动机制，开发丰富的交互功能，支持鼠标、键盘操作与触屏操作（适配试验场调试机的触屏显示器），提升操作便捷性。</w:t>
      </w:r>
    </w:p>
    <w:p>
      <w:pPr>
        <w:pStyle w:val="2"/>
        <w:rPr>
          <w:rFonts w:hint="eastAsia"/>
        </w:rPr>
      </w:pPr>
      <w:r>
        <w:rPr>
          <w:rFonts w:hint="eastAsia"/>
        </w:rPr>
        <w:t>基础交互功能：实现鼠标拖拽（拖动层节点调整位置）、滚轮缩放（缩放视图）、点击选中（选中层节点显示详情）、框选（选中多个节点对比参数）等基础操作；支持键盘快捷键（Ctrl+滚轮缩放、Ctrl+F搜索层节点、Ctrl+S导出可视化结果），提升操作效率；针对触屏设备，支持双指缩放、单指拖拽，确保多终端适配。</w:t>
      </w:r>
    </w:p>
    <w:p>
      <w:pPr>
        <w:pStyle w:val="2"/>
        <w:rPr>
          <w:rFonts w:hint="eastAsia"/>
        </w:rPr>
      </w:pPr>
      <w:r>
        <w:rPr>
          <w:rFonts w:hint="eastAsia"/>
        </w:rPr>
        <w:t>高级交互功能：开发“结构对比”功能，支持加载两个模型（如转换前后的模型），系统自动对齐层结构，用红色标识差异层，绿色标识一致层，点击差异层显示具体差异（如“转换前Conv2d→转换后GeMM”）；开发“参数筛选”功能，支持按参数条件筛选层（如“筛选所有卷积核尺寸为3×3的层”“筛选计算量＞1e6 FLOPs的层”），筛选结果用黄色高亮标识，快速定位关键层；开发“动态模拟”功能，针对目标检测模型，通过WebGL加载测试图像，调用ONNX Runtime执行推理，实时获取各层特征图数据并渲染展示（特征图用热力图形式呈现），支持帧步进（逐帧查看特征图变化）与进度条拖动（快速定位至某一帧）。</w:t>
      </w:r>
    </w:p>
    <w:p>
      <w:pPr>
        <w:pStyle w:val="2"/>
        <w:rPr>
          <w:rFonts w:hint="eastAsia"/>
        </w:rPr>
      </w:pPr>
      <w:r>
        <w:rPr>
          <w:rFonts w:hint="eastAsia"/>
        </w:rPr>
        <w:t>性能优化与兼容性保障：针对大模型渲染卡顿、浏览器兼容性差等问题，采用多项优化技术，确保可视化功能在试验场调试机环境下稳定运行。</w:t>
      </w:r>
    </w:p>
    <w:p>
      <w:pPr>
        <w:pStyle w:val="2"/>
        <w:rPr>
          <w:rFonts w:hint="eastAsia"/>
        </w:rPr>
      </w:pPr>
      <w:r>
        <w:rPr>
          <w:rFonts w:hint="eastAsia"/>
        </w:rPr>
        <w:t>渲染性能优化：利用WebWorker在后台线程处理模型解析与数据预处理，避免阻塞主线程导致界面无响应；采用“数据分片加载”策略，大模型（如1000层以上）的层数据按模块分片加载（一次加载10个模块），滚动视图时动态加载后续分片；对大规模参数数据（如注意力权重矩阵）采用抽样展示（默认显示10%的数据，用户点击“查看全部”加载完整数据），降低数据传输与渲染压力。优化后，支持3000层以上模型的流畅可视化，界面操作无卡顿。</w:t>
      </w:r>
    </w:p>
    <w:p>
      <w:pPr>
        <w:pStyle w:val="2"/>
        <w:rPr>
          <w:rFonts w:hint="eastAsia"/>
        </w:rPr>
      </w:pPr>
      <w:r>
        <w:rPr>
          <w:rFonts w:hint="eastAsia"/>
        </w:rPr>
        <w:t>浏览器兼容性适配：针对Chrome、Edge、Firefox主流浏览器（版本≥90.0），通过Babel转译ES6+语法，确保代码兼容；采用CSS前缀自动补全（如-webkit-、-moz-），确保样式在不同浏览器一致。</w:t>
      </w:r>
    </w:p>
    <w:p>
      <w:pPr>
        <w:pStyle w:val="2"/>
      </w:pPr>
      <w:r>
        <w:rPr>
          <w:rFonts w:hint="eastAsia"/>
        </w:rPr>
        <w:t>异常处理与容错：开发异常监测模块，实时捕捉解析与渲染过程中的错误（如模型结构损坏导致解析失败、渲染数据格式错误），并弹出友好提示（如“模型文件损坏，建议重新上传”“当前浏览器版本过低，推荐升级至Chrome 90+”），同时记录错误日志（包含错误类型、模型ID、操作时间）至MySQL的visual_error_log表，便于开发人员排查问题。支持“降级渲染”（解析失败时自动切换至基础解析模式，仅展示层名称与连接关系，避免可视化功能完全不可用），容错率≥98%。</w:t>
      </w:r>
    </w:p>
    <w:p>
      <w:pPr>
        <w:numPr>
          <w:ilvl w:val="1"/>
          <w:numId w:val="1"/>
        </w:numPr>
        <w:tabs>
          <w:tab w:val="left" w:pos="0"/>
        </w:tabs>
        <w:ind w:left="850" w:leftChars="0" w:hanging="453" w:firstLineChars="0"/>
        <w:outlineLvl w:val="1"/>
        <w:rPr>
          <w:rFonts w:hint="eastAsia" w:ascii="楷体_GB2312" w:hAnsi="楷体_GB2312" w:eastAsia="楷体_GB2312" w:cs="楷体_GB2312"/>
          <w:sz w:val="32"/>
          <w:szCs w:val="32"/>
          <w:lang w:val="en-US" w:eastAsia="zh-CN"/>
        </w:rPr>
      </w:pPr>
      <w:bookmarkStart w:id="42" w:name="_Toc326837556"/>
      <w:r>
        <w:rPr>
          <w:rFonts w:hint="eastAsia" w:ascii="楷体_GB2312" w:hAnsi="楷体_GB2312" w:eastAsia="楷体_GB2312" w:cs="楷体_GB2312"/>
          <w:sz w:val="32"/>
          <w:szCs w:val="32"/>
          <w:lang w:val="en-US" w:eastAsia="zh-CN"/>
        </w:rPr>
        <w:t>跨平台推理测试模块</w:t>
      </w:r>
      <w:bookmarkEnd w:id="42"/>
    </w:p>
    <w:p>
      <w:pPr>
        <w:pStyle w:val="2"/>
      </w:pPr>
      <w:r>
        <w:rPr>
          <w:rFonts w:hint="eastAsia"/>
        </w:rPr>
        <w:t>跨平台推理测试模块作为模型转换效果的“验证关口”，需实现“多平台真机测试、多维度指标评估、自动化报告生成”，严格匹配“20类模型+4类平台”的测试覆盖要求，通过在华为昇腾、瑞芯微、英伟达、寒武纪真机环境下执行推理验证，精准评估转换后模型的功能完整性、性能达标率与精度稳定性，确保模型可直接用于试验场内场调试机的部署测试，避免因转换问题导致的部署失败。</w:t>
      </w:r>
    </w:p>
    <w:p>
      <w:pPr>
        <w:numPr>
          <w:ilvl w:val="2"/>
          <w:numId w:val="1"/>
        </w:numPr>
        <w:tabs>
          <w:tab w:val="left" w:pos="0"/>
        </w:tabs>
        <w:ind w:left="1508" w:leftChars="0" w:hanging="708" w:firstLineChars="0"/>
        <w:outlineLvl w:val="2"/>
      </w:pPr>
      <w:bookmarkStart w:id="43" w:name="_Toc2043118313"/>
      <w:r>
        <w:rPr>
          <w:rFonts w:hint="eastAsia"/>
        </w:rPr>
        <w:t>功能描述：全维度推理验证能力</w:t>
      </w:r>
      <w:bookmarkEnd w:id="43"/>
    </w:p>
    <w:p>
      <w:pPr>
        <w:pStyle w:val="2"/>
        <w:rPr>
          <w:rFonts w:hint="default"/>
          <w:lang w:val="en-US" w:eastAsia="zh-CN"/>
        </w:rPr>
      </w:pPr>
      <w:r>
        <w:rPr>
          <w:rFonts w:hint="default"/>
          <w:lang w:val="en-US" w:eastAsia="zh-CN"/>
        </w:rPr>
        <w:t>围绕“功能可用、性能达标、精度可控”核心目标，构建从“测试用例管理-多平台推理执行-指标评估-报告生成”的全流程测试体系，覆盖计算机视觉与自然语言处理模型的差异化测试需求，同时支持测试结果追溯与问题定位，为模型转换优化提供数据支撑。</w:t>
      </w:r>
    </w:p>
    <w:p>
      <w:pPr>
        <w:pStyle w:val="2"/>
        <w:rPr>
          <w:rFonts w:hint="default"/>
          <w:lang w:val="en-US" w:eastAsia="zh-CN"/>
        </w:rPr>
      </w:pPr>
      <w:r>
        <w:rPr>
          <w:rFonts w:hint="default"/>
          <w:lang w:val="en-US" w:eastAsia="zh-CN"/>
        </w:rPr>
        <w:t>测试用例全生命周期管理：支持测试数据的上传、分类、版本控制与复用，满足20类模型的测试数据需求。</w:t>
      </w:r>
    </w:p>
    <w:p>
      <w:pPr>
        <w:pStyle w:val="2"/>
        <w:rPr>
          <w:rFonts w:hint="default"/>
          <w:lang w:val="en-US" w:eastAsia="zh-CN"/>
        </w:rPr>
      </w:pPr>
      <w:r>
        <w:rPr>
          <w:rFonts w:hint="default"/>
          <w:lang w:val="en-US" w:eastAsia="zh-CN"/>
        </w:rPr>
        <w:t>多类型测试数据适配：兼容计算机视觉模型的图像数据（JPG/PNG/BMP格式，支持单张/批量上传，单张图像分辨率支持320×320~1280×1280）、自然语言模型的文本数据（TXT格式，支持单条文本输入与批量数据集上传，批量数据集需按“输入文本+预期结果”格式组织，如GLUE数据集的SST-2任务格式）、目标跟踪模型的视频数据（MP4/AVI格式，支持帧提取与关键帧标记）。上传时自动校验数据格式（如检测图像是否为RGB三通道、文本是否符合UTF-8编码），不兼容数据实时提示并提供格式转换工具（如将灰度图自动转为RGB图、ANSI编码文本转为UTF-8）。</w:t>
      </w:r>
    </w:p>
    <w:p>
      <w:pPr>
        <w:pStyle w:val="2"/>
        <w:rPr>
          <w:rFonts w:hint="default"/>
          <w:lang w:val="en-US" w:eastAsia="zh-CN"/>
        </w:rPr>
      </w:pPr>
      <w:r>
        <w:rPr>
          <w:rFonts w:hint="default"/>
          <w:lang w:val="en-US" w:eastAsia="zh-CN"/>
        </w:rPr>
        <w:t>测试用例分类与标签管理：按模型类型（目标检测/分类/跟踪/NLP大模型）与测试场景（功能验证/性能测试/精度对比）对测试用例打标签，如“目标检测-COCO验证集-精度测试”“BERT-GLUE-SST2-功能验证”。支持按标签快速筛选用例（如筛选“所有目标检测类精度测试用例”），同时支持用例版本控制（同一数据集更新时生成新版本，保留历史版本用于对比测试），用例复用率≥80%，减少重复数据上传工作量。</w:t>
      </w:r>
    </w:p>
    <w:p>
      <w:pPr>
        <w:pStyle w:val="2"/>
        <w:rPr>
          <w:rFonts w:hint="default"/>
          <w:lang w:val="en-US" w:eastAsia="zh-CN"/>
        </w:rPr>
      </w:pPr>
      <w:r>
        <w:rPr>
          <w:rFonts w:hint="default"/>
          <w:lang w:val="en-US" w:eastAsia="zh-CN"/>
        </w:rPr>
        <w:t>多平台真机推理执行：支持在4类平台的真机测试节点上执行推理任务，覆盖不同硬件配置（如华为</w:t>
      </w:r>
      <w:r>
        <w:rPr>
          <w:rFonts w:hint="eastAsia"/>
          <w:lang w:val="en-US" w:eastAsia="zh-CN"/>
        </w:rPr>
        <w:t>910B</w:t>
      </w:r>
      <w:r>
        <w:rPr>
          <w:rFonts w:hint="default"/>
          <w:lang w:val="en-US" w:eastAsia="zh-CN"/>
        </w:rPr>
        <w:t>服务器、瑞芯微RK3588开发板、英伟达</w:t>
      </w:r>
      <w:r>
        <w:rPr>
          <w:rFonts w:hint="eastAsia"/>
          <w:lang w:val="en-US" w:eastAsia="zh-CN"/>
        </w:rPr>
        <w:t>RTX 400</w:t>
      </w:r>
      <w:r>
        <w:rPr>
          <w:rFonts w:hint="default"/>
          <w:lang w:val="en-US" w:eastAsia="zh-CN"/>
        </w:rPr>
        <w:t>、寒武纪思元370服务器），实现“一键提交-分布式执行-实时监控”。</w:t>
      </w:r>
    </w:p>
    <w:p>
      <w:pPr>
        <w:pStyle w:val="2"/>
        <w:rPr>
          <w:rFonts w:hint="default"/>
          <w:lang w:val="en-US" w:eastAsia="zh-CN"/>
        </w:rPr>
      </w:pPr>
      <w:r>
        <w:rPr>
          <w:rFonts w:hint="default"/>
          <w:lang w:val="en-US" w:eastAsia="zh-CN"/>
        </w:rPr>
        <w:t>测试节点选择与任务分配：用户提交推理任务时，可选择单平台单节点（如仅在瑞芯微RK3588节点测试）、单平台多节点（如在2台华为</w:t>
      </w:r>
      <w:r>
        <w:rPr>
          <w:rFonts w:hint="eastAsia"/>
          <w:lang w:val="en-US" w:eastAsia="zh-CN"/>
        </w:rPr>
        <w:t>910B</w:t>
      </w:r>
      <w:r>
        <w:rPr>
          <w:rFonts w:hint="default"/>
          <w:lang w:val="en-US" w:eastAsia="zh-CN"/>
        </w:rPr>
        <w:t>节点并行测试）、多平台多节点（如同时在英伟达RTX 4090与寒武纪思元</w:t>
      </w:r>
      <w:r>
        <w:rPr>
          <w:rFonts w:hint="eastAsia"/>
          <w:lang w:val="en-US" w:eastAsia="zh-CN"/>
        </w:rPr>
        <w:t>370</w:t>
      </w:r>
      <w:r>
        <w:rPr>
          <w:rFonts w:hint="default"/>
          <w:lang w:val="en-US" w:eastAsia="zh-CN"/>
        </w:rPr>
        <w:t>节点测试），系统自动检查所选节点在线状态与负载（CPU利用率≤70%、显存/NPU内存占用≤60%），若节点离线或过载则提示更换节点或等待。任务分配采用“负载均衡”策略，将批量测试任务拆分至多个节点并行执行，执行效率提升至单节点的3~5倍（取决于节点数量）。</w:t>
      </w:r>
    </w:p>
    <w:p>
      <w:pPr>
        <w:pStyle w:val="2"/>
        <w:rPr>
          <w:rFonts w:hint="default"/>
          <w:lang w:val="en-US" w:eastAsia="zh-CN"/>
        </w:rPr>
      </w:pPr>
      <w:r>
        <w:rPr>
          <w:rFonts w:hint="default"/>
          <w:lang w:val="en-US" w:eastAsia="zh-CN"/>
        </w:rPr>
        <w:t>推理参数配置：提供精细化参数配置功能，匹配不同模型与平台的测试需求：</w:t>
      </w:r>
    </w:p>
    <w:p>
      <w:pPr>
        <w:pStyle w:val="2"/>
        <w:rPr>
          <w:rFonts w:hint="default"/>
          <w:lang w:val="en-US" w:eastAsia="zh-CN"/>
        </w:rPr>
      </w:pPr>
      <w:r>
        <w:rPr>
          <w:rFonts w:hint="default"/>
          <w:lang w:val="en-US" w:eastAsia="zh-CN"/>
        </w:rPr>
        <w:t>推理精度模式：支持与模型转换一致的精度模式（FP32/FP16/INT8），确保测试环境与实际部署环境一致；</w:t>
      </w:r>
    </w:p>
    <w:p>
      <w:pPr>
        <w:pStyle w:val="2"/>
        <w:rPr>
          <w:rFonts w:hint="default"/>
          <w:lang w:val="en-US" w:eastAsia="zh-CN"/>
        </w:rPr>
      </w:pPr>
      <w:r>
        <w:rPr>
          <w:rFonts w:hint="default"/>
          <w:lang w:val="en-US" w:eastAsia="zh-CN"/>
        </w:rPr>
        <w:t>推理批次大小：支持批量推理（batch size=1/2/4/8，最大支持batch size=16，取决于节点内存大小），用于测试模型的吞吐量性能；</w:t>
      </w:r>
    </w:p>
    <w:p>
      <w:pPr>
        <w:pStyle w:val="2"/>
        <w:rPr>
          <w:rFonts w:hint="default"/>
          <w:lang w:val="en-US" w:eastAsia="zh-CN"/>
        </w:rPr>
      </w:pPr>
      <w:r>
        <w:rPr>
          <w:rFonts w:hint="default"/>
          <w:lang w:val="en-US" w:eastAsia="zh-CN"/>
        </w:rPr>
        <w:t>结果保存策略：可选择保存所有推理结果（如每张图像的检测框坐标、文本的分类概率）或仅保存异常结果（如推理失败、精度超差的结果），减少存储占用；</w:t>
      </w:r>
    </w:p>
    <w:p>
      <w:pPr>
        <w:pStyle w:val="2"/>
        <w:rPr>
          <w:rFonts w:hint="default"/>
          <w:lang w:val="en-US" w:eastAsia="zh-CN"/>
        </w:rPr>
      </w:pPr>
      <w:r>
        <w:rPr>
          <w:rFonts w:hint="default"/>
          <w:lang w:val="en-US" w:eastAsia="zh-CN"/>
        </w:rPr>
        <w:t>日志输出级别：支持WARN/ERROR</w:t>
      </w:r>
      <w:r>
        <w:rPr>
          <w:rFonts w:hint="eastAsia"/>
          <w:lang w:val="en-US" w:eastAsia="zh-CN"/>
        </w:rPr>
        <w:t>二</w:t>
      </w:r>
      <w:r>
        <w:rPr>
          <w:rFonts w:hint="default"/>
          <w:lang w:val="en-US" w:eastAsia="zh-CN"/>
        </w:rPr>
        <w:t>级日志。</w:t>
      </w:r>
    </w:p>
    <w:p>
      <w:pPr>
        <w:pStyle w:val="2"/>
        <w:rPr>
          <w:rFonts w:hint="default"/>
          <w:lang w:val="en-US" w:eastAsia="zh-CN"/>
        </w:rPr>
      </w:pPr>
      <w:r>
        <w:rPr>
          <w:rFonts w:hint="default"/>
          <w:lang w:val="en-US" w:eastAsia="zh-CN"/>
        </w:rPr>
        <w:t>推理过程实时监控：任务执行过程中，实时展示任务</w:t>
      </w:r>
      <w:r>
        <w:rPr>
          <w:rFonts w:hint="eastAsia"/>
          <w:lang w:val="en-US" w:eastAsia="zh-CN"/>
        </w:rPr>
        <w:t>状态</w:t>
      </w:r>
      <w:r>
        <w:rPr>
          <w:rFonts w:hint="default"/>
          <w:lang w:val="en-US" w:eastAsia="zh-CN"/>
        </w:rPr>
        <w:t>（如“已完成”）。支持任务暂停（暂停后保留已完成进度，恢复时从断点继续）与取消（取消后释放节点资源，删除临时结果），暂停/取消操作响应时间≤</w:t>
      </w:r>
      <w:r>
        <w:rPr>
          <w:rFonts w:hint="eastAsia"/>
          <w:lang w:val="en-US" w:eastAsia="zh-CN"/>
        </w:rPr>
        <w:t>3S</w:t>
      </w:r>
      <w:r>
        <w:rPr>
          <w:rFonts w:hint="default"/>
          <w:lang w:val="en-US" w:eastAsia="zh-CN"/>
        </w:rPr>
        <w:t>。</w:t>
      </w:r>
    </w:p>
    <w:p>
      <w:pPr>
        <w:pStyle w:val="2"/>
        <w:rPr>
          <w:rFonts w:hint="default"/>
          <w:lang w:val="en-US" w:eastAsia="zh-CN"/>
        </w:rPr>
      </w:pPr>
      <w:r>
        <w:rPr>
          <w:rFonts w:hint="default"/>
          <w:lang w:val="en-US" w:eastAsia="zh-CN"/>
        </w:rPr>
        <w:t>多维度推理指标评估：从功能、性能、精度三个核心维度评估推理效果，生成量化指标，全面验证模型转换质量。</w:t>
      </w:r>
    </w:p>
    <w:p>
      <w:pPr>
        <w:pStyle w:val="2"/>
        <w:rPr>
          <w:rFonts w:hint="default"/>
          <w:lang w:val="en-US" w:eastAsia="zh-CN"/>
        </w:rPr>
      </w:pPr>
      <w:r>
        <w:rPr>
          <w:rFonts w:hint="default"/>
          <w:lang w:val="en-US" w:eastAsia="zh-CN"/>
        </w:rPr>
        <w:t>功能验证指标：评估模型在目标平台的推理可用性，核心指标包括推理成功率（成功推理的测试用例数/总测试用例数，目标≥99.5%）、模型加载成功率（成功加载模型的节点数/总节点数，目标100%）、无异常输出率（输出结果格式合法、无空值/NaN值的测试用例数/总测试用例数，目标≥99%）。若推理失败（如模型加载报错、推理超时），自动记录失败原因（如“显存不足”“算子执行错误”）与错误日志，便于定位转换或硬件问题。</w:t>
      </w:r>
    </w:p>
    <w:p>
      <w:pPr>
        <w:pStyle w:val="2"/>
        <w:rPr>
          <w:rFonts w:hint="default"/>
          <w:lang w:val="en-US" w:eastAsia="zh-CN"/>
        </w:rPr>
      </w:pPr>
      <w:r>
        <w:rPr>
          <w:rFonts w:hint="default"/>
          <w:lang w:val="en-US" w:eastAsia="zh-CN"/>
        </w:rPr>
        <w:t>性能测试指标：评估模型在目标平台的运行效率，核心指标包括：</w:t>
      </w:r>
    </w:p>
    <w:p>
      <w:pPr>
        <w:pStyle w:val="2"/>
        <w:rPr>
          <w:rFonts w:hint="default"/>
          <w:lang w:val="en-US" w:eastAsia="zh-CN"/>
        </w:rPr>
      </w:pPr>
      <w:r>
        <w:rPr>
          <w:rFonts w:hint="default"/>
          <w:lang w:val="en-US" w:eastAsia="zh-CN"/>
        </w:rPr>
        <w:t>推理延迟：单条测试用例从输入到输出的耗时，取100轮推理的平均值（排除首轮加载耗时），单位ms，不同平台延迟阈值不同（如英伟达RTX 4090目标检测模型延迟≤</w:t>
      </w:r>
      <w:r>
        <w:rPr>
          <w:rFonts w:hint="eastAsia"/>
          <w:lang w:val="en-US" w:eastAsia="zh-CN"/>
        </w:rPr>
        <w:t>300</w:t>
      </w:r>
      <w:r>
        <w:rPr>
          <w:rFonts w:hint="default"/>
          <w:lang w:val="en-US" w:eastAsia="zh-CN"/>
        </w:rPr>
        <w:t>ms，瑞芯微RK3588延迟≤</w:t>
      </w:r>
      <w:r>
        <w:rPr>
          <w:rFonts w:hint="eastAsia"/>
          <w:lang w:val="en-US" w:eastAsia="zh-CN"/>
        </w:rPr>
        <w:t>3</w:t>
      </w:r>
      <w:r>
        <w:rPr>
          <w:rFonts w:hint="default"/>
          <w:lang w:val="en-US" w:eastAsia="zh-CN"/>
        </w:rPr>
        <w:t>00ms）；</w:t>
      </w:r>
    </w:p>
    <w:p>
      <w:pPr>
        <w:pStyle w:val="2"/>
        <w:rPr>
          <w:rFonts w:hint="default"/>
          <w:lang w:val="en-US" w:eastAsia="zh-CN"/>
        </w:rPr>
      </w:pPr>
      <w:r>
        <w:rPr>
          <w:rFonts w:hint="default"/>
          <w:lang w:val="en-US" w:eastAsia="zh-CN"/>
        </w:rPr>
        <w:t>吞吐量（QPS）：单位时间内处理的测试用例数，计算公式为“batch size/平均推理延迟×1000”，用于评估模型的并发处理能力；</w:t>
      </w:r>
    </w:p>
    <w:p>
      <w:pPr>
        <w:pStyle w:val="2"/>
        <w:rPr>
          <w:rFonts w:hint="default"/>
          <w:lang w:val="en-US" w:eastAsia="zh-CN"/>
        </w:rPr>
      </w:pPr>
      <w:r>
        <w:rPr>
          <w:rFonts w:hint="default"/>
          <w:lang w:val="en-US" w:eastAsia="zh-CN"/>
        </w:rPr>
        <w:t>硬件资源占用：推理过程中CPU利用率、显存/NPU内存占用峰值、硬件功耗（仅边缘节点如RK3588），通过平台专用工具（nvidia-smi、npu-smi、rk-smi）实时采集。</w:t>
      </w:r>
    </w:p>
    <w:p>
      <w:pPr>
        <w:pStyle w:val="2"/>
        <w:rPr>
          <w:rFonts w:hint="default"/>
          <w:lang w:val="en-US" w:eastAsia="zh-CN"/>
        </w:rPr>
      </w:pPr>
      <w:r>
        <w:rPr>
          <w:rFonts w:hint="default"/>
          <w:lang w:val="en-US" w:eastAsia="zh-CN"/>
        </w:rPr>
        <w:t>精度对比指标：以英伟达RTX 4090平台（FP32精度）的推理结果为基准，计算其他平台的精度损失，核心指标按模型类型差异化设计：</w:t>
      </w:r>
    </w:p>
    <w:p>
      <w:pPr>
        <w:pStyle w:val="2"/>
        <w:rPr>
          <w:rFonts w:hint="default"/>
          <w:lang w:val="en-US" w:eastAsia="zh-CN"/>
        </w:rPr>
      </w:pPr>
      <w:r>
        <w:rPr>
          <w:rFonts w:hint="default"/>
          <w:lang w:val="en-US" w:eastAsia="zh-CN"/>
        </w:rPr>
        <w:t>目标检测模型：mAP（mean Average Precision）、Precision（精确率）、Recall（召回率），采用COCO评估标准计算；</w:t>
      </w:r>
    </w:p>
    <w:p>
      <w:pPr>
        <w:pStyle w:val="2"/>
        <w:rPr>
          <w:rFonts w:hint="default"/>
          <w:lang w:val="en-US" w:eastAsia="zh-CN"/>
        </w:rPr>
      </w:pPr>
      <w:r>
        <w:rPr>
          <w:rFonts w:hint="default"/>
          <w:lang w:val="en-US" w:eastAsia="zh-CN"/>
        </w:rPr>
        <w:t>目标分类模型：Top-1 Accuracy、Top-5 Accuracy，采用ImageNet评估标准计算；</w:t>
      </w:r>
    </w:p>
    <w:p>
      <w:pPr>
        <w:pStyle w:val="2"/>
        <w:rPr>
          <w:rFonts w:hint="default"/>
          <w:lang w:val="en-US" w:eastAsia="zh-CN"/>
        </w:rPr>
      </w:pPr>
      <w:r>
        <w:rPr>
          <w:rFonts w:hint="default"/>
          <w:lang w:val="en-US" w:eastAsia="zh-CN"/>
        </w:rPr>
        <w:t>自然语言大模型：GLUE Score（含CoLA、SST-2等子任务）、BLEU Score（生成式模型），采用Hugging Face评估库计算。</w:t>
      </w:r>
    </w:p>
    <w:p>
      <w:pPr>
        <w:pStyle w:val="2"/>
        <w:rPr>
          <w:rFonts w:hint="default"/>
          <w:lang w:val="en-US" w:eastAsia="zh-CN"/>
        </w:rPr>
      </w:pPr>
      <w:r>
        <w:rPr>
          <w:rFonts w:hint="default"/>
          <w:lang w:val="en-US" w:eastAsia="zh-CN"/>
        </w:rPr>
        <w:t>若精度损失超过预设阈值，自动标记为“精度异常”，并分析异常原因（如“INT8量化导致小目标检测精度下降”“算子替换导致注意力权重偏移”），提供优化建议（如“降低量化精度至FP16”“更换算子映射规则”）。</w:t>
      </w:r>
      <w:r>
        <w:rPr>
          <w:rFonts w:hint="eastAsia"/>
          <w:lang w:val="en-US" w:eastAsia="zh-CN"/>
        </w:rPr>
        <w:t>注意，本系统重点是设置精度损失阈值和提示，不包括精度损失性能指标提升。</w:t>
      </w:r>
    </w:p>
    <w:p>
      <w:pPr>
        <w:pStyle w:val="2"/>
        <w:rPr>
          <w:rFonts w:hint="default"/>
          <w:lang w:val="en-US" w:eastAsia="zh-CN"/>
        </w:rPr>
      </w:pPr>
      <w:r>
        <w:rPr>
          <w:rFonts w:hint="default"/>
          <w:lang w:val="en-US" w:eastAsia="zh-CN"/>
        </w:rPr>
        <w:t>自动化测试报告生成与追溯：推理测试完成后，自动生成标准化测试报告，支持在线查看、下载与问题追溯，为模型转换优化与验收提供依据。</w:t>
      </w:r>
    </w:p>
    <w:p>
      <w:pPr>
        <w:pStyle w:val="2"/>
        <w:rPr>
          <w:rFonts w:hint="default"/>
          <w:lang w:val="en-US" w:eastAsia="zh-CN"/>
        </w:rPr>
      </w:pPr>
      <w:r>
        <w:rPr>
          <w:rFonts w:hint="default"/>
          <w:lang w:val="en-US" w:eastAsia="zh-CN"/>
        </w:rPr>
        <w:t>报告内容与格式：报告包含测试概况（测试模型、目标平台、测试时间、测试人员、用例数量）、功能验证结果（各指标数值与达标情况，如“推理成功率99.8%，达标”）、性能数据图表（不同平台的推理延迟对比图、吞吐量趋势图、资源占用热力图）、精度对比详情（各指标基准值、测试值、损失率，异常指标标红）、问题汇总（推理失败/精度异常的用例列表、失败原因、优化建议）。报告支持HTML/PDF/Excel三种格式，HTML格式支持交互操作（如点击图表查看具体数值），PDF格式用于存档与验收，Excel格式用于数据导出与二次分析。</w:t>
      </w:r>
    </w:p>
    <w:p>
      <w:pPr>
        <w:pStyle w:val="2"/>
        <w:rPr>
          <w:rFonts w:hint="default"/>
          <w:lang w:val="en-US" w:eastAsia="zh-CN"/>
        </w:rPr>
      </w:pPr>
      <w:r>
        <w:rPr>
          <w:rFonts w:hint="default"/>
          <w:lang w:val="en-US" w:eastAsia="zh-CN"/>
        </w:rPr>
        <w:t>报告追溯与版本关联：报告自动关联模型版本（如“YOLOv8-V2.0”）、转换任务ID（如“task-20240520-001”）与测试用例版本，用户可通过模型版本或任务ID快速查询历史测试报告（默认保留90天），对比不同版本模型的测试结果（如“V2.0比V1.0在瑞芯微平台推理延迟降低20ms，mAP提升2%”）。报告中所有数据均关联原始测试日志，点击“查看日志”可跳转至对应的推理日志页面，查看详细操作记录与错误信息，便于问题定位。</w:t>
      </w:r>
    </w:p>
    <w:p>
      <w:pPr>
        <w:numPr>
          <w:ilvl w:val="2"/>
          <w:numId w:val="1"/>
        </w:numPr>
        <w:tabs>
          <w:tab w:val="left" w:pos="0"/>
        </w:tabs>
        <w:ind w:left="1508" w:leftChars="0" w:hanging="708" w:firstLineChars="0"/>
        <w:outlineLvl w:val="2"/>
      </w:pPr>
      <w:bookmarkStart w:id="44" w:name="_Toc425971061"/>
      <w:r>
        <w:rPr>
          <w:rFonts w:hint="eastAsia"/>
        </w:rPr>
        <w:t>技术</w:t>
      </w:r>
      <w:r>
        <w:rPr>
          <w:rFonts w:hint="eastAsia" w:ascii="楷体_GB2312" w:hAnsi="楷体_GB2312" w:eastAsia="楷体_GB2312" w:cs="楷体_GB2312"/>
          <w:sz w:val="32"/>
          <w:szCs w:val="32"/>
          <w:lang w:val="en-US" w:eastAsia="zh-CN"/>
        </w:rPr>
        <w:t>实现</w:t>
      </w:r>
      <w:r>
        <w:rPr>
          <w:rFonts w:hint="eastAsia"/>
        </w:rPr>
        <w:t>方案</w:t>
      </w:r>
      <w:r>
        <w:rPr>
          <w:rFonts w:hint="eastAsia"/>
          <w:lang w:eastAsia="zh-CN"/>
        </w:rPr>
        <w:t>：高可靠、自动化的测试架构</w:t>
      </w:r>
      <w:bookmarkEnd w:id="44"/>
    </w:p>
    <w:p>
      <w:pPr>
        <w:pStyle w:val="2"/>
        <w:ind w:left="0" w:leftChars="0" w:firstLine="420" w:firstLineChars="0"/>
        <w:rPr>
          <w:rFonts w:hint="eastAsia"/>
        </w:rPr>
      </w:pPr>
      <w:r>
        <w:rPr>
          <w:rFonts w:hint="eastAsia"/>
        </w:rPr>
        <w:t>围绕“4类平台真机验证、20类模型全量测试”核心需求，采用“分布式调度+插件化适配+自动化评估”技术架构，从测试用例管理、推理执行、指标评估、异常处理四大维度构建技术体系，解决多平台环境差异、大规模测试效率低、精度评估复杂等问题，确保推理测试结果精准匹配试验场内场调试机的部署需求。</w:t>
      </w:r>
    </w:p>
    <w:p>
      <w:pPr>
        <w:pStyle w:val="2"/>
        <w:ind w:left="0" w:leftChars="0" w:firstLine="420" w:firstLineChars="0"/>
        <w:rPr>
          <w:rFonts w:hint="eastAsia"/>
          <w:lang w:eastAsia="zh-CN"/>
        </w:rPr>
      </w:pPr>
      <w:r>
        <w:rPr>
          <w:rFonts w:hint="eastAsia"/>
          <w:lang w:eastAsia="zh-CN"/>
        </w:rPr>
        <w:t>采用“分布式调度+平台插件化+自动化评估”架构，解决多平台适配与大规模测试效率问题，确保验证结果精准可靠。</w:t>
      </w:r>
    </w:p>
    <w:p>
      <w:pPr>
        <w:pStyle w:val="2"/>
        <w:ind w:left="0" w:leftChars="0" w:firstLine="420" w:firstLineChars="0"/>
        <w:rPr>
          <w:rFonts w:hint="eastAsia"/>
          <w:lang w:eastAsia="zh-CN"/>
        </w:rPr>
      </w:pPr>
      <w:r>
        <w:rPr>
          <w:rFonts w:hint="eastAsia"/>
          <w:lang w:eastAsia="zh-CN"/>
        </w:rPr>
        <w:t>测试用例管理实现：采用“MinIO存储+MySQL索引”架构，测试数据按“模型类型/测试场景”路径存储于MinIO，元数据（用例ID、存储路径、标签）存入MySQL并建立联合索引，查询耗时≤</w:t>
      </w:r>
      <w:r>
        <w:rPr>
          <w:rFonts w:hint="eastAsia"/>
          <w:lang w:val="en-US" w:eastAsia="zh-CN"/>
        </w:rPr>
        <w:t>20</w:t>
      </w:r>
      <w:r>
        <w:rPr>
          <w:rFonts w:hint="eastAsia"/>
          <w:lang w:eastAsia="zh-CN"/>
        </w:rPr>
        <w:t>0ms。自动生成工具基于OpenCV（图像）、Jinja2模板（文本）开发，支持后台异步生成，生成后自动上传并创建索引。</w:t>
      </w:r>
    </w:p>
    <w:p>
      <w:pPr>
        <w:pStyle w:val="2"/>
        <w:ind w:left="0" w:leftChars="0" w:firstLine="420" w:firstLineChars="0"/>
        <w:rPr>
          <w:rFonts w:hint="eastAsia"/>
          <w:lang w:eastAsia="zh-CN"/>
        </w:rPr>
      </w:pPr>
      <w:r>
        <w:rPr>
          <w:rFonts w:hint="eastAsia"/>
          <w:lang w:eastAsia="zh-CN"/>
        </w:rPr>
        <w:t>推理执行架构：以RabbitMQ构建调度中心，</w:t>
      </w:r>
      <w:r>
        <w:rPr>
          <w:rFonts w:hint="eastAsia"/>
          <w:lang w:val="en-US" w:eastAsia="zh-CN"/>
        </w:rPr>
        <w:t>手动选择</w:t>
      </w:r>
      <w:r>
        <w:rPr>
          <w:rFonts w:hint="eastAsia"/>
          <w:lang w:eastAsia="zh-CN"/>
        </w:rPr>
        <w:t>节点分配任务。为4类平台开发专用插件：华为昇腾基于CANN SDK封装OM模型推理逻辑，瑞芯微调用RKNN Toolkit实现RKNN模型加载与推理，英伟达通过TensorRT API优化执行效率，寒武纪依托MagicMind SDK适配CNModel格式，插件支持动态加载，新增平台无需修改核心代码。</w:t>
      </w:r>
    </w:p>
    <w:p>
      <w:pPr>
        <w:pStyle w:val="2"/>
        <w:ind w:left="0" w:leftChars="0" w:firstLine="420" w:firstLineChars="0"/>
        <w:rPr>
          <w:rFonts w:hint="eastAsia"/>
          <w:lang w:eastAsia="zh-CN"/>
        </w:rPr>
      </w:pPr>
      <w:r>
        <w:rPr>
          <w:rFonts w:hint="eastAsia"/>
          <w:lang w:eastAsia="zh-CN"/>
        </w:rPr>
        <w:t>指标评估与报告生成：集成行业标准评估算法（如COCOEvaluator计算mAP、Hugging Face库计算GLUE Score），自动对比基准数据计算精度损失。报告基于模板驱动生成，调用ECharts绘制性能对比图表，支持在线查看与导出，关键数据关联原始推理日志，点击可跳转查看详细错误信息（如算子执行报错日志）。</w:t>
      </w:r>
    </w:p>
    <w:p>
      <w:pPr>
        <w:numPr>
          <w:ilvl w:val="1"/>
          <w:numId w:val="1"/>
        </w:numPr>
        <w:tabs>
          <w:tab w:val="left" w:pos="0"/>
        </w:tabs>
        <w:ind w:left="850" w:leftChars="0" w:hanging="453" w:firstLineChars="0"/>
        <w:outlineLvl w:val="1"/>
        <w:rPr>
          <w:rFonts w:hint="eastAsia" w:ascii="楷体_GB2312" w:hAnsi="楷体_GB2312" w:eastAsia="楷体_GB2312" w:cs="楷体_GB2312"/>
          <w:sz w:val="32"/>
          <w:szCs w:val="32"/>
          <w:lang w:val="en-US" w:eastAsia="zh-CN"/>
        </w:rPr>
      </w:pPr>
      <w:bookmarkStart w:id="45" w:name="_Toc1732626776"/>
      <w:r>
        <w:rPr>
          <w:rFonts w:hint="eastAsia" w:ascii="楷体_GB2312" w:hAnsi="楷体_GB2312" w:eastAsia="楷体_GB2312" w:cs="楷体_GB2312"/>
          <w:sz w:val="32"/>
          <w:szCs w:val="32"/>
          <w:lang w:val="en-US" w:eastAsia="zh-CN"/>
        </w:rPr>
        <w:t>任务监控模块</w:t>
      </w:r>
      <w:bookmarkEnd w:id="45"/>
    </w:p>
    <w:p>
      <w:pPr>
        <w:pStyle w:val="2"/>
      </w:pPr>
      <w:r>
        <w:rPr>
          <w:rFonts w:hint="eastAsia"/>
        </w:rPr>
        <w:t>任务监控模块作为系统运行状态的“可视化中枢”，需实现“全类型任务跟踪、多维度状态监控、异常实时告警、操作可追溯”，覆盖模型上传、格式转换、推理测试等全流程任务，帮助试验场技术人员实时掌握任务进度、快速定位异常问题，确保系统在多任务并发场景下稳定可控。</w:t>
      </w:r>
    </w:p>
    <w:p>
      <w:pPr>
        <w:numPr>
          <w:ilvl w:val="2"/>
          <w:numId w:val="1"/>
        </w:numPr>
        <w:tabs>
          <w:tab w:val="left" w:pos="0"/>
        </w:tabs>
        <w:ind w:left="1508" w:leftChars="0" w:hanging="708" w:firstLineChars="0"/>
        <w:outlineLvl w:val="2"/>
      </w:pPr>
      <w:bookmarkStart w:id="46" w:name="_Toc379970912"/>
      <w:r>
        <w:rPr>
          <w:rFonts w:hint="eastAsia" w:ascii="楷体_GB2312" w:hAnsi="楷体_GB2312" w:eastAsia="楷体_GB2312" w:cs="楷体_GB2312"/>
          <w:sz w:val="32"/>
          <w:szCs w:val="32"/>
          <w:lang w:val="en-US" w:eastAsia="zh-CN"/>
        </w:rPr>
        <w:t>功能</w:t>
      </w:r>
      <w:r>
        <w:rPr>
          <w:rFonts w:hint="eastAsia"/>
        </w:rPr>
        <w:t>描述</w:t>
      </w:r>
      <w:bookmarkEnd w:id="46"/>
    </w:p>
    <w:p>
      <w:pPr>
        <w:pStyle w:val="2"/>
        <w:rPr>
          <w:rFonts w:hint="eastAsia"/>
        </w:rPr>
      </w:pPr>
      <w:r>
        <w:rPr>
          <w:rFonts w:hint="eastAsia"/>
        </w:rPr>
        <w:t>围绕“实时性、全面性、可操作性”核心目标，构建任务全生命周期监控体系，覆盖任务可视化、状态追踪、异常告警、操作管理四大核心能力，适配试验场多用户、多任务并行的使用场景。</w:t>
      </w:r>
    </w:p>
    <w:p>
      <w:pPr>
        <w:pStyle w:val="2"/>
        <w:rPr>
          <w:rFonts w:hint="eastAsia"/>
        </w:rPr>
      </w:pPr>
      <w:r>
        <w:rPr>
          <w:rFonts w:hint="eastAsia"/>
        </w:rPr>
        <w:t>全类型任务可视化展示：支持模型上传、格式转换、推理测试等所有系统任务的统一展示，以列表视图呈现任务核心信息，包括任务ID（UUID唯一标识）、任务名称（如“YOLOv8-华为昇腾转换”）、任务类型（模型上传/格式转换/推理测试）、提交人、提交时间、当前状态（等待中/处理中/成功/失败）、关联资源（如涉及的模型ID、目标平台）。支持按任务类型（如仅查看“格式转换”任务）、状态（如筛选“失败”任务）、时间范围（今日/昨日/近7天/自定义）、提交人多维度筛选，列表支持分页（每页10/20/50条可选）与排序（按提交时间降序/进度升序），单页加载耗时≤300ms。</w:t>
      </w:r>
    </w:p>
    <w:p>
      <w:pPr>
        <w:pStyle w:val="2"/>
        <w:rPr>
          <w:rFonts w:hint="eastAsia"/>
        </w:rPr>
      </w:pPr>
      <w:r>
        <w:rPr>
          <w:rFonts w:hint="eastAsia"/>
        </w:rPr>
        <w:t>任务状态实时追踪：针对处理中任务，实时更新</w:t>
      </w:r>
      <w:r>
        <w:rPr>
          <w:rFonts w:hint="eastAsia"/>
          <w:lang w:val="en-US" w:eastAsia="zh-CN"/>
        </w:rPr>
        <w:t>状态</w:t>
      </w:r>
      <w:r>
        <w:rPr>
          <w:rFonts w:hint="eastAsia"/>
        </w:rPr>
        <w:t>与执行细节：标注当前执行阶段（如格式转换任务标注“ONNX格式解析中”“目标平台插件加载中”）；点击任务条目可展开详情面板，查看任务参数（如转换任务的目标平台、精度模式，推理测试的用例数量）、执行日志（按时间顺序记录关键操作，如“2024-05-20</w:t>
      </w:r>
      <w:r>
        <w:rPr>
          <w:rFonts w:hint="eastAsia"/>
          <w:lang w:val="en-US" w:eastAsia="zh-CN"/>
        </w:rPr>
        <w:t xml:space="preserve"> </w:t>
      </w:r>
      <w:r>
        <w:rPr>
          <w:rFonts w:hint="eastAsia"/>
        </w:rPr>
        <w:t>14:30:00模型解析完成，耗时15s”“2024-05-20 14:32:00开始INT8量化”）、资源占用（如CPU/内存/显存实时利用率，仅推理/转换任务展示），日志支持关键词搜索（如搜索“错误”快速定位异常节点）。</w:t>
      </w:r>
    </w:p>
    <w:p>
      <w:pPr>
        <w:pStyle w:val="2"/>
        <w:rPr>
          <w:rFonts w:hint="eastAsia"/>
        </w:rPr>
      </w:pPr>
      <w:r>
        <w:rPr>
          <w:rFonts w:hint="eastAsia"/>
        </w:rPr>
        <w:t>异常实时告警与处理：当任务出现异常（如转换失败、推理超时、硬件节点离线）时，系统立即触发告警：前端界面弹出红色告警弹窗，显示任务ID、异常类型（如“算子不兼容”“显存溢出”）与简要原因；同时在任务列表中用红色标识异常任务，标注“异常”标签。提供快速处理入口：点击告警弹窗的“查看详情”可跳转至任务详情面板，点击“重试任务”可沿用原参数重新提交（失败任务专属），告警响应时间≤</w:t>
      </w:r>
      <w:r>
        <w:rPr>
          <w:rFonts w:hint="eastAsia"/>
          <w:lang w:val="en-US" w:eastAsia="zh-CN"/>
        </w:rPr>
        <w:t>3</w:t>
      </w:r>
      <w:r>
        <w:rPr>
          <w:rFonts w:hint="eastAsia"/>
        </w:rPr>
        <w:t>s。</w:t>
      </w:r>
    </w:p>
    <w:p>
      <w:pPr>
        <w:pStyle w:val="2"/>
        <w:rPr>
          <w:rFonts w:hint="eastAsia"/>
        </w:rPr>
      </w:pPr>
      <w:r>
        <w:rPr>
          <w:rFonts w:hint="eastAsia"/>
        </w:rPr>
        <w:t>任务操作与管理：支持任务全生命周期操作，满足灵活管控需求：处理中任务支持“暂停”（保留当前进度，恢复时从断点继续）与“取消”（释放占用资源，删除临时文件），暂停/取消操作实时生效；成功任务支持“查看结果”（如跳转至转换后模型下载页、推理测试报告页）与“重新执行”（基于原参数生成新任务）；失败任务支持“查看日志”（定位失败原因）与“参数修改后重试”（跳转至参数配置页，保留原配置便于调整）。同时支持批量操作（如选中多个等待中任务批量取消、批量导出任务日志），提升管理效率。</w:t>
      </w:r>
    </w:p>
    <w:p>
      <w:pPr>
        <w:numPr>
          <w:ilvl w:val="2"/>
          <w:numId w:val="1"/>
        </w:numPr>
        <w:tabs>
          <w:tab w:val="left" w:pos="0"/>
        </w:tabs>
        <w:ind w:left="1508" w:leftChars="0" w:hanging="708" w:firstLineChars="0"/>
        <w:outlineLvl w:val="2"/>
        <w:rPr>
          <w:rFonts w:hint="eastAsia"/>
        </w:rPr>
      </w:pPr>
      <w:bookmarkStart w:id="47" w:name="_Toc1702235453"/>
      <w:r>
        <w:rPr>
          <w:rFonts w:hint="eastAsia"/>
        </w:rPr>
        <w:t>技术实现</w:t>
      </w:r>
      <w:r>
        <w:rPr>
          <w:rFonts w:hint="eastAsia"/>
          <w:lang w:val="en-US" w:eastAsia="zh-CN"/>
        </w:rPr>
        <w:t>方案</w:t>
      </w:r>
      <w:r>
        <w:rPr>
          <w:rFonts w:hint="eastAsia"/>
        </w:rPr>
        <w:t>​</w:t>
      </w:r>
      <w:bookmarkEnd w:id="47"/>
    </w:p>
    <w:p>
      <w:pPr>
        <w:pStyle w:val="2"/>
        <w:rPr>
          <w:rFonts w:hint="eastAsia"/>
        </w:rPr>
      </w:pPr>
      <w:r>
        <w:rPr>
          <w:rFonts w:hint="eastAsia"/>
        </w:rPr>
        <w:t>基于“前端实时交互+后端状态同步+分布式日志采集”技术架构，实现任务监控的实时性、准确性与可扩展性，适配系统多模块协同与多平台部署需求。</w:t>
      </w:r>
    </w:p>
    <w:p>
      <w:pPr>
        <w:pStyle w:val="2"/>
        <w:rPr>
          <w:rFonts w:hint="eastAsia"/>
        </w:rPr>
      </w:pPr>
      <w:r>
        <w:rPr>
          <w:rFonts w:hint="eastAsia"/>
        </w:rPr>
        <w:t>前端交互层实现：采用Vue3+Element Plus构建响应式监控界面，通过WebSocket</w:t>
      </w:r>
      <w:r>
        <w:rPr>
          <w:rFonts w:hint="eastAsia"/>
          <w:lang w:val="en-US" w:eastAsia="zh-CN"/>
        </w:rPr>
        <w:t>或者前段轮询方式</w:t>
      </w:r>
      <w:r>
        <w:rPr>
          <w:rFonts w:hint="eastAsia"/>
        </w:rPr>
        <w:t>实现任务状态实时更新，避免页面刷新。任务列表基于虚拟滚动列表实现，支持万级任务数据流畅加载，解决大规模任务场景下的界面卡顿问题；进度条与状态标签采用动态样式绑定，处理中任务进度条展示动画效果，异常任务标签自动闪烁提示；详情面板采用折叠面板组件，默认折叠核心信息，点击展开详细日志与资源监控图表（基于ECharts绘制CPU/内存利用率趋势图），日志展示支持代码高亮（突出错误信息）与分页加载（每50条日志一页），提升可读性。</w:t>
      </w:r>
    </w:p>
    <w:p>
      <w:pPr>
        <w:pStyle w:val="2"/>
        <w:rPr>
          <w:rFonts w:hint="eastAsia"/>
        </w:rPr>
      </w:pPr>
      <w:r>
        <w:rPr>
          <w:rFonts w:hint="eastAsia"/>
        </w:rPr>
        <w:t>后端状态管理与同步：基于</w:t>
      </w:r>
      <w:r>
        <w:rPr>
          <w:rFonts w:hint="eastAsia"/>
          <w:lang w:val="en-US" w:eastAsia="zh-CN"/>
        </w:rPr>
        <w:t>常见Rest框架</w:t>
      </w:r>
      <w:r>
        <w:rPr>
          <w:rFonts w:hint="eastAsia"/>
        </w:rPr>
        <w:t>+Redis+MySQL构建任务状态管理体系：MySQL的“task_status”表存储任务基础状态（如等待中/成功/失败）与核心参数，建立“任务ID”主键索引与“状态+提交时间”联合索引，确保状态查询耗时≤</w:t>
      </w:r>
      <w:r>
        <w:rPr>
          <w:rFonts w:hint="eastAsia"/>
          <w:lang w:val="en-US" w:eastAsia="zh-CN"/>
        </w:rPr>
        <w:t>20</w:t>
      </w:r>
      <w:r>
        <w:rPr>
          <w:rFonts w:hint="eastAsia"/>
        </w:rPr>
        <w:t>0ms；Redis缓存处理中任务的实时进度（如“task:123:progress”存储进度百分比）与执行阶段（如“task:123:step”存储当前阶段），采用Hash数据结构存储多维度状态信息，支持单独更新某一字段（如仅更新进度，无需重新写入完整状态）；后端服务通过RabbitMQ接收各业务模块（模型管理、转换系统、推理测试）的任务状态变更通知，同步更新MySQL与Redis数据，并通过WebSocket向前端推送状态更新消息，状态同步延迟≤</w:t>
      </w:r>
      <w:r>
        <w:rPr>
          <w:rFonts w:hint="eastAsia"/>
          <w:lang w:val="en-US" w:eastAsia="zh-CN"/>
        </w:rPr>
        <w:t>3</w:t>
      </w:r>
      <w:r>
        <w:rPr>
          <w:rFonts w:hint="eastAsia"/>
        </w:rPr>
        <w:t>s。</w:t>
      </w:r>
    </w:p>
    <w:p>
      <w:pPr>
        <w:pStyle w:val="2"/>
        <w:rPr>
          <w:rFonts w:hint="eastAsia"/>
        </w:rPr>
      </w:pPr>
      <w:r>
        <w:rPr>
          <w:rFonts w:hint="eastAsia"/>
        </w:rPr>
        <w:t>分布式日志采集与展示：采用ELK（Elasticsearch+Logstash+Kibana）架构实现任务日志的分布式采集与检索：各业务模块（如转换系统、推理模块）将任务执行日志通过Logstash输出至Elasticsearch，按“任务ID”分片存储，建立“任务ID+时间戳”索引，确保日志查询耗时≤</w:t>
      </w:r>
      <w:r>
        <w:rPr>
          <w:rFonts w:hint="eastAsia"/>
          <w:lang w:val="en-US" w:eastAsia="zh-CN"/>
        </w:rPr>
        <w:t>3</w:t>
      </w:r>
      <w:r>
        <w:rPr>
          <w:rFonts w:hint="eastAsia"/>
        </w:rPr>
        <w:t>秒；前端日志查看功能通过调用Elasticsearch REST API实现日志检索，支持关键词模糊查询、时间范围筛选与日志级别过滤（DEBUG/INFO/WARN/ERROR），日志展示采用分页加载与滚动加载结合方式，避免大量日志数据一次性渲染导致的界面卡顿。</w:t>
      </w:r>
    </w:p>
    <w:p>
      <w:pPr>
        <w:pStyle w:val="2"/>
        <w:rPr>
          <w:rFonts w:hint="eastAsia"/>
        </w:rPr>
      </w:pPr>
      <w:r>
        <w:rPr>
          <w:rFonts w:hint="eastAsia"/>
        </w:rPr>
        <w:t>异常告警机制实现：基于“规则触发+多渠道通知”设计异常告警系统：在MySQL中配置告警规则（如“推理超时＞300s触发二级告警”“硬件节点离线触发一级告警”），后端定时任务（基于XXL-Job）轮询任务状态与硬件节点状态，匹配告警规则后生成告警事件；一级告警通过JavaMail组件发送邮件通知（调用试验场邮件服务器，包含任务详情与处理建议链接），二级告警通过WebSocket推送至前端界面；所有告警事件存储于MySQL的“alarm_record”表，记录告警ID、任务ID、告警类型、处理状态（未处理/已处理）、处理人、处理时间，支持告警历史查询与统计分析，便于系统运维优化。</w:t>
      </w:r>
    </w:p>
    <w:p>
      <w:pPr>
        <w:numPr>
          <w:ilvl w:val="0"/>
          <w:numId w:val="1"/>
        </w:numPr>
        <w:tabs>
          <w:tab w:val="left" w:pos="0"/>
        </w:tabs>
        <w:ind w:left="425" w:leftChars="0" w:hanging="425" w:firstLineChars="0"/>
        <w:outlineLvl w:val="0"/>
        <w:rPr>
          <w:rFonts w:hint="eastAsia" w:ascii="黑体" w:hAnsi="黑体" w:eastAsia="黑体"/>
          <w:sz w:val="32"/>
          <w:szCs w:val="32"/>
        </w:rPr>
      </w:pPr>
      <w:bookmarkStart w:id="48" w:name="_Toc1222853764"/>
      <w:bookmarkStart w:id="49" w:name="_Toc694113237"/>
      <w:bookmarkStart w:id="50" w:name="_Toc198653973"/>
      <w:bookmarkStart w:id="51" w:name="_Toc372529531"/>
      <w:r>
        <w:rPr>
          <w:rFonts w:hint="eastAsia" w:ascii="楷体_GB2312" w:hAnsi="楷体_GB2312" w:eastAsia="楷体_GB2312" w:cs="楷体_GB2312"/>
          <w:sz w:val="32"/>
          <w:szCs w:val="32"/>
          <w:lang w:val="en-US" w:eastAsia="zh-CN"/>
        </w:rPr>
        <w:t>工作</w:t>
      </w:r>
      <w:r>
        <w:rPr>
          <w:rFonts w:hint="eastAsia" w:ascii="黑体" w:hAnsi="黑体" w:eastAsia="黑体"/>
          <w:sz w:val="32"/>
          <w:szCs w:val="32"/>
        </w:rPr>
        <w:t>内容</w:t>
      </w:r>
      <w:bookmarkEnd w:id="48"/>
      <w:bookmarkEnd w:id="49"/>
      <w:bookmarkEnd w:id="50"/>
    </w:p>
    <w:p>
      <w:pPr>
        <w:ind w:firstLine="552"/>
        <w:jc w:val="left"/>
      </w:pPr>
      <w:r>
        <w:rPr>
          <w:rFonts w:hint="eastAsia"/>
        </w:rPr>
        <w:t>基于“试验场调试机内嵌软件”的项目背景，结合“跨平台格式转化、模型可视化”功能指标及“20类模型+4类平台”性能</w:t>
      </w:r>
      <w:r>
        <w:rPr>
          <w:rFonts w:hint="eastAsia"/>
          <w:lang w:val="en-US" w:eastAsia="zh-CN"/>
        </w:rPr>
        <w:t>指标</w:t>
      </w:r>
      <w:r>
        <w:rPr>
          <w:rFonts w:hint="eastAsia"/>
        </w:rPr>
        <w:t>要求，项目工作内容按全周期</w:t>
      </w:r>
      <w:r>
        <w:rPr>
          <w:rFonts w:hint="eastAsia"/>
          <w:lang w:val="en-US" w:eastAsia="zh-CN"/>
        </w:rPr>
        <w:t>顺序</w:t>
      </w:r>
      <w:r>
        <w:rPr>
          <w:rFonts w:hint="eastAsia"/>
        </w:rPr>
        <w:t>划分为</w:t>
      </w:r>
      <w:r>
        <w:rPr>
          <w:rFonts w:hint="eastAsia"/>
          <w:lang w:val="en-US" w:eastAsia="zh-CN"/>
        </w:rPr>
        <w:t>如下工作项</w:t>
      </w:r>
      <w:r>
        <w:rPr>
          <w:rFonts w:hint="eastAsia"/>
        </w:rPr>
        <w:t>：</w:t>
      </w:r>
    </w:p>
    <w:p>
      <w:pPr>
        <w:numPr>
          <w:ilvl w:val="1"/>
          <w:numId w:val="1"/>
        </w:numPr>
        <w:tabs>
          <w:tab w:val="left" w:pos="0"/>
        </w:tabs>
        <w:ind w:left="850" w:leftChars="0" w:hanging="453" w:firstLineChars="0"/>
        <w:outlineLvl w:val="1"/>
        <w:rPr>
          <w:sz w:val="32"/>
          <w:szCs w:val="32"/>
        </w:rPr>
      </w:pPr>
      <w:bookmarkStart w:id="52" w:name="_Toc830003755"/>
      <w:r>
        <w:rPr>
          <w:rFonts w:hint="eastAsia" w:ascii="楷体_GB2312" w:hAnsi="楷体_GB2312" w:eastAsia="楷体_GB2312" w:cs="楷体_GB2312"/>
          <w:sz w:val="32"/>
          <w:szCs w:val="32"/>
          <w:lang w:val="en-US" w:eastAsia="zh-CN"/>
        </w:rPr>
        <w:t>需求</w:t>
      </w:r>
      <w:r>
        <w:rPr>
          <w:rFonts w:hint="eastAsia"/>
          <w:sz w:val="32"/>
          <w:szCs w:val="32"/>
        </w:rPr>
        <w:t>深度调研与确认</w:t>
      </w:r>
      <w:bookmarkEnd w:id="52"/>
    </w:p>
    <w:p>
      <w:pPr>
        <w:ind w:firstLine="552"/>
      </w:pPr>
      <w:r>
        <w:rPr>
          <w:rFonts w:hint="eastAsia"/>
        </w:rPr>
        <w:t>对接试验场甲方，明确调试机硬件环境（如操作系统、算力配置）、需适配的20类智能模型清单（目标检测/分类/跟踪/NLP大模型具体型号）及4类平台（华为/瑞星微/英伟达/寒武纪）的技术参数；确认模型可视化需求细节（如是否需展示层参数、拓扑图交互功能），输出《需求规格说明书》并经甲方签字确认。</w:t>
      </w:r>
    </w:p>
    <w:p>
      <w:pPr>
        <w:numPr>
          <w:ilvl w:val="1"/>
          <w:numId w:val="1"/>
        </w:numPr>
        <w:tabs>
          <w:tab w:val="left" w:pos="0"/>
        </w:tabs>
        <w:ind w:left="850" w:leftChars="0" w:hanging="453" w:firstLineChars="0"/>
        <w:outlineLvl w:val="1"/>
        <w:rPr>
          <w:sz w:val="32"/>
          <w:szCs w:val="32"/>
        </w:rPr>
      </w:pPr>
      <w:bookmarkStart w:id="53" w:name="_Toc1966823020"/>
      <w:r>
        <w:rPr>
          <w:rFonts w:hint="eastAsia" w:ascii="楷体_GB2312" w:hAnsi="楷体_GB2312" w:eastAsia="楷体_GB2312" w:cs="楷体_GB2312"/>
          <w:sz w:val="32"/>
          <w:szCs w:val="32"/>
          <w:lang w:val="en-US" w:eastAsia="zh-CN"/>
        </w:rPr>
        <w:t>资源</w:t>
      </w:r>
      <w:r>
        <w:rPr>
          <w:rFonts w:hint="eastAsia"/>
          <w:sz w:val="32"/>
          <w:szCs w:val="32"/>
        </w:rPr>
        <w:t>与环境搭建</w:t>
      </w:r>
      <w:bookmarkEnd w:id="53"/>
    </w:p>
    <w:p>
      <w:pPr>
        <w:ind w:firstLine="552"/>
      </w:pPr>
      <w:r>
        <w:rPr>
          <w:rFonts w:hint="eastAsia"/>
        </w:rPr>
        <w:t>租赁4类平台硬件设备（华为昇腾、瑞星微、英伟达Jetson、寒武纪思元</w:t>
      </w:r>
      <w:r>
        <w:rPr>
          <w:rFonts w:hint="eastAsia"/>
          <w:lang w:eastAsia="zh-CN"/>
        </w:rPr>
        <w:t>）</w:t>
      </w:r>
      <w:r>
        <w:rPr>
          <w:rFonts w:hint="eastAsia"/>
        </w:rPr>
        <w:t>，搭建真机测试环境；收集20类模型原生文件（</w:t>
      </w:r>
      <w:r>
        <w:rPr>
          <w:rFonts w:hint="eastAsia"/>
          <w:lang w:val="en-US" w:eastAsia="zh-CN"/>
        </w:rPr>
        <w:t>例如</w:t>
      </w:r>
      <w:r>
        <w:rPr>
          <w:rFonts w:hint="eastAsia"/>
        </w:rPr>
        <w:t>ONNX/TensorFlow/PyTorch格式）及标准测试数据集（</w:t>
      </w:r>
      <w:r>
        <w:rPr>
          <w:rFonts w:hint="eastAsia"/>
          <w:lang w:val="en-US" w:eastAsia="zh-CN"/>
        </w:rPr>
        <w:t>例如</w:t>
      </w:r>
      <w:r>
        <w:rPr>
          <w:rFonts w:hint="eastAsia"/>
        </w:rPr>
        <w:t>COCO/ImageNet等），建立“模型测试库”</w:t>
      </w:r>
      <w:r>
        <w:rPr>
          <w:rFonts w:hint="eastAsia"/>
          <w:lang w:eastAsia="zh-CN"/>
        </w:rPr>
        <w:t>；部署开发工具链（华为昇腾CANN SDK等）</w:t>
      </w:r>
      <w:r>
        <w:rPr>
          <w:rFonts w:hint="eastAsia"/>
        </w:rPr>
        <w:t>。</w:t>
      </w:r>
    </w:p>
    <w:p>
      <w:pPr>
        <w:numPr>
          <w:ilvl w:val="1"/>
          <w:numId w:val="1"/>
        </w:numPr>
        <w:tabs>
          <w:tab w:val="left" w:pos="0"/>
        </w:tabs>
        <w:ind w:left="850" w:leftChars="0" w:hanging="453" w:firstLineChars="0"/>
        <w:outlineLvl w:val="1"/>
        <w:rPr>
          <w:sz w:val="32"/>
          <w:szCs w:val="32"/>
        </w:rPr>
      </w:pPr>
      <w:bookmarkStart w:id="54" w:name="_Toc178718869"/>
      <w:r>
        <w:rPr>
          <w:rFonts w:hint="eastAsia"/>
          <w:sz w:val="32"/>
          <w:szCs w:val="32"/>
        </w:rPr>
        <w:t>软件架构与模块开发</w:t>
      </w:r>
      <w:bookmarkEnd w:id="54"/>
    </w:p>
    <w:p>
      <w:pPr>
        <w:ind w:firstLine="552"/>
        <w:rPr>
          <w:rFonts w:hint="eastAsia"/>
        </w:rPr>
      </w:pPr>
      <w:r>
        <w:rPr>
          <w:rFonts w:hint="eastAsia"/>
        </w:rPr>
        <w:t>设计“数据输入层-核心处理层-输出与交互层”三层架构，完成模块拆分与接口定义；</w:t>
      </w:r>
    </w:p>
    <w:p>
      <w:pPr>
        <w:ind w:firstLine="552"/>
        <w:rPr>
          <w:rFonts w:hint="eastAsia"/>
        </w:rPr>
      </w:pPr>
      <w:r>
        <w:rPr>
          <w:rFonts w:hint="eastAsia"/>
        </w:rPr>
        <w:t>数据输入层开发：实现模型文件解析引擎（支持多格式导入）、平台参数配置功能，确保可读取20类模型原生格式；​</w:t>
      </w:r>
    </w:p>
    <w:p>
      <w:pPr>
        <w:ind w:firstLine="552"/>
        <w:rPr>
          <w:rFonts w:hint="eastAsia"/>
        </w:rPr>
      </w:pPr>
      <w:r>
        <w:rPr>
          <w:rFonts w:hint="eastAsia"/>
        </w:rPr>
        <w:t>核心处理层开发：​</w:t>
      </w:r>
    </w:p>
    <w:p>
      <w:pPr>
        <w:ind w:firstLine="552"/>
        <w:rPr>
          <w:rFonts w:hint="eastAsia"/>
        </w:rPr>
      </w:pPr>
      <w:r>
        <w:rPr>
          <w:rFonts w:hint="eastAsia"/>
        </w:rPr>
        <w:t>格式转化模块：开发跨平台转化核心，针对4类平台分别开发插件，实现“原生格式→ONNX→目标平台格式”转化，适配20类模型的算子映射与量化（INT8/FP16）；​</w:t>
      </w:r>
    </w:p>
    <w:p>
      <w:pPr>
        <w:ind w:firstLine="552"/>
        <w:rPr>
          <w:rFonts w:hint="eastAsia"/>
        </w:rPr>
      </w:pPr>
      <w:r>
        <w:rPr>
          <w:rFonts w:hint="eastAsia"/>
        </w:rPr>
        <w:t>可视化模块：开发模型拓扑解析逻辑，客户端可视化界面、D3.js实现网页端交互（支持节点缩放/拖拽、层参数查看），确保20类模型网络结构可展示；​</w:t>
      </w:r>
    </w:p>
    <w:p>
      <w:pPr>
        <w:ind w:firstLine="552"/>
        <w:rPr>
          <w:rFonts w:hint="eastAsia"/>
        </w:rPr>
      </w:pPr>
      <w:r>
        <w:rPr>
          <w:rFonts w:hint="eastAsia"/>
        </w:rPr>
        <w:t>输出与交互层开发：实现转化后模型多格式导出（适配4类平台原生格式）、日志记录（</w:t>
      </w:r>
      <w:r>
        <w:rPr>
          <w:rFonts w:hint="eastAsia"/>
          <w:lang w:val="en-US" w:eastAsia="zh-CN"/>
        </w:rPr>
        <w:t>数据库</w:t>
      </w:r>
      <w:r>
        <w:rPr>
          <w:rFonts w:hint="eastAsia"/>
        </w:rPr>
        <w:t>存储）、客户端集成。</w:t>
      </w:r>
    </w:p>
    <w:p>
      <w:pPr>
        <w:numPr>
          <w:ilvl w:val="1"/>
          <w:numId w:val="1"/>
        </w:numPr>
        <w:tabs>
          <w:tab w:val="left" w:pos="0"/>
        </w:tabs>
        <w:ind w:left="850" w:leftChars="0" w:hanging="453" w:firstLineChars="0"/>
        <w:outlineLvl w:val="1"/>
        <w:rPr>
          <w:sz w:val="32"/>
          <w:szCs w:val="32"/>
        </w:rPr>
      </w:pPr>
      <w:bookmarkStart w:id="55" w:name="_Toc1545892777"/>
      <w:r>
        <w:rPr>
          <w:rFonts w:hint="eastAsia"/>
          <w:sz w:val="32"/>
          <w:szCs w:val="32"/>
        </w:rPr>
        <w:t>20类模型与4类平台适配调试</w:t>
      </w:r>
      <w:bookmarkEnd w:id="55"/>
    </w:p>
    <w:p>
      <w:pPr>
        <w:pStyle w:val="2"/>
        <w:rPr>
          <w:rFonts w:hint="eastAsia"/>
        </w:rPr>
      </w:pPr>
      <w:r>
        <w:rPr>
          <w:rFonts w:hint="eastAsia"/>
        </w:rPr>
        <w:t>针对每类模型（如YOLO、</w:t>
      </w:r>
      <w:r>
        <w:rPr>
          <w:rFonts w:hint="eastAsia"/>
          <w:lang w:val="en-US" w:eastAsia="zh-CN"/>
        </w:rPr>
        <w:t>TensorFlow</w:t>
      </w:r>
      <w:r>
        <w:rPr>
          <w:rFonts w:hint="eastAsia"/>
        </w:rPr>
        <w:t>等），调试转化模板，确保转化成功率≥9</w:t>
      </w:r>
      <w:r>
        <w:rPr>
          <w:rFonts w:hint="eastAsia"/>
          <w:lang w:val="en-US" w:eastAsia="zh-CN"/>
        </w:rPr>
        <w:t>0</w:t>
      </w:r>
      <w:r>
        <w:rPr>
          <w:rFonts w:hint="eastAsia"/>
        </w:rPr>
        <w:t>%；在4类平台真机上测试转化后模型的部署兼容性，优化算子调用效率，确保模型可正常运行。</w:t>
      </w:r>
    </w:p>
    <w:p>
      <w:pPr>
        <w:numPr>
          <w:ilvl w:val="1"/>
          <w:numId w:val="1"/>
        </w:numPr>
        <w:tabs>
          <w:tab w:val="left" w:pos="0"/>
        </w:tabs>
        <w:ind w:left="850" w:leftChars="0" w:hanging="453" w:firstLineChars="0"/>
        <w:outlineLvl w:val="1"/>
        <w:rPr>
          <w:sz w:val="32"/>
          <w:szCs w:val="32"/>
        </w:rPr>
      </w:pPr>
      <w:bookmarkStart w:id="56" w:name="_Toc1562741633"/>
      <w:r>
        <w:rPr>
          <w:rFonts w:hint="eastAsia" w:ascii="楷体_GB2312" w:hAnsi="楷体_GB2312" w:eastAsia="楷体_GB2312" w:cs="楷体_GB2312"/>
          <w:sz w:val="32"/>
          <w:szCs w:val="32"/>
          <w:lang w:val="en-US" w:eastAsia="zh-CN"/>
        </w:rPr>
        <w:t>功能</w:t>
      </w:r>
      <w:r>
        <w:rPr>
          <w:rFonts w:hint="eastAsia"/>
          <w:sz w:val="32"/>
          <w:szCs w:val="32"/>
        </w:rPr>
        <w:t>与性能测试</w:t>
      </w:r>
      <w:r>
        <w:rPr>
          <w:rFonts w:hint="eastAsia"/>
          <w:sz w:val="32"/>
          <w:szCs w:val="32"/>
          <w:lang w:eastAsia="zh-CN"/>
        </w:rPr>
        <w:t>、问题修复与优化</w:t>
      </w:r>
      <w:bookmarkEnd w:id="56"/>
    </w:p>
    <w:p>
      <w:pPr>
        <w:pStyle w:val="2"/>
        <w:rPr>
          <w:rFonts w:hint="eastAsia"/>
        </w:rPr>
      </w:pPr>
      <w:r>
        <w:rPr>
          <w:rFonts w:hint="eastAsia"/>
        </w:rPr>
        <w:t>验证格式转化（20类模型+4类平台全量测试）、可视化（网络结构完整性、参数展示准确性）功能</w:t>
      </w:r>
      <w:r>
        <w:rPr>
          <w:rFonts w:hint="eastAsia"/>
          <w:lang w:eastAsia="zh-CN"/>
        </w:rPr>
        <w:t>；</w:t>
      </w:r>
      <w:r>
        <w:rPr>
          <w:rFonts w:hint="eastAsia"/>
        </w:rPr>
        <w:t>测试模型转化时间、可视化响应时间、转化后模型精度损失</w:t>
      </w:r>
      <w:r>
        <w:rPr>
          <w:rFonts w:hint="eastAsia"/>
          <w:lang w:eastAsia="zh-CN"/>
        </w:rPr>
        <w:t>，</w:t>
      </w:r>
      <w:r>
        <w:rPr>
          <w:rFonts w:hint="eastAsia"/>
        </w:rPr>
        <w:t>输出《测试报告》；​</w:t>
      </w:r>
    </w:p>
    <w:p>
      <w:pPr>
        <w:pStyle w:val="2"/>
        <w:rPr>
          <w:rFonts w:hint="eastAsia"/>
        </w:rPr>
      </w:pPr>
      <w:r>
        <w:rPr>
          <w:rFonts w:hint="eastAsia"/>
        </w:rPr>
        <w:t>针对测试中发现的问题，集中修复并更新《问题修复清单》；根据甲方预验收反馈，优化软件交互体验。</w:t>
      </w:r>
    </w:p>
    <w:p>
      <w:pPr>
        <w:numPr>
          <w:ilvl w:val="1"/>
          <w:numId w:val="1"/>
        </w:numPr>
        <w:tabs>
          <w:tab w:val="left" w:pos="0"/>
        </w:tabs>
        <w:ind w:left="850" w:leftChars="0" w:hanging="453" w:firstLineChars="0"/>
        <w:outlineLvl w:val="1"/>
        <w:rPr>
          <w:sz w:val="32"/>
          <w:szCs w:val="32"/>
        </w:rPr>
      </w:pPr>
      <w:bookmarkStart w:id="57" w:name="_Toc1273623021"/>
      <w:r>
        <w:rPr>
          <w:rFonts w:hint="eastAsia"/>
          <w:sz w:val="32"/>
          <w:szCs w:val="32"/>
        </w:rPr>
        <w:t>交付与服务阶段</w:t>
      </w:r>
      <w:bookmarkEnd w:id="57"/>
    </w:p>
    <w:p>
      <w:pPr>
        <w:pStyle w:val="2"/>
        <w:rPr>
          <w:rFonts w:hint="eastAsia"/>
          <w:lang w:eastAsia="zh-CN"/>
        </w:rPr>
      </w:pPr>
      <w:r>
        <w:rPr>
          <w:rFonts w:hint="eastAsia"/>
          <w:lang w:eastAsia="zh-CN"/>
        </w:rPr>
        <w:t>在试验场内场调试机上安装部署软件，逐台验证功能（模型导入-转化-可视化全流程）；</w:t>
      </w:r>
      <w:r>
        <w:rPr>
          <w:rFonts w:hint="eastAsia"/>
          <w:lang w:val="en-US" w:eastAsia="zh-CN"/>
        </w:rPr>
        <w:t>交付</w:t>
      </w:r>
      <w:r>
        <w:rPr>
          <w:rFonts w:hint="eastAsia"/>
          <w:lang w:eastAsia="zh-CN"/>
        </w:rPr>
        <w:t>最终软件安装包、全套文档（《用户手册》《测试报告》等）。</w:t>
      </w:r>
    </w:p>
    <w:p>
      <w:pPr>
        <w:pStyle w:val="2"/>
        <w:rPr>
          <w:rFonts w:hint="eastAsia"/>
          <w:lang w:eastAsia="zh-CN"/>
        </w:rPr>
      </w:pPr>
      <w:r>
        <w:rPr>
          <w:rFonts w:hint="eastAsia"/>
          <w:lang w:eastAsia="zh-CN"/>
        </w:rPr>
        <w:t>开展现场培训（操作培训：软件使用+常见问题处理；维护培训：日志分析+版本更新），覆盖甲方技术人员；</w:t>
      </w:r>
      <w:r>
        <w:rPr>
          <w:rFonts w:hint="eastAsia"/>
          <w:lang w:val="en-US" w:eastAsia="zh-CN"/>
        </w:rPr>
        <w:t>按照甲方要求</w:t>
      </w:r>
      <w:r>
        <w:rPr>
          <w:rFonts w:hint="eastAsia"/>
          <w:lang w:eastAsia="zh-CN"/>
        </w:rPr>
        <w:t>提供</w:t>
      </w:r>
      <w:r>
        <w:rPr>
          <w:rFonts w:hint="eastAsia"/>
          <w:lang w:val="en-US" w:eastAsia="zh-CN"/>
        </w:rPr>
        <w:t>1</w:t>
      </w:r>
      <w:r>
        <w:rPr>
          <w:rFonts w:hint="eastAsia"/>
          <w:lang w:eastAsia="zh-CN"/>
        </w:rPr>
        <w:t>年售后服务。</w:t>
      </w:r>
    </w:p>
    <w:bookmarkEnd w:id="51"/>
    <w:p>
      <w:pPr>
        <w:numPr>
          <w:ilvl w:val="0"/>
          <w:numId w:val="1"/>
        </w:numPr>
        <w:tabs>
          <w:tab w:val="left" w:pos="0"/>
        </w:tabs>
        <w:ind w:left="425" w:leftChars="0" w:hanging="425" w:firstLineChars="0"/>
        <w:outlineLvl w:val="0"/>
        <w:rPr>
          <w:rFonts w:hint="eastAsia" w:ascii="黑体" w:hAnsi="黑体" w:eastAsia="黑体"/>
          <w:sz w:val="32"/>
          <w:szCs w:val="32"/>
        </w:rPr>
      </w:pPr>
      <w:bookmarkStart w:id="58" w:name="_Toc1812604298"/>
      <w:r>
        <w:rPr>
          <w:rFonts w:hint="eastAsia" w:ascii="黑体" w:hAnsi="黑体" w:eastAsia="黑体"/>
          <w:sz w:val="32"/>
          <w:szCs w:val="32"/>
        </w:rPr>
        <w:t>运行环境与部署方案</w:t>
      </w:r>
      <w:bookmarkEnd w:id="58"/>
    </w:p>
    <w:p>
      <w:pPr>
        <w:pStyle w:val="2"/>
        <w:rPr>
          <w:rFonts w:hint="default"/>
          <w:lang w:val="en-US" w:eastAsia="zh-CN"/>
        </w:rPr>
      </w:pPr>
      <w:r>
        <w:rPr>
          <w:rFonts w:hint="eastAsia"/>
          <w:lang w:val="en-US" w:eastAsia="zh-CN"/>
        </w:rPr>
        <w:t>网络组网如下，由于本系统主要是工具系统，RTX4090的AI服务器可以增加内存和存储提供Web服务</w:t>
      </w:r>
      <w:bookmarkStart w:id="72" w:name="_GoBack"/>
      <w:bookmarkEnd w:id="72"/>
      <w:r>
        <w:rPr>
          <w:rFonts w:hint="eastAsia"/>
          <w:lang w:val="en-US" w:eastAsia="zh-CN"/>
        </w:rPr>
        <w:t>。</w:t>
      </w:r>
    </w:p>
    <w:p>
      <w:pPr>
        <w:pStyle w:val="2"/>
        <w:rPr>
          <w:rFonts w:hint="default" w:ascii="黑体" w:hAnsi="黑体" w:eastAsia="黑体"/>
          <w:sz w:val="32"/>
          <w:szCs w:val="32"/>
          <w:lang w:val="en-US" w:eastAsia="zh-CN"/>
        </w:rPr>
      </w:pPr>
      <w:r>
        <w:drawing>
          <wp:anchor distT="0" distB="0" distL="114935" distR="114935" simplePos="0" relativeHeight="251661312" behindDoc="0" locked="0" layoutInCell="1" allowOverlap="1">
            <wp:simplePos x="0" y="0"/>
            <wp:positionH relativeFrom="column">
              <wp:posOffset>227965</wp:posOffset>
            </wp:positionH>
            <wp:positionV relativeFrom="paragraph">
              <wp:posOffset>282575</wp:posOffset>
            </wp:positionV>
            <wp:extent cx="4993005" cy="4097655"/>
            <wp:effectExtent l="0" t="0" r="10795" b="17145"/>
            <wp:wrapTopAndBottom/>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3"/>
                    <a:srcRect/>
                    <a:stretch>
                      <a:fillRect/>
                    </a:stretch>
                  </pic:blipFill>
                  <pic:spPr>
                    <a:xfrm>
                      <a:off x="0" y="0"/>
                      <a:ext cx="4993005" cy="4097655"/>
                    </a:xfrm>
                    <a:prstGeom prst="rect">
                      <a:avLst/>
                    </a:prstGeom>
                    <a:noFill/>
                    <a:ln>
                      <a:noFill/>
                    </a:ln>
                  </pic:spPr>
                </pic:pic>
              </a:graphicData>
            </a:graphic>
          </wp:anchor>
        </w:drawing>
      </w:r>
    </w:p>
    <w:p>
      <w:pPr>
        <w:pStyle w:val="2"/>
        <w:rPr>
          <w:rFonts w:hint="default" w:ascii="黑体" w:hAnsi="黑体" w:eastAsia="黑体"/>
          <w:sz w:val="32"/>
          <w:szCs w:val="32"/>
          <w:lang w:val="en-US" w:eastAsia="zh-CN"/>
        </w:rPr>
      </w:pPr>
    </w:p>
    <w:p>
      <w:pPr>
        <w:numPr>
          <w:ilvl w:val="1"/>
          <w:numId w:val="1"/>
        </w:numPr>
        <w:tabs>
          <w:tab w:val="left" w:pos="0"/>
        </w:tabs>
        <w:ind w:left="850" w:leftChars="0" w:hanging="453" w:firstLineChars="0"/>
        <w:outlineLvl w:val="1"/>
        <w:rPr>
          <w:sz w:val="32"/>
          <w:szCs w:val="32"/>
        </w:rPr>
      </w:pPr>
      <w:bookmarkStart w:id="59" w:name="_Toc237420144"/>
      <w:r>
        <w:rPr>
          <w:rFonts w:hint="eastAsia"/>
          <w:sz w:val="32"/>
          <w:szCs w:val="32"/>
          <w:lang w:val="en-US" w:eastAsia="zh-CN"/>
        </w:rPr>
        <w:t>硬件环境</w:t>
      </w:r>
      <w:bookmarkEnd w:id="59"/>
    </w:p>
    <w:p>
      <w:pPr>
        <w:pStyle w:val="2"/>
      </w:pPr>
      <w:r>
        <w:rPr>
          <w:rFonts w:hint="eastAsia"/>
        </w:rPr>
        <w:t>各</w:t>
      </w:r>
      <w:r>
        <w:rPr>
          <w:rFonts w:hint="eastAsia"/>
          <w:lang w:val="en-US" w:eastAsia="zh-CN"/>
        </w:rPr>
        <w:t>硬件</w:t>
      </w:r>
      <w:r>
        <w:rPr>
          <w:rFonts w:hint="eastAsia"/>
        </w:rPr>
        <w:t>如下，</w:t>
      </w:r>
      <w:r>
        <w:rPr>
          <w:rFonts w:hint="eastAsia"/>
          <w:lang w:val="en-US" w:eastAsia="zh-CN"/>
        </w:rPr>
        <w:t>硬件型号</w:t>
      </w:r>
      <w:r>
        <w:rPr>
          <w:rFonts w:hint="eastAsia"/>
        </w:rPr>
        <w:t>随实际的研发过程可能调整。</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4"/>
        <w:gridCol w:w="5248"/>
        <w:gridCol w:w="1518"/>
      </w:tblGrid>
      <w:tr>
        <w:tc>
          <w:tcPr>
            <w:tcW w:w="1894" w:type="dxa"/>
          </w:tcPr>
          <w:p>
            <w:pPr>
              <w:pStyle w:val="2"/>
              <w:tabs>
                <w:tab w:val="left" w:pos="360"/>
                <w:tab w:val="left" w:pos="720"/>
              </w:tabs>
              <w:overflowPunct w:val="0"/>
              <w:autoSpaceDE w:val="0"/>
              <w:autoSpaceDN w:val="0"/>
              <w:adjustRightInd w:val="0"/>
              <w:spacing w:after="240"/>
              <w:ind w:left="0" w:leftChars="0" w:firstLine="0" w:firstLineChars="0"/>
              <w:jc w:val="center"/>
              <w:textAlignment w:val="baseline"/>
              <w:rPr>
                <w:rFonts w:hint="eastAsia"/>
                <w:vertAlign w:val="baseline"/>
              </w:rPr>
            </w:pPr>
            <w:r>
              <w:rPr>
                <w:rFonts w:hint="eastAsia"/>
                <w:vertAlign w:val="baseline"/>
              </w:rPr>
              <w:t>平台类型</w:t>
            </w:r>
          </w:p>
        </w:tc>
        <w:tc>
          <w:tcPr>
            <w:tcW w:w="5248" w:type="dxa"/>
          </w:tcPr>
          <w:p>
            <w:pPr>
              <w:pStyle w:val="2"/>
              <w:tabs>
                <w:tab w:val="left" w:pos="360"/>
                <w:tab w:val="left" w:pos="720"/>
              </w:tabs>
              <w:overflowPunct w:val="0"/>
              <w:autoSpaceDE w:val="0"/>
              <w:autoSpaceDN w:val="0"/>
              <w:adjustRightInd w:val="0"/>
              <w:spacing w:after="240"/>
              <w:textAlignment w:val="baseline"/>
              <w:rPr>
                <w:rFonts w:hint="eastAsia"/>
                <w:vertAlign w:val="baseline"/>
              </w:rPr>
            </w:pPr>
            <w:r>
              <w:rPr>
                <w:rFonts w:hint="eastAsia"/>
                <w:vertAlign w:val="baseline"/>
              </w:rPr>
              <w:t>设备配置</w:t>
            </w:r>
          </w:p>
        </w:tc>
        <w:tc>
          <w:tcPr>
            <w:tcW w:w="1518" w:type="dxa"/>
          </w:tcPr>
          <w:p>
            <w:pPr>
              <w:pStyle w:val="2"/>
              <w:tabs>
                <w:tab w:val="left" w:pos="360"/>
                <w:tab w:val="left" w:pos="720"/>
              </w:tabs>
              <w:overflowPunct w:val="0"/>
              <w:autoSpaceDE w:val="0"/>
              <w:autoSpaceDN w:val="0"/>
              <w:adjustRightInd w:val="0"/>
              <w:spacing w:after="240"/>
              <w:ind w:left="0" w:leftChars="0" w:firstLine="0" w:firstLineChars="0"/>
              <w:jc w:val="center"/>
              <w:textAlignment w:val="baseline"/>
              <w:rPr>
                <w:rFonts w:hint="eastAsia"/>
                <w:vertAlign w:val="baseline"/>
              </w:rPr>
            </w:pPr>
            <w:r>
              <w:rPr>
                <w:rFonts w:hint="eastAsia"/>
                <w:vertAlign w:val="baseline"/>
              </w:rPr>
              <w:t>数量</w:t>
            </w:r>
          </w:p>
        </w:tc>
      </w:tr>
      <w:tr>
        <w:tc>
          <w:tcPr>
            <w:tcW w:w="1894" w:type="dxa"/>
          </w:tcPr>
          <w:p>
            <w:pPr>
              <w:pStyle w:val="2"/>
              <w:tabs>
                <w:tab w:val="left" w:pos="360"/>
                <w:tab w:val="left" w:pos="720"/>
              </w:tabs>
              <w:overflowPunct w:val="0"/>
              <w:autoSpaceDE w:val="0"/>
              <w:autoSpaceDN w:val="0"/>
              <w:adjustRightInd w:val="0"/>
              <w:spacing w:after="240"/>
              <w:ind w:left="0" w:leftChars="0" w:firstLine="0" w:firstLineChars="0"/>
              <w:jc w:val="center"/>
              <w:textAlignment w:val="baseline"/>
              <w:rPr>
                <w:rFonts w:hint="eastAsia"/>
                <w:vertAlign w:val="baseline"/>
              </w:rPr>
            </w:pPr>
            <w:r>
              <w:rPr>
                <w:rFonts w:hint="eastAsia"/>
                <w:vertAlign w:val="baseline"/>
              </w:rPr>
              <w:t>华为昇腾</w:t>
            </w:r>
          </w:p>
        </w:tc>
        <w:tc>
          <w:tcPr>
            <w:tcW w:w="5248" w:type="dxa"/>
          </w:tcPr>
          <w:p>
            <w:pPr>
              <w:pStyle w:val="2"/>
              <w:tabs>
                <w:tab w:val="left" w:pos="360"/>
                <w:tab w:val="left" w:pos="720"/>
              </w:tabs>
              <w:overflowPunct w:val="0"/>
              <w:autoSpaceDE w:val="0"/>
              <w:autoSpaceDN w:val="0"/>
              <w:adjustRightInd w:val="0"/>
              <w:spacing w:after="240"/>
              <w:ind w:left="0" w:leftChars="0" w:firstLine="0" w:firstLineChars="0"/>
              <w:textAlignment w:val="baseline"/>
              <w:rPr>
                <w:rFonts w:hint="default" w:eastAsia="仿宋_GB2312"/>
                <w:vertAlign w:val="baseline"/>
                <w:lang w:val="en-US" w:eastAsia="zh-CN"/>
              </w:rPr>
            </w:pPr>
            <w:r>
              <w:rPr>
                <w:rFonts w:hint="eastAsia"/>
                <w:vertAlign w:val="baseline"/>
              </w:rPr>
              <w:t>Ascend 910</w:t>
            </w:r>
            <w:r>
              <w:rPr>
                <w:rFonts w:hint="eastAsia"/>
                <w:vertAlign w:val="baseline"/>
                <w:lang w:val="en-US" w:eastAsia="zh-CN"/>
              </w:rPr>
              <w:t>B</w:t>
            </w:r>
            <w:r>
              <w:rPr>
                <w:rFonts w:hint="eastAsia"/>
                <w:vertAlign w:val="baseline"/>
              </w:rPr>
              <w:t xml:space="preserve">、Atlas </w:t>
            </w:r>
            <w:r>
              <w:rPr>
                <w:rFonts w:hint="eastAsia"/>
                <w:vertAlign w:val="baseline"/>
                <w:lang w:val="en-US" w:eastAsia="zh-CN"/>
              </w:rPr>
              <w:t>300du</w:t>
            </w:r>
          </w:p>
        </w:tc>
        <w:tc>
          <w:tcPr>
            <w:tcW w:w="1518" w:type="dxa"/>
          </w:tcPr>
          <w:p>
            <w:pPr>
              <w:pStyle w:val="2"/>
              <w:tabs>
                <w:tab w:val="left" w:pos="360"/>
                <w:tab w:val="left" w:pos="720"/>
              </w:tabs>
              <w:overflowPunct w:val="0"/>
              <w:autoSpaceDE w:val="0"/>
              <w:autoSpaceDN w:val="0"/>
              <w:adjustRightInd w:val="0"/>
              <w:spacing w:after="240"/>
              <w:ind w:left="0" w:leftChars="0" w:firstLine="0" w:firstLineChars="0"/>
              <w:jc w:val="center"/>
              <w:textAlignment w:val="baseline"/>
              <w:rPr>
                <w:rFonts w:hint="eastAsia"/>
                <w:vertAlign w:val="baseline"/>
              </w:rPr>
            </w:pPr>
            <w:r>
              <w:rPr>
                <w:rFonts w:hint="eastAsia"/>
                <w:vertAlign w:val="baseline"/>
              </w:rPr>
              <w:t>各 1 台</w:t>
            </w:r>
          </w:p>
        </w:tc>
      </w:tr>
      <w:tr>
        <w:tc>
          <w:tcPr>
            <w:tcW w:w="1894" w:type="dxa"/>
          </w:tcPr>
          <w:p>
            <w:pPr>
              <w:pStyle w:val="2"/>
              <w:tabs>
                <w:tab w:val="left" w:pos="360"/>
                <w:tab w:val="left" w:pos="720"/>
              </w:tabs>
              <w:overflowPunct w:val="0"/>
              <w:autoSpaceDE w:val="0"/>
              <w:autoSpaceDN w:val="0"/>
              <w:adjustRightInd w:val="0"/>
              <w:spacing w:after="240"/>
              <w:ind w:left="0" w:leftChars="0" w:firstLine="0" w:firstLineChars="0"/>
              <w:jc w:val="center"/>
              <w:textAlignment w:val="baseline"/>
              <w:rPr>
                <w:rFonts w:hint="eastAsia"/>
                <w:vertAlign w:val="baseline"/>
              </w:rPr>
            </w:pPr>
            <w:r>
              <w:rPr>
                <w:rFonts w:hint="eastAsia"/>
                <w:vertAlign w:val="baseline"/>
              </w:rPr>
              <w:t>瑞芯微</w:t>
            </w:r>
          </w:p>
        </w:tc>
        <w:tc>
          <w:tcPr>
            <w:tcW w:w="5248" w:type="dxa"/>
          </w:tcPr>
          <w:p>
            <w:pPr>
              <w:pStyle w:val="2"/>
              <w:tabs>
                <w:tab w:val="left" w:pos="360"/>
                <w:tab w:val="left" w:pos="720"/>
              </w:tabs>
              <w:overflowPunct w:val="0"/>
              <w:autoSpaceDE w:val="0"/>
              <w:autoSpaceDN w:val="0"/>
              <w:adjustRightInd w:val="0"/>
              <w:spacing w:after="240"/>
              <w:ind w:left="0" w:leftChars="0" w:firstLine="0" w:firstLineChars="0"/>
              <w:textAlignment w:val="baseline"/>
              <w:rPr>
                <w:rFonts w:hint="eastAsia"/>
                <w:vertAlign w:val="baseline"/>
              </w:rPr>
            </w:pPr>
            <w:r>
              <w:rPr>
                <w:rFonts w:hint="eastAsia"/>
                <w:vertAlign w:val="baseline"/>
              </w:rPr>
              <w:t>RK3588（6TOPS NPU，8GB 内存）</w:t>
            </w:r>
          </w:p>
        </w:tc>
        <w:tc>
          <w:tcPr>
            <w:tcW w:w="1518" w:type="dxa"/>
          </w:tcPr>
          <w:p>
            <w:pPr>
              <w:pStyle w:val="2"/>
              <w:tabs>
                <w:tab w:val="left" w:pos="360"/>
                <w:tab w:val="left" w:pos="720"/>
              </w:tabs>
              <w:overflowPunct w:val="0"/>
              <w:autoSpaceDE w:val="0"/>
              <w:autoSpaceDN w:val="0"/>
              <w:adjustRightInd w:val="0"/>
              <w:spacing w:after="240"/>
              <w:ind w:left="0" w:leftChars="0" w:firstLine="0" w:firstLineChars="0"/>
              <w:jc w:val="center"/>
              <w:textAlignment w:val="baseline"/>
              <w:rPr>
                <w:rFonts w:hint="eastAsia"/>
                <w:vertAlign w:val="baseline"/>
              </w:rPr>
            </w:pPr>
            <w:r>
              <w:rPr>
                <w:rFonts w:hint="eastAsia"/>
                <w:vertAlign w:val="baseline"/>
              </w:rPr>
              <w:t>各 1 台</w:t>
            </w:r>
          </w:p>
        </w:tc>
      </w:tr>
      <w:tr>
        <w:tc>
          <w:tcPr>
            <w:tcW w:w="1894" w:type="dxa"/>
          </w:tcPr>
          <w:p>
            <w:pPr>
              <w:pStyle w:val="2"/>
              <w:tabs>
                <w:tab w:val="left" w:pos="360"/>
                <w:tab w:val="left" w:pos="720"/>
              </w:tabs>
              <w:overflowPunct w:val="0"/>
              <w:autoSpaceDE w:val="0"/>
              <w:autoSpaceDN w:val="0"/>
              <w:adjustRightInd w:val="0"/>
              <w:spacing w:after="240"/>
              <w:ind w:left="0" w:leftChars="0" w:firstLine="0" w:firstLineChars="0"/>
              <w:jc w:val="center"/>
              <w:textAlignment w:val="baseline"/>
              <w:rPr>
                <w:rFonts w:hint="eastAsia"/>
                <w:vertAlign w:val="baseline"/>
              </w:rPr>
            </w:pPr>
            <w:r>
              <w:rPr>
                <w:rFonts w:hint="eastAsia"/>
                <w:vertAlign w:val="baseline"/>
              </w:rPr>
              <w:t>英伟达</w:t>
            </w:r>
          </w:p>
        </w:tc>
        <w:tc>
          <w:tcPr>
            <w:tcW w:w="5248" w:type="dxa"/>
          </w:tcPr>
          <w:p>
            <w:pPr>
              <w:pStyle w:val="2"/>
              <w:tabs>
                <w:tab w:val="left" w:pos="360"/>
                <w:tab w:val="left" w:pos="720"/>
              </w:tabs>
              <w:overflowPunct w:val="0"/>
              <w:autoSpaceDE w:val="0"/>
              <w:autoSpaceDN w:val="0"/>
              <w:adjustRightInd w:val="0"/>
              <w:spacing w:after="240"/>
              <w:ind w:left="0" w:leftChars="0" w:firstLine="0" w:firstLineChars="0"/>
              <w:textAlignment w:val="baseline"/>
              <w:rPr>
                <w:rFonts w:hint="default" w:eastAsia="仿宋_GB2312"/>
                <w:vertAlign w:val="baseline"/>
                <w:lang w:val="en-US" w:eastAsia="zh-CN"/>
              </w:rPr>
            </w:pPr>
            <w:r>
              <w:rPr>
                <w:rFonts w:hint="eastAsia"/>
                <w:vertAlign w:val="baseline"/>
              </w:rPr>
              <w:t>RTX 4090（24GB 显存）、</w:t>
            </w:r>
            <w:r>
              <w:rPr>
                <w:rFonts w:hint="eastAsia"/>
                <w:vertAlign w:val="baseline"/>
                <w:lang w:val="en-US" w:eastAsia="zh-CN"/>
              </w:rPr>
              <w:t>RTX 6000ada</w:t>
            </w:r>
          </w:p>
        </w:tc>
        <w:tc>
          <w:tcPr>
            <w:tcW w:w="1518" w:type="dxa"/>
          </w:tcPr>
          <w:p>
            <w:pPr>
              <w:pStyle w:val="2"/>
              <w:tabs>
                <w:tab w:val="left" w:pos="360"/>
                <w:tab w:val="left" w:pos="720"/>
              </w:tabs>
              <w:overflowPunct w:val="0"/>
              <w:autoSpaceDE w:val="0"/>
              <w:autoSpaceDN w:val="0"/>
              <w:adjustRightInd w:val="0"/>
              <w:spacing w:after="240"/>
              <w:ind w:left="0" w:leftChars="0" w:firstLine="0" w:firstLineChars="0"/>
              <w:jc w:val="center"/>
              <w:textAlignment w:val="baseline"/>
              <w:rPr>
                <w:rFonts w:hint="eastAsia"/>
                <w:vertAlign w:val="baseline"/>
              </w:rPr>
            </w:pPr>
            <w:r>
              <w:rPr>
                <w:rFonts w:hint="eastAsia"/>
                <w:vertAlign w:val="baseline"/>
              </w:rPr>
              <w:t>各 1 台</w:t>
            </w:r>
          </w:p>
        </w:tc>
      </w:tr>
      <w:tr>
        <w:tc>
          <w:tcPr>
            <w:tcW w:w="1894" w:type="dxa"/>
          </w:tcPr>
          <w:p>
            <w:pPr>
              <w:pStyle w:val="2"/>
              <w:tabs>
                <w:tab w:val="left" w:pos="360"/>
                <w:tab w:val="left" w:pos="720"/>
              </w:tabs>
              <w:overflowPunct w:val="0"/>
              <w:autoSpaceDE w:val="0"/>
              <w:autoSpaceDN w:val="0"/>
              <w:adjustRightInd w:val="0"/>
              <w:spacing w:after="240"/>
              <w:ind w:left="0" w:leftChars="0" w:firstLine="0" w:firstLineChars="0"/>
              <w:jc w:val="center"/>
              <w:textAlignment w:val="baseline"/>
              <w:rPr>
                <w:rFonts w:hint="eastAsia"/>
                <w:vertAlign w:val="baseline"/>
              </w:rPr>
            </w:pPr>
            <w:r>
              <w:rPr>
                <w:rFonts w:hint="eastAsia"/>
                <w:vertAlign w:val="baseline"/>
              </w:rPr>
              <w:t>寒武纪</w:t>
            </w:r>
          </w:p>
        </w:tc>
        <w:tc>
          <w:tcPr>
            <w:tcW w:w="5248" w:type="dxa"/>
          </w:tcPr>
          <w:p>
            <w:pPr>
              <w:pStyle w:val="2"/>
              <w:tabs>
                <w:tab w:val="left" w:pos="360"/>
                <w:tab w:val="left" w:pos="720"/>
              </w:tabs>
              <w:overflowPunct w:val="0"/>
              <w:autoSpaceDE w:val="0"/>
              <w:autoSpaceDN w:val="0"/>
              <w:adjustRightInd w:val="0"/>
              <w:spacing w:after="240"/>
              <w:ind w:left="0" w:leftChars="0" w:firstLine="0" w:firstLineChars="0"/>
              <w:textAlignment w:val="baseline"/>
              <w:rPr>
                <w:rFonts w:hint="eastAsia"/>
                <w:vertAlign w:val="baseline"/>
              </w:rPr>
            </w:pPr>
            <w:r>
              <w:rPr>
                <w:rFonts w:hint="eastAsia"/>
                <w:vertAlign w:val="baseline"/>
              </w:rPr>
              <w:t>思元 370 服务器（2 颗 NPU，16GB / 颗）</w:t>
            </w:r>
          </w:p>
        </w:tc>
        <w:tc>
          <w:tcPr>
            <w:tcW w:w="1518" w:type="dxa"/>
          </w:tcPr>
          <w:p>
            <w:pPr>
              <w:pStyle w:val="2"/>
              <w:tabs>
                <w:tab w:val="left" w:pos="360"/>
                <w:tab w:val="left" w:pos="720"/>
              </w:tabs>
              <w:overflowPunct w:val="0"/>
              <w:autoSpaceDE w:val="0"/>
              <w:autoSpaceDN w:val="0"/>
              <w:adjustRightInd w:val="0"/>
              <w:spacing w:after="240"/>
              <w:ind w:left="0" w:leftChars="0" w:firstLine="0" w:firstLineChars="0"/>
              <w:jc w:val="center"/>
              <w:textAlignment w:val="baseline"/>
              <w:rPr>
                <w:rFonts w:hint="eastAsia"/>
                <w:vertAlign w:val="baseline"/>
              </w:rPr>
            </w:pPr>
            <w:r>
              <w:rPr>
                <w:rFonts w:hint="eastAsia"/>
                <w:vertAlign w:val="baseline"/>
              </w:rPr>
              <w:t>各 1 台</w:t>
            </w:r>
          </w:p>
        </w:tc>
      </w:tr>
      <w:tr>
        <w:tc>
          <w:tcPr>
            <w:tcW w:w="1894" w:type="dxa"/>
          </w:tcPr>
          <w:p>
            <w:pPr>
              <w:pStyle w:val="2"/>
              <w:tabs>
                <w:tab w:val="left" w:pos="360"/>
                <w:tab w:val="left" w:pos="720"/>
              </w:tabs>
              <w:overflowPunct w:val="0"/>
              <w:autoSpaceDE w:val="0"/>
              <w:autoSpaceDN w:val="0"/>
              <w:adjustRightInd w:val="0"/>
              <w:spacing w:after="240"/>
              <w:ind w:left="0" w:leftChars="0" w:firstLine="0" w:firstLineChars="0"/>
              <w:jc w:val="center"/>
              <w:textAlignment w:val="baseline"/>
              <w:rPr>
                <w:rFonts w:hint="eastAsia"/>
                <w:vertAlign w:val="baseline"/>
              </w:rPr>
            </w:pPr>
            <w:r>
              <w:rPr>
                <w:rFonts w:hint="eastAsia"/>
                <w:vertAlign w:val="baseline"/>
              </w:rPr>
              <w:t>支撑设备</w:t>
            </w:r>
          </w:p>
        </w:tc>
        <w:tc>
          <w:tcPr>
            <w:tcW w:w="5248" w:type="dxa"/>
          </w:tcPr>
          <w:p>
            <w:pPr>
              <w:pStyle w:val="2"/>
              <w:tabs>
                <w:tab w:val="left" w:pos="360"/>
                <w:tab w:val="left" w:pos="720"/>
              </w:tabs>
              <w:overflowPunct w:val="0"/>
              <w:autoSpaceDE w:val="0"/>
              <w:autoSpaceDN w:val="0"/>
              <w:adjustRightInd w:val="0"/>
              <w:spacing w:after="240"/>
              <w:ind w:left="0" w:leftChars="0" w:firstLine="0" w:firstLineChars="0"/>
              <w:textAlignment w:val="baseline"/>
              <w:rPr>
                <w:rFonts w:hint="eastAsia"/>
                <w:vertAlign w:val="baseline"/>
              </w:rPr>
            </w:pPr>
            <w:r>
              <w:rPr>
                <w:rFonts w:hint="eastAsia"/>
                <w:vertAlign w:val="baseline"/>
              </w:rPr>
              <w:t>10Gbps 以太网交换机（华为 CloudEngine S5735</w:t>
            </w:r>
            <w:r>
              <w:rPr>
                <w:rFonts w:hint="eastAsia"/>
                <w:vertAlign w:val="baseline"/>
                <w:lang w:eastAsia="zh-CN"/>
              </w:rPr>
              <w:t>，</w:t>
            </w:r>
            <w:r>
              <w:rPr>
                <w:rFonts w:hint="eastAsia"/>
                <w:vertAlign w:val="baseline"/>
                <w:lang w:val="en-US" w:eastAsia="zh-CN"/>
              </w:rPr>
              <w:t>可选</w:t>
            </w:r>
            <w:r>
              <w:rPr>
                <w:rFonts w:hint="eastAsia"/>
                <w:vertAlign w:val="baseline"/>
              </w:rPr>
              <w:t>）、存储服务器（MinIO 节点）</w:t>
            </w:r>
          </w:p>
        </w:tc>
        <w:tc>
          <w:tcPr>
            <w:tcW w:w="1518" w:type="dxa"/>
          </w:tcPr>
          <w:p>
            <w:pPr>
              <w:pStyle w:val="2"/>
              <w:tabs>
                <w:tab w:val="left" w:pos="360"/>
                <w:tab w:val="left" w:pos="720"/>
              </w:tabs>
              <w:overflowPunct w:val="0"/>
              <w:autoSpaceDE w:val="0"/>
              <w:autoSpaceDN w:val="0"/>
              <w:adjustRightInd w:val="0"/>
              <w:spacing w:after="240"/>
              <w:ind w:left="0" w:leftChars="0" w:firstLine="0" w:firstLineChars="0"/>
              <w:jc w:val="center"/>
              <w:textAlignment w:val="baseline"/>
              <w:rPr>
                <w:rFonts w:hint="eastAsia"/>
                <w:vertAlign w:val="baseline"/>
              </w:rPr>
            </w:pPr>
            <w:r>
              <w:rPr>
                <w:rFonts w:hint="eastAsia"/>
                <w:vertAlign w:val="baseline"/>
              </w:rPr>
              <w:t>各 1 台</w:t>
            </w:r>
          </w:p>
        </w:tc>
      </w:tr>
    </w:tbl>
    <w:p>
      <w:pPr>
        <w:numPr>
          <w:ilvl w:val="1"/>
          <w:numId w:val="1"/>
        </w:numPr>
        <w:tabs>
          <w:tab w:val="left" w:pos="0"/>
        </w:tabs>
        <w:ind w:left="850" w:leftChars="0" w:hanging="453" w:firstLineChars="0"/>
        <w:outlineLvl w:val="1"/>
        <w:rPr>
          <w:sz w:val="32"/>
          <w:szCs w:val="32"/>
        </w:rPr>
      </w:pPr>
      <w:bookmarkStart w:id="60" w:name="_Toc295744082"/>
      <w:r>
        <w:rPr>
          <w:rFonts w:hint="eastAsia" w:ascii="仿宋_GB2312" w:eastAsia="仿宋_GB2312"/>
          <w:sz w:val="32"/>
          <w:szCs w:val="32"/>
          <w:lang w:val="en-US" w:eastAsia="zh-CN"/>
        </w:rPr>
        <w:t>软件环境</w:t>
      </w:r>
      <w:bookmarkEnd w:id="60"/>
    </w:p>
    <w:p>
      <w:pPr>
        <w:pStyle w:val="2"/>
        <w:rPr>
          <w:rFonts w:hint="default" w:eastAsia="仿宋_GB2312"/>
          <w:lang w:val="en-US" w:eastAsia="zh-CN"/>
        </w:rPr>
      </w:pPr>
      <w:r>
        <w:rPr>
          <w:rFonts w:hint="eastAsia"/>
          <w:lang w:val="en-US" w:eastAsia="zh-CN"/>
        </w:rPr>
        <w:t>各软件如下，版本号随实际的研发过程可能调整。</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0"/>
        <w:gridCol w:w="6742"/>
      </w:tblGrid>
      <w:tr>
        <w:tc>
          <w:tcPr>
            <w:tcW w:w="2320" w:type="dxa"/>
          </w:tcPr>
          <w:p>
            <w:pPr>
              <w:pStyle w:val="2"/>
              <w:tabs>
                <w:tab w:val="left" w:pos="360"/>
                <w:tab w:val="left" w:pos="720"/>
              </w:tabs>
              <w:overflowPunct w:val="0"/>
              <w:autoSpaceDE w:val="0"/>
              <w:autoSpaceDN w:val="0"/>
              <w:adjustRightInd w:val="0"/>
              <w:spacing w:after="240"/>
              <w:ind w:left="0" w:leftChars="0" w:firstLine="0" w:firstLineChars="0"/>
              <w:textAlignment w:val="baseline"/>
              <w:rPr>
                <w:rFonts w:hint="eastAsia"/>
                <w:vertAlign w:val="baseline"/>
              </w:rPr>
            </w:pPr>
            <w:r>
              <w:rPr>
                <w:rFonts w:hint="eastAsia"/>
                <w:vertAlign w:val="baseline"/>
              </w:rPr>
              <w:t>软件类型</w:t>
            </w:r>
          </w:p>
        </w:tc>
        <w:tc>
          <w:tcPr>
            <w:tcW w:w="6742" w:type="dxa"/>
          </w:tcPr>
          <w:p>
            <w:pPr>
              <w:pStyle w:val="2"/>
              <w:tabs>
                <w:tab w:val="left" w:pos="360"/>
                <w:tab w:val="left" w:pos="720"/>
              </w:tabs>
              <w:overflowPunct w:val="0"/>
              <w:autoSpaceDE w:val="0"/>
              <w:autoSpaceDN w:val="0"/>
              <w:adjustRightInd w:val="0"/>
              <w:spacing w:after="240"/>
              <w:ind w:left="0" w:leftChars="0" w:firstLine="0" w:firstLineChars="0"/>
              <w:textAlignment w:val="baseline"/>
              <w:rPr>
                <w:rFonts w:hint="eastAsia"/>
                <w:vertAlign w:val="baseline"/>
              </w:rPr>
            </w:pPr>
            <w:r>
              <w:rPr>
                <w:rFonts w:hint="eastAsia"/>
                <w:vertAlign w:val="baseline"/>
              </w:rPr>
              <w:t>版本要求</w:t>
            </w:r>
          </w:p>
        </w:tc>
      </w:tr>
      <w:tr>
        <w:tc>
          <w:tcPr>
            <w:tcW w:w="2320" w:type="dxa"/>
          </w:tcPr>
          <w:p>
            <w:pPr>
              <w:pStyle w:val="2"/>
              <w:tabs>
                <w:tab w:val="left" w:pos="360"/>
                <w:tab w:val="left" w:pos="720"/>
              </w:tabs>
              <w:overflowPunct w:val="0"/>
              <w:autoSpaceDE w:val="0"/>
              <w:autoSpaceDN w:val="0"/>
              <w:adjustRightInd w:val="0"/>
              <w:spacing w:after="240"/>
              <w:ind w:left="0" w:leftChars="0" w:firstLine="0" w:firstLineChars="0"/>
              <w:textAlignment w:val="baseline"/>
              <w:rPr>
                <w:rFonts w:hint="eastAsia"/>
                <w:vertAlign w:val="baseline"/>
              </w:rPr>
            </w:pPr>
            <w:r>
              <w:rPr>
                <w:rFonts w:hint="eastAsia"/>
                <w:vertAlign w:val="baseline"/>
              </w:rPr>
              <w:t>操作系统</w:t>
            </w:r>
          </w:p>
        </w:tc>
        <w:tc>
          <w:tcPr>
            <w:tcW w:w="6742" w:type="dxa"/>
          </w:tcPr>
          <w:p>
            <w:pPr>
              <w:pStyle w:val="2"/>
              <w:tabs>
                <w:tab w:val="left" w:pos="360"/>
                <w:tab w:val="left" w:pos="720"/>
              </w:tabs>
              <w:overflowPunct w:val="0"/>
              <w:autoSpaceDE w:val="0"/>
              <w:autoSpaceDN w:val="0"/>
              <w:adjustRightInd w:val="0"/>
              <w:spacing w:after="240"/>
              <w:ind w:left="0" w:leftChars="0" w:firstLine="0" w:firstLineChars="0"/>
              <w:textAlignment w:val="baseline"/>
              <w:rPr>
                <w:rFonts w:hint="eastAsia"/>
                <w:vertAlign w:val="baseline"/>
              </w:rPr>
            </w:pPr>
            <w:r>
              <w:rPr>
                <w:rFonts w:hint="eastAsia"/>
                <w:vertAlign w:val="baseline"/>
              </w:rPr>
              <w:t>Linux（Ubuntu 20.04 及以上）、麒麟 v10、Windows Server 2019 及以上</w:t>
            </w:r>
          </w:p>
        </w:tc>
      </w:tr>
      <w:tr>
        <w:tc>
          <w:tcPr>
            <w:tcW w:w="2320" w:type="dxa"/>
          </w:tcPr>
          <w:p>
            <w:pPr>
              <w:pStyle w:val="2"/>
              <w:tabs>
                <w:tab w:val="left" w:pos="360"/>
                <w:tab w:val="left" w:pos="720"/>
              </w:tabs>
              <w:overflowPunct w:val="0"/>
              <w:autoSpaceDE w:val="0"/>
              <w:autoSpaceDN w:val="0"/>
              <w:adjustRightInd w:val="0"/>
              <w:spacing w:after="240"/>
              <w:ind w:left="0" w:leftChars="0" w:firstLine="0" w:firstLineChars="0"/>
              <w:textAlignment w:val="baseline"/>
              <w:rPr>
                <w:rFonts w:hint="eastAsia"/>
                <w:vertAlign w:val="baseline"/>
              </w:rPr>
            </w:pPr>
            <w:r>
              <w:rPr>
                <w:rFonts w:hint="eastAsia"/>
                <w:vertAlign w:val="baseline"/>
              </w:rPr>
              <w:t>开发工具链</w:t>
            </w:r>
          </w:p>
        </w:tc>
        <w:tc>
          <w:tcPr>
            <w:tcW w:w="6742" w:type="dxa"/>
          </w:tcPr>
          <w:p>
            <w:pPr>
              <w:pStyle w:val="2"/>
              <w:tabs>
                <w:tab w:val="left" w:pos="360"/>
                <w:tab w:val="left" w:pos="720"/>
              </w:tabs>
              <w:overflowPunct w:val="0"/>
              <w:autoSpaceDE w:val="0"/>
              <w:autoSpaceDN w:val="0"/>
              <w:adjustRightInd w:val="0"/>
              <w:spacing w:after="240"/>
              <w:ind w:left="0" w:leftChars="0" w:firstLine="0" w:firstLineChars="0"/>
              <w:textAlignment w:val="baseline"/>
              <w:rPr>
                <w:rFonts w:hint="eastAsia"/>
                <w:vertAlign w:val="baseline"/>
              </w:rPr>
            </w:pPr>
            <w:r>
              <w:rPr>
                <w:rFonts w:hint="eastAsia"/>
                <w:vertAlign w:val="baseline"/>
              </w:rPr>
              <w:t xml:space="preserve">华为 CANN </w:t>
            </w:r>
            <w:r>
              <w:rPr>
                <w:rFonts w:hint="eastAsia"/>
                <w:vertAlign w:val="baseline"/>
                <w:lang w:val="en-US" w:eastAsia="zh-CN"/>
              </w:rPr>
              <w:t>8</w:t>
            </w:r>
            <w:r>
              <w:rPr>
                <w:rFonts w:hint="eastAsia"/>
                <w:vertAlign w:val="baseline"/>
              </w:rPr>
              <w:t>.0、瑞芯微 RKNN Toolkit、英伟达 CUDA 12.0+TensorRT 8.6、寒武纪 MagicMind</w:t>
            </w:r>
          </w:p>
        </w:tc>
      </w:tr>
      <w:tr>
        <w:tc>
          <w:tcPr>
            <w:tcW w:w="2320" w:type="dxa"/>
          </w:tcPr>
          <w:p>
            <w:pPr>
              <w:pStyle w:val="2"/>
              <w:tabs>
                <w:tab w:val="left" w:pos="360"/>
                <w:tab w:val="left" w:pos="720"/>
              </w:tabs>
              <w:overflowPunct w:val="0"/>
              <w:autoSpaceDE w:val="0"/>
              <w:autoSpaceDN w:val="0"/>
              <w:adjustRightInd w:val="0"/>
              <w:spacing w:after="240"/>
              <w:ind w:left="0" w:leftChars="0" w:firstLine="0" w:firstLineChars="0"/>
              <w:textAlignment w:val="baseline"/>
              <w:rPr>
                <w:rFonts w:hint="eastAsia"/>
                <w:vertAlign w:val="baseline"/>
              </w:rPr>
            </w:pPr>
            <w:r>
              <w:rPr>
                <w:rFonts w:hint="eastAsia"/>
                <w:vertAlign w:val="baseline"/>
              </w:rPr>
              <w:t>框架与库</w:t>
            </w:r>
          </w:p>
        </w:tc>
        <w:tc>
          <w:tcPr>
            <w:tcW w:w="6742" w:type="dxa"/>
          </w:tcPr>
          <w:p>
            <w:pPr>
              <w:pStyle w:val="2"/>
              <w:tabs>
                <w:tab w:val="left" w:pos="360"/>
                <w:tab w:val="left" w:pos="720"/>
              </w:tabs>
              <w:overflowPunct w:val="0"/>
              <w:autoSpaceDE w:val="0"/>
              <w:autoSpaceDN w:val="0"/>
              <w:adjustRightInd w:val="0"/>
              <w:spacing w:after="240"/>
              <w:ind w:left="0" w:leftChars="0" w:firstLine="0" w:firstLineChars="0"/>
              <w:textAlignment w:val="baseline"/>
              <w:rPr>
                <w:rFonts w:hint="default" w:eastAsia="仿宋_GB2312"/>
                <w:vertAlign w:val="baseline"/>
                <w:lang w:val="en-US" w:eastAsia="zh-CN"/>
              </w:rPr>
            </w:pPr>
            <w:r>
              <w:rPr>
                <w:rFonts w:hint="eastAsia"/>
                <w:vertAlign w:val="baseline"/>
              </w:rPr>
              <w:t>PyTorch 2.0、TensorFlow 2.12、ONNX Runtime 1.15、Vue3、TypeScript 4.9</w:t>
            </w:r>
            <w:r>
              <w:rPr>
                <w:rFonts w:hint="eastAsia"/>
                <w:vertAlign w:val="baseline"/>
                <w:lang w:eastAsia="zh-CN"/>
              </w:rPr>
              <w:t>（</w:t>
            </w:r>
            <w:r>
              <w:rPr>
                <w:rFonts w:hint="eastAsia"/>
                <w:vertAlign w:val="baseline"/>
                <w:lang w:val="en-US" w:eastAsia="zh-CN"/>
              </w:rPr>
              <w:t>具体跟随硬件平台差异化规划并发布）</w:t>
            </w:r>
          </w:p>
        </w:tc>
      </w:tr>
      <w:tr>
        <w:tc>
          <w:tcPr>
            <w:tcW w:w="2320" w:type="dxa"/>
          </w:tcPr>
          <w:p>
            <w:pPr>
              <w:pStyle w:val="2"/>
              <w:tabs>
                <w:tab w:val="left" w:pos="360"/>
                <w:tab w:val="left" w:pos="720"/>
              </w:tabs>
              <w:overflowPunct w:val="0"/>
              <w:autoSpaceDE w:val="0"/>
              <w:autoSpaceDN w:val="0"/>
              <w:adjustRightInd w:val="0"/>
              <w:spacing w:after="240"/>
              <w:ind w:left="0" w:leftChars="0" w:firstLine="0" w:firstLineChars="0"/>
              <w:textAlignment w:val="baseline"/>
              <w:rPr>
                <w:rFonts w:hint="eastAsia"/>
                <w:vertAlign w:val="baseline"/>
              </w:rPr>
            </w:pPr>
            <w:r>
              <w:rPr>
                <w:rFonts w:hint="eastAsia"/>
                <w:vertAlign w:val="baseline"/>
              </w:rPr>
              <w:t>中间件</w:t>
            </w:r>
          </w:p>
        </w:tc>
        <w:tc>
          <w:tcPr>
            <w:tcW w:w="6742" w:type="dxa"/>
          </w:tcPr>
          <w:p>
            <w:pPr>
              <w:pStyle w:val="2"/>
              <w:tabs>
                <w:tab w:val="left" w:pos="360"/>
                <w:tab w:val="left" w:pos="720"/>
              </w:tabs>
              <w:overflowPunct w:val="0"/>
              <w:autoSpaceDE w:val="0"/>
              <w:autoSpaceDN w:val="0"/>
              <w:adjustRightInd w:val="0"/>
              <w:spacing w:after="240"/>
              <w:ind w:left="0" w:leftChars="0" w:firstLine="0" w:firstLineChars="0"/>
              <w:textAlignment w:val="baseline"/>
              <w:rPr>
                <w:rFonts w:hint="eastAsia"/>
                <w:vertAlign w:val="baseline"/>
              </w:rPr>
            </w:pPr>
            <w:r>
              <w:rPr>
                <w:rFonts w:hint="eastAsia"/>
                <w:vertAlign w:val="baseline"/>
              </w:rPr>
              <w:t>MySQL 8.0、MinIO、Redis 6.2、RabbitMQ 3.11</w:t>
            </w:r>
          </w:p>
        </w:tc>
      </w:tr>
      <w:tr>
        <w:tc>
          <w:tcPr>
            <w:tcW w:w="2320" w:type="dxa"/>
          </w:tcPr>
          <w:p>
            <w:pPr>
              <w:pStyle w:val="2"/>
              <w:tabs>
                <w:tab w:val="left" w:pos="360"/>
                <w:tab w:val="left" w:pos="720"/>
              </w:tabs>
              <w:overflowPunct w:val="0"/>
              <w:autoSpaceDE w:val="0"/>
              <w:autoSpaceDN w:val="0"/>
              <w:adjustRightInd w:val="0"/>
              <w:spacing w:after="240"/>
              <w:ind w:left="0" w:leftChars="0" w:firstLine="0" w:firstLineChars="0"/>
              <w:textAlignment w:val="baseline"/>
              <w:rPr>
                <w:rFonts w:hint="eastAsia"/>
                <w:vertAlign w:val="baseline"/>
              </w:rPr>
            </w:pPr>
            <w:r>
              <w:rPr>
                <w:rFonts w:hint="eastAsia"/>
                <w:vertAlign w:val="baseline"/>
              </w:rPr>
              <w:t>监控工具</w:t>
            </w:r>
          </w:p>
        </w:tc>
        <w:tc>
          <w:tcPr>
            <w:tcW w:w="6742" w:type="dxa"/>
          </w:tcPr>
          <w:p>
            <w:pPr>
              <w:pStyle w:val="2"/>
              <w:tabs>
                <w:tab w:val="left" w:pos="360"/>
                <w:tab w:val="left" w:pos="720"/>
              </w:tabs>
              <w:overflowPunct w:val="0"/>
              <w:autoSpaceDE w:val="0"/>
              <w:autoSpaceDN w:val="0"/>
              <w:adjustRightInd w:val="0"/>
              <w:spacing w:after="240"/>
              <w:ind w:left="0" w:leftChars="0" w:firstLine="0" w:firstLineChars="0"/>
              <w:textAlignment w:val="baseline"/>
              <w:rPr>
                <w:rFonts w:hint="eastAsia"/>
                <w:vertAlign w:val="baseline"/>
              </w:rPr>
            </w:pPr>
            <w:r>
              <w:rPr>
                <w:rFonts w:hint="eastAsia"/>
                <w:vertAlign w:val="baseline"/>
              </w:rPr>
              <w:t>Prometheus 2.45、Grafana 10.1、ELK Stack 8.8</w:t>
            </w:r>
          </w:p>
        </w:tc>
      </w:tr>
    </w:tbl>
    <w:p>
      <w:pPr>
        <w:numPr>
          <w:ilvl w:val="1"/>
          <w:numId w:val="1"/>
        </w:numPr>
        <w:tabs>
          <w:tab w:val="left" w:pos="0"/>
        </w:tabs>
        <w:ind w:left="850" w:leftChars="0" w:hanging="453" w:firstLineChars="0"/>
        <w:outlineLvl w:val="1"/>
        <w:rPr>
          <w:sz w:val="32"/>
          <w:szCs w:val="32"/>
        </w:rPr>
      </w:pPr>
      <w:bookmarkStart w:id="61" w:name="_Toc1293627016"/>
      <w:r>
        <w:rPr>
          <w:rFonts w:hint="eastAsia" w:ascii="仿宋_GB2312" w:eastAsia="仿宋_GB2312"/>
          <w:sz w:val="32"/>
          <w:szCs w:val="32"/>
          <w:lang w:val="en-US" w:eastAsia="zh-CN"/>
        </w:rPr>
        <w:t>部署流程</w:t>
      </w:r>
      <w:bookmarkEnd w:id="61"/>
    </w:p>
    <w:p>
      <w:pPr>
        <w:pStyle w:val="2"/>
        <w:ind w:firstLine="552"/>
        <w:rPr>
          <w:rFonts w:hint="eastAsia"/>
        </w:rPr>
      </w:pPr>
      <w:r>
        <w:rPr>
          <w:rFonts w:hint="eastAsia"/>
        </w:rPr>
        <w:t>需求调研与确认：对接甲方明确调试机环境、模型清单、可视化需求，输出《需求规格说明书》；</w:t>
      </w:r>
    </w:p>
    <w:p>
      <w:pPr>
        <w:pStyle w:val="2"/>
        <w:ind w:firstLine="552"/>
        <w:rPr>
          <w:rFonts w:hint="eastAsia"/>
        </w:rPr>
      </w:pPr>
      <w:r>
        <w:rPr>
          <w:rFonts w:hint="eastAsia"/>
        </w:rPr>
        <w:t>资源环境搭建：部署 4 类平台硬件，搭建 MinIO/MySQL/Redis/RabbitMQ 中间件；安装开发工具链，建立 “模型测试库”（20 类模型 + 标准数据集）；</w:t>
      </w:r>
    </w:p>
    <w:p>
      <w:pPr>
        <w:pStyle w:val="2"/>
        <w:ind w:firstLine="552"/>
        <w:rPr>
          <w:rFonts w:hint="eastAsia"/>
        </w:rPr>
      </w:pPr>
      <w:r>
        <w:rPr>
          <w:rFonts w:hint="eastAsia"/>
        </w:rPr>
        <w:t>软件部署：</w:t>
      </w:r>
    </w:p>
    <w:p>
      <w:pPr>
        <w:pStyle w:val="2"/>
        <w:ind w:firstLine="552"/>
        <w:rPr>
          <w:rFonts w:hint="eastAsia"/>
        </w:rPr>
      </w:pPr>
      <w:r>
        <w:rPr>
          <w:rFonts w:hint="eastAsia"/>
        </w:rPr>
        <w:t>前端服务：Nginx 部署 Vue3 项目，配置 HTTPS；</w:t>
      </w:r>
    </w:p>
    <w:p>
      <w:pPr>
        <w:pStyle w:val="2"/>
        <w:ind w:firstLine="552"/>
        <w:rPr>
          <w:rFonts w:hint="eastAsia"/>
        </w:rPr>
      </w:pPr>
      <w:r>
        <w:rPr>
          <w:rFonts w:hint="eastAsia"/>
        </w:rPr>
        <w:t>后端服务：Docker 容器化部署微服务模块，配置网关代理；</w:t>
      </w:r>
    </w:p>
    <w:p>
      <w:pPr>
        <w:pStyle w:val="2"/>
        <w:ind w:firstLine="552"/>
        <w:rPr>
          <w:rFonts w:hint="eastAsia"/>
        </w:rPr>
      </w:pPr>
      <w:r>
        <w:rPr>
          <w:rFonts w:hint="eastAsia"/>
        </w:rPr>
        <w:t>硬件节点：部署专用镜像，配置 SSH/VNC 远程管理；</w:t>
      </w:r>
    </w:p>
    <w:p>
      <w:pPr>
        <w:pStyle w:val="2"/>
        <w:ind w:firstLine="552"/>
        <w:rPr>
          <w:rFonts w:hint="eastAsia"/>
        </w:rPr>
      </w:pPr>
      <w:r>
        <w:rPr>
          <w:rFonts w:hint="eastAsia"/>
        </w:rPr>
        <w:t>适配调试：针对 20 类模型调试转换模板，4 类平台真机测试兼容性，优化算子调用与性能；</w:t>
      </w:r>
    </w:p>
    <w:p>
      <w:pPr>
        <w:pStyle w:val="2"/>
        <w:ind w:firstLine="552"/>
        <w:rPr>
          <w:rFonts w:hint="eastAsia"/>
        </w:rPr>
      </w:pPr>
      <w:r>
        <w:rPr>
          <w:rFonts w:hint="eastAsia"/>
        </w:rPr>
        <w:t>测试与验收：全量功能测试（20 类模型 + 4 类平台）、性能测试（转换时间 / 推理延迟 / 精度损失），输出《测试报告》；甲方预验收后优化，终验交付。</w:t>
      </w:r>
    </w:p>
    <w:p>
      <w:pPr>
        <w:pStyle w:val="2"/>
        <w:ind w:firstLine="552"/>
        <w:rPr>
          <w:rFonts w:hint="eastAsia"/>
        </w:rPr>
      </w:pPr>
      <w:r>
        <w:rPr>
          <w:rFonts w:hint="eastAsia"/>
        </w:rPr>
        <w:tab/>
      </w:r>
    </w:p>
    <w:p>
      <w:pPr>
        <w:numPr>
          <w:ilvl w:val="0"/>
          <w:numId w:val="1"/>
        </w:numPr>
        <w:tabs>
          <w:tab w:val="left" w:pos="0"/>
        </w:tabs>
        <w:ind w:left="425" w:leftChars="0" w:hanging="425" w:firstLineChars="0"/>
        <w:outlineLvl w:val="0"/>
        <w:rPr>
          <w:rFonts w:hint="eastAsia" w:ascii="黑体" w:hAnsi="黑体" w:eastAsia="黑体"/>
          <w:sz w:val="32"/>
          <w:szCs w:val="32"/>
        </w:rPr>
      </w:pPr>
      <w:bookmarkStart w:id="62" w:name="_Toc864815684"/>
      <w:r>
        <w:rPr>
          <w:rFonts w:hint="eastAsia" w:ascii="黑体" w:hAnsi="黑体" w:eastAsia="黑体"/>
          <w:sz w:val="32"/>
          <w:szCs w:val="32"/>
        </w:rPr>
        <w:t>项目实施计划</w:t>
      </w:r>
      <w:bookmarkEnd w:id="62"/>
    </w:p>
    <w:p>
      <w:pPr>
        <w:numPr>
          <w:ilvl w:val="1"/>
          <w:numId w:val="1"/>
        </w:numPr>
        <w:tabs>
          <w:tab w:val="left" w:pos="0"/>
        </w:tabs>
        <w:ind w:left="850" w:leftChars="0" w:hanging="453" w:firstLineChars="0"/>
        <w:outlineLvl w:val="1"/>
        <w:rPr>
          <w:sz w:val="32"/>
          <w:szCs w:val="32"/>
        </w:rPr>
      </w:pPr>
      <w:bookmarkStart w:id="63" w:name="_Toc787878092"/>
      <w:r>
        <w:rPr>
          <w:rFonts w:hint="eastAsia" w:ascii="仿宋_GB2312" w:eastAsia="仿宋_GB2312"/>
          <w:sz w:val="32"/>
          <w:szCs w:val="32"/>
          <w:lang w:val="en-US" w:eastAsia="zh-CN"/>
        </w:rPr>
        <w:t>进度安排</w:t>
      </w:r>
      <w:bookmarkEnd w:id="63"/>
    </w:p>
    <w:tbl>
      <w:tblPr>
        <w:tblStyle w:val="25"/>
        <w:tblW w:w="5003" w:type="pct"/>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CFCFC"/>
        <w:tblLayout w:type="autofit"/>
        <w:tblCellMar>
          <w:top w:w="0" w:type="dxa"/>
          <w:left w:w="0" w:type="dxa"/>
          <w:bottom w:w="0" w:type="dxa"/>
          <w:right w:w="0" w:type="dxa"/>
        </w:tblCellMar>
      </w:tblPr>
      <w:tblGrid>
        <w:gridCol w:w="905"/>
        <w:gridCol w:w="1578"/>
        <w:gridCol w:w="2101"/>
        <w:gridCol w:w="4277"/>
      </w:tblGrid>
      <w:tr>
        <w:trPr>
          <w:tblHeader/>
        </w:trPr>
        <w:tc>
          <w:tcPr>
            <w:tcW w:w="511" w:type="pct"/>
            <w:tcBorders>
              <w:top w:val="single" w:color="000000" w:sz="4" w:space="0"/>
              <w:left w:val="single" w:color="000000" w:sz="4" w:space="0"/>
              <w:bottom w:val="single" w:color="000000" w:sz="4" w:space="0"/>
              <w:right w:val="single" w:color="000000" w:sz="4" w:space="0"/>
              <w:tl2br w:val="nil"/>
            </w:tcBorders>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center"/>
              <w:textAlignment w:val="auto"/>
              <w:rPr>
                <w:rFonts w:hint="eastAsia" w:ascii="仿宋_GB2312" w:hAnsi="仿宋_GB2312" w:eastAsia="仿宋_GB2312" w:cs="仿宋_GB2312"/>
                <w:b w:val="0"/>
                <w:bCs/>
                <w:i w:val="0"/>
                <w:iCs w:val="0"/>
                <w:caps w:val="0"/>
                <w:color w:val="000000"/>
                <w:spacing w:val="0"/>
                <w:sz w:val="28"/>
                <w:szCs w:val="28"/>
              </w:rPr>
            </w:pPr>
            <w:r>
              <w:rPr>
                <w:rFonts w:hint="eastAsia" w:ascii="仿宋_GB2312" w:hAnsi="仿宋_GB2312" w:eastAsia="仿宋_GB2312" w:cs="仿宋_GB2312"/>
                <w:b w:val="0"/>
                <w:bCs/>
                <w:i w:val="0"/>
                <w:iCs w:val="0"/>
                <w:caps w:val="0"/>
                <w:color w:val="000000"/>
                <w:spacing w:val="0"/>
                <w:kern w:val="0"/>
                <w:sz w:val="28"/>
                <w:szCs w:val="28"/>
                <w:lang w:val="en-US" w:eastAsia="zh-CN" w:bidi="ar"/>
              </w:rPr>
              <w:t>序号</w:t>
            </w:r>
          </w:p>
        </w:tc>
        <w:tc>
          <w:tcPr>
            <w:tcW w:w="890" w:type="pct"/>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val="0"/>
                <w:bCs/>
                <w:i w:val="0"/>
                <w:iCs w:val="0"/>
                <w:caps w:val="0"/>
                <w:color w:val="000000"/>
                <w:spacing w:val="0"/>
                <w:sz w:val="28"/>
                <w:szCs w:val="28"/>
              </w:rPr>
            </w:pPr>
            <w:r>
              <w:rPr>
                <w:rFonts w:hint="eastAsia" w:ascii="仿宋_GB2312" w:hAnsi="仿宋_GB2312" w:eastAsia="仿宋_GB2312" w:cs="仿宋_GB2312"/>
                <w:b w:val="0"/>
                <w:bCs/>
                <w:i w:val="0"/>
                <w:iCs w:val="0"/>
                <w:caps w:val="0"/>
                <w:color w:val="000000"/>
                <w:spacing w:val="0"/>
                <w:kern w:val="0"/>
                <w:sz w:val="28"/>
                <w:szCs w:val="28"/>
                <w:lang w:val="en-US" w:eastAsia="zh-CN" w:bidi="ar"/>
              </w:rPr>
              <w:t>项目阶段</w:t>
            </w:r>
          </w:p>
        </w:tc>
        <w:tc>
          <w:tcPr>
            <w:tcW w:w="1185" w:type="pct"/>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538" w:leftChars="-195" w:right="0" w:firstLine="0" w:firstLineChars="0"/>
              <w:jc w:val="center"/>
              <w:textAlignment w:val="auto"/>
              <w:rPr>
                <w:rFonts w:hint="eastAsia" w:ascii="仿宋_GB2312" w:hAnsi="仿宋_GB2312" w:eastAsia="仿宋_GB2312" w:cs="仿宋_GB2312"/>
                <w:b w:val="0"/>
                <w:bCs/>
                <w:i w:val="0"/>
                <w:iCs w:val="0"/>
                <w:caps w:val="0"/>
                <w:color w:val="000000"/>
                <w:spacing w:val="0"/>
                <w:sz w:val="28"/>
                <w:szCs w:val="28"/>
              </w:rPr>
            </w:pPr>
            <w:r>
              <w:rPr>
                <w:rFonts w:hint="eastAsia" w:ascii="仿宋_GB2312" w:hAnsi="仿宋_GB2312" w:eastAsia="仿宋_GB2312" w:cs="仿宋_GB2312"/>
                <w:b w:val="0"/>
                <w:bCs/>
                <w:i w:val="0"/>
                <w:iCs w:val="0"/>
                <w:caps w:val="0"/>
                <w:color w:val="000000"/>
                <w:spacing w:val="0"/>
                <w:kern w:val="0"/>
                <w:sz w:val="28"/>
                <w:szCs w:val="28"/>
                <w:lang w:val="en-US" w:eastAsia="zh-CN" w:bidi="ar"/>
              </w:rPr>
              <w:t>里程碑节点</w:t>
            </w:r>
          </w:p>
        </w:tc>
        <w:tc>
          <w:tcPr>
            <w:tcW w:w="2413" w:type="pct"/>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val="0"/>
                <w:bCs/>
                <w:i w:val="0"/>
                <w:iCs w:val="0"/>
                <w:caps w:val="0"/>
                <w:color w:val="000000"/>
                <w:spacing w:val="0"/>
                <w:sz w:val="28"/>
                <w:szCs w:val="28"/>
              </w:rPr>
            </w:pPr>
            <w:r>
              <w:rPr>
                <w:rFonts w:hint="eastAsia" w:ascii="仿宋_GB2312" w:hAnsi="仿宋_GB2312" w:eastAsia="仿宋_GB2312" w:cs="仿宋_GB2312"/>
                <w:b w:val="0"/>
                <w:bCs/>
                <w:i w:val="0"/>
                <w:iCs w:val="0"/>
                <w:caps w:val="0"/>
                <w:color w:val="000000"/>
                <w:spacing w:val="0"/>
                <w:kern w:val="0"/>
                <w:sz w:val="28"/>
                <w:szCs w:val="28"/>
                <w:lang w:val="en-US" w:eastAsia="zh-CN" w:bidi="ar"/>
              </w:rPr>
              <w:t>核心交付物</w:t>
            </w:r>
          </w:p>
        </w:tc>
      </w:tr>
      <w:tr>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511" w:type="pct"/>
            <w:tcBorders>
              <w:top w:val="single" w:color="000000" w:sz="4" w:space="0"/>
              <w:left w:val="single" w:color="000000" w:sz="4" w:space="0"/>
              <w:bottom w:val="single" w:color="000000" w:sz="4" w:space="0"/>
              <w:right w:val="single" w:color="000000" w:sz="4" w:space="0"/>
            </w:tcBorders>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center"/>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1</w:t>
            </w:r>
          </w:p>
        </w:tc>
        <w:tc>
          <w:tcPr>
            <w:tcW w:w="890" w:type="pct"/>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需求调研与方案设计</w:t>
            </w:r>
          </w:p>
        </w:tc>
        <w:tc>
          <w:tcPr>
            <w:tcW w:w="1185" w:type="pct"/>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538" w:leftChars="-195" w:right="0" w:firstLine="0" w:firstLineChars="0"/>
              <w:jc w:val="center"/>
              <w:textAlignment w:val="auto"/>
              <w:rPr>
                <w:rFonts w:hint="eastAsia" w:ascii="仿宋_GB2312" w:hAnsi="仿宋_GB2312" w:eastAsia="仿宋_GB2312" w:cs="仿宋_GB2312"/>
                <w:b w:val="0"/>
                <w:i w:val="0"/>
                <w:iCs w:val="0"/>
                <w:caps w:val="0"/>
                <w:color w:val="000000"/>
                <w:spacing w:val="0"/>
                <w:sz w:val="28"/>
                <w:szCs w:val="28"/>
                <w:lang w:val="en-US" w:eastAsia="zh"/>
              </w:rPr>
            </w:pPr>
            <w:r>
              <w:rPr>
                <w:rFonts w:hint="eastAsia" w:ascii="仿宋_GB2312" w:hAnsi="仿宋_GB2312" w:eastAsia="仿宋_GB2312" w:cs="仿宋_GB2312"/>
                <w:b w:val="0"/>
                <w:i w:val="0"/>
                <w:iCs w:val="0"/>
                <w:caps w:val="0"/>
                <w:color w:val="000000"/>
                <w:spacing w:val="0"/>
                <w:kern w:val="0"/>
                <w:sz w:val="28"/>
                <w:szCs w:val="28"/>
                <w:lang w:val="en-US" w:eastAsia="zh-CN" w:bidi="ar"/>
              </w:rPr>
              <w:t>2025.10.</w:t>
            </w:r>
            <w:r>
              <w:rPr>
                <w:rFonts w:hint="eastAsia" w:hAnsi="仿宋_GB2312" w:cs="仿宋_GB2312"/>
                <w:b w:val="0"/>
                <w:i w:val="0"/>
                <w:iCs w:val="0"/>
                <w:caps w:val="0"/>
                <w:color w:val="000000"/>
                <w:spacing w:val="0"/>
                <w:kern w:val="0"/>
                <w:sz w:val="28"/>
                <w:szCs w:val="28"/>
                <w:lang w:val="en-US" w:eastAsia="zh" w:bidi="ar"/>
              </w:rPr>
              <w:t>25</w:t>
            </w:r>
          </w:p>
        </w:tc>
        <w:tc>
          <w:tcPr>
            <w:tcW w:w="2413" w:type="pct"/>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《技术方案设计文档》</w:t>
            </w:r>
            <w:r>
              <w:rPr>
                <w:rFonts w:hint="eastAsia" w:hAnsi="仿宋_GB2312" w:cs="仿宋_GB2312"/>
                <w:b w:val="0"/>
                <w:i w:val="0"/>
                <w:iCs w:val="0"/>
                <w:caps w:val="0"/>
                <w:color w:val="000000"/>
                <w:spacing w:val="0"/>
                <w:kern w:val="0"/>
                <w:sz w:val="28"/>
                <w:szCs w:val="28"/>
                <w:lang w:val="en-US" w:eastAsia="zh-CN" w:bidi="ar"/>
              </w:rPr>
              <w:t>、</w:t>
            </w:r>
            <w:r>
              <w:rPr>
                <w:rFonts w:hint="eastAsia" w:ascii="仿宋_GB2312" w:hAnsi="仿宋_GB2312" w:eastAsia="仿宋_GB2312" w:cs="仿宋_GB2312"/>
                <w:b w:val="0"/>
                <w:i w:val="0"/>
                <w:iCs w:val="0"/>
                <w:caps w:val="0"/>
                <w:color w:val="000000"/>
                <w:spacing w:val="0"/>
                <w:kern w:val="0"/>
                <w:sz w:val="28"/>
                <w:szCs w:val="28"/>
                <w:lang w:val="en-US" w:eastAsia="zh-CN" w:bidi="ar"/>
              </w:rPr>
              <w:t>《需求规格说明书》</w:t>
            </w:r>
          </w:p>
        </w:tc>
      </w:tr>
      <w:tr>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511" w:type="pct"/>
            <w:tcBorders>
              <w:top w:val="single" w:color="000000" w:sz="4" w:space="0"/>
              <w:left w:val="single" w:color="000000" w:sz="4" w:space="0"/>
              <w:bottom w:val="single" w:color="000000" w:sz="4" w:space="0"/>
              <w:right w:val="single" w:color="000000" w:sz="4" w:space="0"/>
            </w:tcBorders>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center"/>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2</w:t>
            </w:r>
          </w:p>
        </w:tc>
        <w:tc>
          <w:tcPr>
            <w:tcW w:w="890" w:type="pct"/>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核心开发</w:t>
            </w:r>
          </w:p>
        </w:tc>
        <w:tc>
          <w:tcPr>
            <w:tcW w:w="1185" w:type="pct"/>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538" w:leftChars="-195" w:right="0" w:firstLine="0" w:firstLineChars="0"/>
              <w:jc w:val="center"/>
              <w:textAlignment w:val="auto"/>
              <w:rPr>
                <w:rFonts w:hint="default" w:ascii="仿宋_GB2312" w:hAnsi="仿宋_GB2312" w:eastAsia="仿宋_GB2312" w:cs="仿宋_GB2312"/>
                <w:b w:val="0"/>
                <w:i w:val="0"/>
                <w:iCs w:val="0"/>
                <w:caps w:val="0"/>
                <w:color w:val="000000"/>
                <w:spacing w:val="0"/>
                <w:sz w:val="28"/>
                <w:szCs w:val="28"/>
                <w:lang w:val="en-US"/>
              </w:rPr>
            </w:pPr>
            <w:r>
              <w:rPr>
                <w:rFonts w:hint="eastAsia" w:ascii="仿宋_GB2312" w:hAnsi="仿宋_GB2312" w:eastAsia="仿宋_GB2312" w:cs="仿宋_GB2312"/>
                <w:b w:val="0"/>
                <w:i w:val="0"/>
                <w:iCs w:val="0"/>
                <w:caps w:val="0"/>
                <w:color w:val="000000"/>
                <w:spacing w:val="0"/>
                <w:kern w:val="0"/>
                <w:sz w:val="28"/>
                <w:szCs w:val="28"/>
                <w:lang w:val="en-US" w:eastAsia="zh-CN" w:bidi="ar"/>
              </w:rPr>
              <w:t>2025.11.1</w:t>
            </w:r>
            <w:r>
              <w:rPr>
                <w:rFonts w:hint="eastAsia" w:hAnsi="仿宋_GB2312" w:cs="仿宋_GB2312"/>
                <w:b w:val="0"/>
                <w:i w:val="0"/>
                <w:iCs w:val="0"/>
                <w:caps w:val="0"/>
                <w:color w:val="000000"/>
                <w:spacing w:val="0"/>
                <w:kern w:val="0"/>
                <w:sz w:val="28"/>
                <w:szCs w:val="28"/>
                <w:lang w:val="en-US" w:eastAsia="zh-CN" w:bidi="ar"/>
              </w:rPr>
              <w:t>4</w:t>
            </w:r>
          </w:p>
        </w:tc>
        <w:tc>
          <w:tcPr>
            <w:tcW w:w="2413" w:type="pct"/>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数据输入层（模型解析引擎）、核心处理层（转换模块 + 可视化模块）、输出层（导出接口 + 日志）</w:t>
            </w:r>
          </w:p>
        </w:tc>
      </w:tr>
      <w:tr>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511" w:type="pct"/>
            <w:tcBorders>
              <w:top w:val="single" w:color="000000" w:sz="4" w:space="0"/>
              <w:left w:val="single" w:color="000000" w:sz="4" w:space="0"/>
              <w:bottom w:val="single" w:color="000000" w:sz="4" w:space="0"/>
              <w:right w:val="single" w:color="000000" w:sz="4" w:space="0"/>
            </w:tcBorders>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center"/>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3</w:t>
            </w:r>
          </w:p>
        </w:tc>
        <w:tc>
          <w:tcPr>
            <w:tcW w:w="890" w:type="pct"/>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测试与优化</w:t>
            </w:r>
          </w:p>
        </w:tc>
        <w:tc>
          <w:tcPr>
            <w:tcW w:w="1185" w:type="pct"/>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538" w:leftChars="-195" w:right="0" w:firstLine="0" w:firstLineChars="0"/>
              <w:jc w:val="center"/>
              <w:textAlignment w:val="auto"/>
              <w:rPr>
                <w:rFonts w:hint="default" w:ascii="仿宋_GB2312" w:hAnsi="仿宋_GB2312" w:eastAsia="仿宋_GB2312" w:cs="仿宋_GB2312"/>
                <w:b w:val="0"/>
                <w:i w:val="0"/>
                <w:iCs w:val="0"/>
                <w:caps w:val="0"/>
                <w:color w:val="000000"/>
                <w:spacing w:val="0"/>
                <w:sz w:val="28"/>
                <w:szCs w:val="28"/>
                <w:lang w:val="en-US"/>
              </w:rPr>
            </w:pPr>
            <w:r>
              <w:rPr>
                <w:rFonts w:hint="eastAsia" w:ascii="仿宋_GB2312" w:hAnsi="仿宋_GB2312" w:eastAsia="仿宋_GB2312" w:cs="仿宋_GB2312"/>
                <w:b w:val="0"/>
                <w:i w:val="0"/>
                <w:iCs w:val="0"/>
                <w:caps w:val="0"/>
                <w:color w:val="000000"/>
                <w:spacing w:val="0"/>
                <w:kern w:val="0"/>
                <w:sz w:val="28"/>
                <w:szCs w:val="28"/>
                <w:lang w:val="en-US" w:eastAsia="zh-CN" w:bidi="ar"/>
              </w:rPr>
              <w:t>2025.11.1</w:t>
            </w:r>
            <w:r>
              <w:rPr>
                <w:rFonts w:hint="eastAsia" w:hAnsi="仿宋_GB2312" w:cs="仿宋_GB2312"/>
                <w:b w:val="0"/>
                <w:i w:val="0"/>
                <w:iCs w:val="0"/>
                <w:caps w:val="0"/>
                <w:color w:val="000000"/>
                <w:spacing w:val="0"/>
                <w:kern w:val="0"/>
                <w:sz w:val="28"/>
                <w:szCs w:val="28"/>
                <w:lang w:val="en-US" w:eastAsia="zh-CN" w:bidi="ar"/>
              </w:rPr>
              <w:t>8</w:t>
            </w:r>
          </w:p>
        </w:tc>
        <w:tc>
          <w:tcPr>
            <w:tcW w:w="2413" w:type="pct"/>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《初版测试报告》、问题修复清单、优化后软件版本</w:t>
            </w:r>
          </w:p>
        </w:tc>
      </w:tr>
      <w:tr>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511" w:type="pct"/>
            <w:tcBorders>
              <w:top w:val="single" w:color="000000" w:sz="4" w:space="0"/>
              <w:left w:val="single" w:color="000000" w:sz="4" w:space="0"/>
              <w:bottom w:val="single" w:color="000000" w:sz="4" w:space="0"/>
              <w:right w:val="single" w:color="000000" w:sz="4" w:space="0"/>
            </w:tcBorders>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center"/>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4</w:t>
            </w:r>
          </w:p>
        </w:tc>
        <w:tc>
          <w:tcPr>
            <w:tcW w:w="890" w:type="pct"/>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交付与培训</w:t>
            </w:r>
          </w:p>
        </w:tc>
        <w:tc>
          <w:tcPr>
            <w:tcW w:w="1185" w:type="pct"/>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538" w:leftChars="-195" w:right="0" w:firstLine="0" w:firstLineChars="0"/>
              <w:jc w:val="center"/>
              <w:textAlignment w:val="auto"/>
              <w:rPr>
                <w:rFonts w:hint="eastAsia" w:ascii="仿宋_GB2312" w:hAnsi="仿宋_GB2312" w:eastAsia="仿宋_GB2312" w:cs="仿宋_GB2312"/>
                <w:b w:val="0"/>
                <w:i w:val="0"/>
                <w:iCs w:val="0"/>
                <w:caps w:val="0"/>
                <w:color w:val="000000"/>
                <w:spacing w:val="0"/>
                <w:sz w:val="28"/>
                <w:szCs w:val="28"/>
                <w:lang w:val="en-US" w:eastAsia="zh"/>
              </w:rPr>
            </w:pPr>
            <w:r>
              <w:rPr>
                <w:rFonts w:hint="eastAsia" w:ascii="仿宋_GB2312" w:hAnsi="仿宋_GB2312" w:eastAsia="仿宋_GB2312" w:cs="仿宋_GB2312"/>
                <w:b w:val="0"/>
                <w:i w:val="0"/>
                <w:iCs w:val="0"/>
                <w:caps w:val="0"/>
                <w:color w:val="000000"/>
                <w:spacing w:val="0"/>
                <w:kern w:val="0"/>
                <w:sz w:val="28"/>
                <w:szCs w:val="28"/>
                <w:lang w:val="en-US" w:eastAsia="zh-CN" w:bidi="ar"/>
              </w:rPr>
              <w:t>2025.11.3</w:t>
            </w:r>
            <w:r>
              <w:rPr>
                <w:rFonts w:hint="eastAsia" w:hAnsi="仿宋_GB2312" w:cs="仿宋_GB2312"/>
                <w:b w:val="0"/>
                <w:i w:val="0"/>
                <w:iCs w:val="0"/>
                <w:caps w:val="0"/>
                <w:color w:val="000000"/>
                <w:spacing w:val="0"/>
                <w:kern w:val="0"/>
                <w:sz w:val="28"/>
                <w:szCs w:val="28"/>
                <w:lang w:val="en-US" w:eastAsia="zh" w:bidi="ar"/>
              </w:rPr>
              <w:t>0</w:t>
            </w:r>
          </w:p>
        </w:tc>
        <w:tc>
          <w:tcPr>
            <w:tcW w:w="2413" w:type="pct"/>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软件安装部署、现场培训（《培训纪要》）、全套交付成果、《项目交付确认单》</w:t>
            </w:r>
          </w:p>
        </w:tc>
      </w:tr>
    </w:tbl>
    <w:p>
      <w:pPr>
        <w:pStyle w:val="2"/>
      </w:pPr>
    </w:p>
    <w:p>
      <w:pPr>
        <w:numPr>
          <w:ilvl w:val="1"/>
          <w:numId w:val="1"/>
        </w:numPr>
        <w:tabs>
          <w:tab w:val="left" w:pos="0"/>
        </w:tabs>
        <w:ind w:left="850" w:leftChars="0" w:hanging="453" w:firstLineChars="0"/>
        <w:outlineLvl w:val="1"/>
        <w:rPr>
          <w:sz w:val="32"/>
          <w:szCs w:val="32"/>
        </w:rPr>
      </w:pPr>
      <w:bookmarkStart w:id="64" w:name="_Toc482924842"/>
      <w:r>
        <w:rPr>
          <w:rFonts w:hint="eastAsia" w:ascii="仿宋_GB2312" w:eastAsia="仿宋_GB2312"/>
          <w:sz w:val="32"/>
          <w:szCs w:val="32"/>
          <w:lang w:val="en-US" w:eastAsia="zh-CN"/>
        </w:rPr>
        <w:t>关键里程碑管控</w:t>
      </w:r>
      <w:bookmarkEnd w:id="64"/>
    </w:p>
    <w:p>
      <w:pPr>
        <w:pStyle w:val="2"/>
        <w:rPr>
          <w:rFonts w:hint="eastAsia"/>
        </w:rPr>
      </w:pPr>
      <w:r>
        <w:rPr>
          <w:rFonts w:hint="eastAsia"/>
        </w:rPr>
        <w:t>需求确认：甲方确认《需求规格说明书》，避免后期需求变更；</w:t>
      </w:r>
    </w:p>
    <w:p>
      <w:pPr>
        <w:pStyle w:val="2"/>
        <w:rPr>
          <w:rFonts w:hint="eastAsia"/>
        </w:rPr>
      </w:pPr>
      <w:r>
        <w:rPr>
          <w:rFonts w:hint="eastAsia"/>
        </w:rPr>
        <w:t>开发评审：2025.11.1</w:t>
      </w:r>
      <w:r>
        <w:rPr>
          <w:rFonts w:hint="eastAsia"/>
          <w:lang w:val="en-US" w:eastAsia="zh-CN"/>
        </w:rPr>
        <w:t>4</w:t>
      </w:r>
      <w:r>
        <w:rPr>
          <w:rFonts w:hint="eastAsia"/>
        </w:rPr>
        <w:t xml:space="preserve"> 前完成核心模块评审，确保功能符合设计；</w:t>
      </w:r>
    </w:p>
    <w:p>
      <w:pPr>
        <w:pStyle w:val="2"/>
        <w:rPr>
          <w:rFonts w:hint="eastAsia"/>
        </w:rPr>
      </w:pPr>
      <w:r>
        <w:rPr>
          <w:rFonts w:hint="eastAsia"/>
        </w:rPr>
        <w:t>测试验收：全量测试覆盖率 100%，性能指标达标（如转换成功率≥95%）；</w:t>
      </w:r>
    </w:p>
    <w:p>
      <w:pPr>
        <w:pStyle w:val="2"/>
        <w:rPr>
          <w:rFonts w:hint="eastAsia"/>
        </w:rPr>
      </w:pPr>
      <w:r>
        <w:rPr>
          <w:rFonts w:hint="eastAsia"/>
        </w:rPr>
        <w:t>交付培训：覆盖甲方所有技术人员，确保独立操作与维护。</w:t>
      </w:r>
    </w:p>
    <w:p>
      <w:pPr>
        <w:rPr>
          <w:rFonts w:hint="eastAsia"/>
        </w:rPr>
      </w:pPr>
      <w:r>
        <w:rPr>
          <w:rFonts w:hint="eastAsia"/>
        </w:rPr>
        <w:br w:type="page"/>
      </w:r>
    </w:p>
    <w:p>
      <w:pPr>
        <w:numPr>
          <w:ilvl w:val="0"/>
          <w:numId w:val="1"/>
        </w:numPr>
        <w:tabs>
          <w:tab w:val="left" w:pos="0"/>
        </w:tabs>
        <w:ind w:left="425" w:leftChars="0" w:hanging="425" w:firstLineChars="0"/>
        <w:outlineLvl w:val="0"/>
        <w:rPr>
          <w:rFonts w:hint="eastAsia" w:ascii="黑体" w:hAnsi="黑体" w:eastAsia="黑体"/>
          <w:sz w:val="32"/>
          <w:szCs w:val="32"/>
        </w:rPr>
      </w:pPr>
      <w:bookmarkStart w:id="65" w:name="_Toc1177117481"/>
      <w:r>
        <w:rPr>
          <w:rFonts w:hint="eastAsia" w:ascii="黑体" w:hAnsi="黑体" w:eastAsia="黑体"/>
          <w:sz w:val="32"/>
          <w:szCs w:val="32"/>
        </w:rPr>
        <w:t>交付成果清单</w:t>
      </w:r>
      <w:bookmarkEnd w:id="65"/>
    </w:p>
    <w:tbl>
      <w:tblPr>
        <w:tblStyle w:val="25"/>
        <w:tblW w:w="8851" w:type="dxa"/>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CFCFC"/>
        <w:tblLayout w:type="autofit"/>
        <w:tblCellMar>
          <w:top w:w="0" w:type="dxa"/>
          <w:left w:w="0" w:type="dxa"/>
          <w:bottom w:w="0" w:type="dxa"/>
          <w:right w:w="0" w:type="dxa"/>
        </w:tblCellMar>
      </w:tblPr>
      <w:tblGrid>
        <w:gridCol w:w="721"/>
        <w:gridCol w:w="7066"/>
        <w:gridCol w:w="1064"/>
      </w:tblGrid>
      <w:tr>
        <w:trPr>
          <w:tblHeader/>
        </w:trPr>
        <w:tc>
          <w:tcPr>
            <w:tcW w:w="721" w:type="dxa"/>
            <w:tcBorders>
              <w:top w:val="single" w:color="000000" w:sz="4" w:space="0"/>
              <w:left w:val="single" w:color="000000" w:sz="4" w:space="0"/>
              <w:bottom w:val="single" w:color="000000" w:sz="4" w:space="0"/>
              <w:right w:val="single" w:color="000000" w:sz="4" w:space="0"/>
              <w:tl2br w:val="nil"/>
            </w:tcBorders>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center"/>
              <w:textAlignment w:val="auto"/>
              <w:rPr>
                <w:rFonts w:hint="eastAsia" w:ascii="仿宋_GB2312" w:hAnsi="仿宋_GB2312" w:eastAsia="仿宋_GB2312" w:cs="仿宋_GB2312"/>
                <w:b w:val="0"/>
                <w:bCs/>
                <w:i w:val="0"/>
                <w:iCs w:val="0"/>
                <w:caps w:val="0"/>
                <w:color w:val="000000"/>
                <w:spacing w:val="0"/>
                <w:sz w:val="28"/>
                <w:szCs w:val="28"/>
              </w:rPr>
            </w:pPr>
            <w:r>
              <w:rPr>
                <w:rFonts w:hint="eastAsia" w:ascii="仿宋_GB2312" w:hAnsi="仿宋_GB2312" w:eastAsia="仿宋_GB2312" w:cs="仿宋_GB2312"/>
                <w:b w:val="0"/>
                <w:bCs/>
                <w:i w:val="0"/>
                <w:iCs w:val="0"/>
                <w:caps w:val="0"/>
                <w:color w:val="000000"/>
                <w:spacing w:val="0"/>
                <w:kern w:val="0"/>
                <w:sz w:val="28"/>
                <w:szCs w:val="28"/>
                <w:lang w:val="en-US" w:eastAsia="zh-CN" w:bidi="ar"/>
              </w:rPr>
              <w:t>序号</w:t>
            </w:r>
          </w:p>
        </w:tc>
        <w:tc>
          <w:tcPr>
            <w:tcW w:w="7066" w:type="dxa"/>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val="0"/>
                <w:bCs/>
                <w:i w:val="0"/>
                <w:iCs w:val="0"/>
                <w:caps w:val="0"/>
                <w:color w:val="000000"/>
                <w:spacing w:val="0"/>
                <w:sz w:val="28"/>
                <w:szCs w:val="28"/>
              </w:rPr>
            </w:pPr>
            <w:r>
              <w:rPr>
                <w:rFonts w:hint="eastAsia" w:ascii="仿宋_GB2312" w:hAnsi="仿宋_GB2312" w:eastAsia="仿宋_GB2312" w:cs="仿宋_GB2312"/>
                <w:b w:val="0"/>
                <w:bCs/>
                <w:i w:val="0"/>
                <w:iCs w:val="0"/>
                <w:caps w:val="0"/>
                <w:color w:val="000000"/>
                <w:spacing w:val="0"/>
                <w:kern w:val="0"/>
                <w:sz w:val="28"/>
                <w:szCs w:val="28"/>
                <w:lang w:val="en-US" w:eastAsia="zh-CN" w:bidi="ar"/>
              </w:rPr>
              <w:t>成果名称</w:t>
            </w:r>
          </w:p>
        </w:tc>
        <w:tc>
          <w:tcPr>
            <w:tcW w:w="1064" w:type="dxa"/>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538" w:leftChars="-195" w:right="0" w:firstLine="0" w:firstLineChars="0"/>
              <w:jc w:val="center"/>
              <w:textAlignment w:val="auto"/>
              <w:rPr>
                <w:rFonts w:hint="eastAsia" w:ascii="仿宋_GB2312" w:hAnsi="仿宋_GB2312" w:eastAsia="仿宋_GB2312" w:cs="仿宋_GB2312"/>
                <w:b w:val="0"/>
                <w:bCs/>
                <w:i w:val="0"/>
                <w:iCs w:val="0"/>
                <w:caps w:val="0"/>
                <w:color w:val="000000"/>
                <w:spacing w:val="0"/>
                <w:sz w:val="28"/>
                <w:szCs w:val="28"/>
              </w:rPr>
            </w:pPr>
            <w:r>
              <w:rPr>
                <w:rFonts w:hint="eastAsia" w:ascii="仿宋_GB2312" w:hAnsi="仿宋_GB2312" w:eastAsia="仿宋_GB2312" w:cs="仿宋_GB2312"/>
                <w:b w:val="0"/>
                <w:bCs/>
                <w:i w:val="0"/>
                <w:iCs w:val="0"/>
                <w:caps w:val="0"/>
                <w:color w:val="000000"/>
                <w:spacing w:val="0"/>
                <w:kern w:val="0"/>
                <w:sz w:val="28"/>
                <w:szCs w:val="28"/>
                <w:lang w:val="en-US" w:eastAsia="zh-CN" w:bidi="ar"/>
              </w:rPr>
              <w:t>数量</w:t>
            </w:r>
          </w:p>
        </w:tc>
      </w:tr>
      <w:tr>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721" w:type="dxa"/>
            <w:tcBorders>
              <w:top w:val="single" w:color="000000" w:sz="4" w:space="0"/>
              <w:left w:val="single" w:color="000000" w:sz="4" w:space="0"/>
              <w:bottom w:val="single" w:color="000000" w:sz="4" w:space="0"/>
              <w:right w:val="single" w:color="000000" w:sz="4" w:space="0"/>
            </w:tcBorders>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center"/>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1</w:t>
            </w:r>
          </w:p>
        </w:tc>
        <w:tc>
          <w:tcPr>
            <w:tcW w:w="7066" w:type="dxa"/>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跨平台智能算法模型转化工具（可执行程序 + 可二次开发源代码）</w:t>
            </w:r>
          </w:p>
        </w:tc>
        <w:tc>
          <w:tcPr>
            <w:tcW w:w="1064" w:type="dxa"/>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538" w:leftChars="-195" w:right="0" w:firstLine="0" w:firstLineChars="0"/>
              <w:jc w:val="center"/>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1 套</w:t>
            </w:r>
          </w:p>
        </w:tc>
      </w:tr>
      <w:tr>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721" w:type="dxa"/>
            <w:tcBorders>
              <w:top w:val="single" w:color="000000" w:sz="4" w:space="0"/>
              <w:left w:val="single" w:color="000000" w:sz="4" w:space="0"/>
              <w:bottom w:val="single" w:color="000000" w:sz="4" w:space="0"/>
              <w:right w:val="single" w:color="000000" w:sz="4" w:space="0"/>
            </w:tcBorders>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center"/>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2</w:t>
            </w:r>
          </w:p>
        </w:tc>
        <w:tc>
          <w:tcPr>
            <w:tcW w:w="7066" w:type="dxa"/>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《跨平台智能算法模型转化工具技术方案》</w:t>
            </w:r>
          </w:p>
        </w:tc>
        <w:tc>
          <w:tcPr>
            <w:tcW w:w="1064" w:type="dxa"/>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538" w:leftChars="-195" w:right="0" w:firstLine="0" w:firstLineChars="0"/>
              <w:jc w:val="center"/>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1 份</w:t>
            </w:r>
          </w:p>
        </w:tc>
      </w:tr>
      <w:tr>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721" w:type="dxa"/>
            <w:tcBorders>
              <w:top w:val="single" w:color="000000" w:sz="4" w:space="0"/>
              <w:left w:val="single" w:color="000000" w:sz="4" w:space="0"/>
              <w:bottom w:val="single" w:color="000000" w:sz="4" w:space="0"/>
              <w:right w:val="single" w:color="000000" w:sz="4" w:space="0"/>
            </w:tcBorders>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center"/>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3</w:t>
            </w:r>
          </w:p>
        </w:tc>
        <w:tc>
          <w:tcPr>
            <w:tcW w:w="7066" w:type="dxa"/>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《跨平台智能算法模型转化工具设计说明》</w:t>
            </w:r>
          </w:p>
        </w:tc>
        <w:tc>
          <w:tcPr>
            <w:tcW w:w="1064" w:type="dxa"/>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538" w:leftChars="-195" w:right="0" w:firstLine="0" w:firstLineChars="0"/>
              <w:jc w:val="center"/>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1 份</w:t>
            </w:r>
          </w:p>
        </w:tc>
      </w:tr>
      <w:tr>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721" w:type="dxa"/>
            <w:tcBorders>
              <w:top w:val="single" w:color="000000" w:sz="4" w:space="0"/>
              <w:left w:val="single" w:color="000000" w:sz="4" w:space="0"/>
              <w:bottom w:val="single" w:color="000000" w:sz="4" w:space="0"/>
              <w:right w:val="single" w:color="000000" w:sz="4" w:space="0"/>
            </w:tcBorders>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center"/>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4</w:t>
            </w:r>
          </w:p>
        </w:tc>
        <w:tc>
          <w:tcPr>
            <w:tcW w:w="7066" w:type="dxa"/>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《跨平台智能算法模型转化工具自测试报告》</w:t>
            </w:r>
          </w:p>
        </w:tc>
        <w:tc>
          <w:tcPr>
            <w:tcW w:w="1064" w:type="dxa"/>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538" w:leftChars="-195" w:right="0" w:firstLine="0" w:firstLineChars="0"/>
              <w:jc w:val="center"/>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1 份</w:t>
            </w:r>
          </w:p>
        </w:tc>
      </w:tr>
      <w:tr>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721" w:type="dxa"/>
            <w:tcBorders>
              <w:top w:val="single" w:color="000000" w:sz="4" w:space="0"/>
              <w:left w:val="single" w:color="000000" w:sz="4" w:space="0"/>
              <w:bottom w:val="single" w:color="000000" w:sz="4" w:space="0"/>
              <w:right w:val="single" w:color="000000" w:sz="4" w:space="0"/>
            </w:tcBorders>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center"/>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5</w:t>
            </w:r>
          </w:p>
        </w:tc>
        <w:tc>
          <w:tcPr>
            <w:tcW w:w="7066" w:type="dxa"/>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《跨平台智能算法模型转化工具使用说明书》</w:t>
            </w:r>
          </w:p>
        </w:tc>
        <w:tc>
          <w:tcPr>
            <w:tcW w:w="1064" w:type="dxa"/>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538" w:leftChars="-195" w:right="0" w:firstLine="0" w:firstLineChars="0"/>
              <w:jc w:val="center"/>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1 份</w:t>
            </w:r>
          </w:p>
        </w:tc>
      </w:tr>
      <w:tr>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721" w:type="dxa"/>
            <w:tcBorders>
              <w:top w:val="single" w:color="000000" w:sz="4" w:space="0"/>
              <w:left w:val="single" w:color="000000" w:sz="4" w:space="0"/>
              <w:bottom w:val="single" w:color="000000" w:sz="4" w:space="0"/>
              <w:right w:val="single" w:color="000000" w:sz="4" w:space="0"/>
            </w:tcBorders>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center"/>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6</w:t>
            </w:r>
          </w:p>
        </w:tc>
        <w:tc>
          <w:tcPr>
            <w:tcW w:w="7066" w:type="dxa"/>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《跨平台智能算法模型转化工具自主可控测试报告》</w:t>
            </w:r>
          </w:p>
        </w:tc>
        <w:tc>
          <w:tcPr>
            <w:tcW w:w="1064" w:type="dxa"/>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538" w:leftChars="-195" w:right="0" w:firstLine="0" w:firstLineChars="0"/>
              <w:jc w:val="center"/>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1 份</w:t>
            </w:r>
          </w:p>
        </w:tc>
      </w:tr>
      <w:tr>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721" w:type="dxa"/>
            <w:tcBorders>
              <w:top w:val="single" w:color="000000" w:sz="4" w:space="0"/>
              <w:left w:val="single" w:color="000000" w:sz="4" w:space="0"/>
              <w:bottom w:val="single" w:color="000000" w:sz="4" w:space="0"/>
              <w:right w:val="single" w:color="000000" w:sz="4" w:space="0"/>
            </w:tcBorders>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center"/>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7</w:t>
            </w:r>
          </w:p>
        </w:tc>
        <w:tc>
          <w:tcPr>
            <w:tcW w:w="7066" w:type="dxa"/>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《跨平台智能算法模型转化工具软件授权书》</w:t>
            </w:r>
          </w:p>
        </w:tc>
        <w:tc>
          <w:tcPr>
            <w:tcW w:w="1064" w:type="dxa"/>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538" w:leftChars="-195" w:right="0" w:firstLine="0" w:firstLineChars="0"/>
              <w:jc w:val="center"/>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1 份</w:t>
            </w:r>
          </w:p>
        </w:tc>
      </w:tr>
    </w:tbl>
    <w:p>
      <w:pPr>
        <w:rPr>
          <w:rFonts w:hint="eastAsia"/>
        </w:rPr>
      </w:pPr>
      <w:r>
        <w:rPr>
          <w:rFonts w:hint="eastAsia"/>
        </w:rPr>
        <w:br w:type="page"/>
      </w:r>
    </w:p>
    <w:p>
      <w:pPr>
        <w:numPr>
          <w:ilvl w:val="0"/>
          <w:numId w:val="1"/>
        </w:numPr>
        <w:tabs>
          <w:tab w:val="left" w:pos="0"/>
        </w:tabs>
        <w:ind w:left="425" w:leftChars="0" w:hanging="425" w:firstLineChars="0"/>
        <w:outlineLvl w:val="0"/>
        <w:rPr>
          <w:rFonts w:hint="eastAsia" w:ascii="黑体" w:hAnsi="黑体" w:eastAsia="黑体"/>
          <w:sz w:val="32"/>
          <w:szCs w:val="32"/>
        </w:rPr>
      </w:pPr>
      <w:bookmarkStart w:id="66" w:name="_Toc1194147003"/>
      <w:r>
        <w:rPr>
          <w:rFonts w:hint="eastAsia" w:ascii="黑体" w:hAnsi="黑体" w:eastAsia="黑体"/>
          <w:sz w:val="32"/>
          <w:szCs w:val="32"/>
        </w:rPr>
        <w:t>项目保障体系</w:t>
      </w:r>
      <w:bookmarkEnd w:id="66"/>
    </w:p>
    <w:p>
      <w:pPr>
        <w:numPr>
          <w:ilvl w:val="1"/>
          <w:numId w:val="1"/>
        </w:numPr>
        <w:tabs>
          <w:tab w:val="left" w:pos="0"/>
        </w:tabs>
        <w:ind w:left="850" w:leftChars="0" w:hanging="453" w:firstLineChars="0"/>
        <w:outlineLvl w:val="1"/>
        <w:rPr>
          <w:rFonts w:hint="eastAsia" w:ascii="仿宋_GB2312" w:eastAsia="仿宋_GB2312"/>
          <w:sz w:val="32"/>
          <w:szCs w:val="32"/>
          <w:lang w:val="en-US" w:eastAsia="zh-CN"/>
        </w:rPr>
      </w:pPr>
      <w:bookmarkStart w:id="67" w:name="_Toc1793998206"/>
      <w:r>
        <w:rPr>
          <w:rFonts w:hint="eastAsia" w:ascii="仿宋_GB2312" w:eastAsia="仿宋_GB2312"/>
          <w:sz w:val="32"/>
          <w:szCs w:val="32"/>
          <w:lang w:val="en-US" w:eastAsia="zh-CN"/>
        </w:rPr>
        <w:t>团队配置</w:t>
      </w:r>
      <w:bookmarkEnd w:id="67"/>
    </w:p>
    <w:p>
      <w:pPr>
        <w:pStyle w:val="2"/>
        <w:rPr>
          <w:rFonts w:hint="eastAsia" w:ascii="仿宋_GB2312" w:eastAsia="仿宋_GB2312"/>
          <w:sz w:val="32"/>
          <w:szCs w:val="32"/>
          <w:lang w:val="en-US" w:eastAsia="zh-CN"/>
        </w:rPr>
      </w:pPr>
      <w:r>
        <w:rPr>
          <w:rFonts w:hint="eastAsia" w:ascii="仿宋_GB2312" w:eastAsia="仿宋_GB2312"/>
          <w:sz w:val="28"/>
          <w:szCs w:val="28"/>
          <w:lang w:val="en-US" w:eastAsia="zh-CN"/>
        </w:rPr>
        <w:t>核心团队成员均来自西南交通大学计算机与人工智能学院，具备丰富的 AI 模型与跨平台开发经验：</w:t>
      </w:r>
    </w:p>
    <w:tbl>
      <w:tblPr>
        <w:tblStyle w:val="25"/>
        <w:tblW w:w="88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CFCFC"/>
        <w:tblLayout w:type="fixed"/>
        <w:tblCellMar>
          <w:top w:w="0" w:type="dxa"/>
          <w:left w:w="0" w:type="dxa"/>
          <w:bottom w:w="0" w:type="dxa"/>
          <w:right w:w="0" w:type="dxa"/>
        </w:tblCellMar>
      </w:tblPr>
      <w:tblGrid>
        <w:gridCol w:w="977"/>
        <w:gridCol w:w="1871"/>
        <w:gridCol w:w="1348"/>
        <w:gridCol w:w="4655"/>
      </w:tblGrid>
      <w:tr>
        <w:trPr>
          <w:tblHeader/>
        </w:trPr>
        <w:tc>
          <w:tcPr>
            <w:tcW w:w="977" w:type="dxa"/>
            <w:tcBorders>
              <w:tl2br w:val="nil"/>
            </w:tcBorders>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bCs/>
                <w:i w:val="0"/>
                <w:iCs w:val="0"/>
                <w:caps w:val="0"/>
                <w:color w:val="000000"/>
                <w:spacing w:val="0"/>
                <w:sz w:val="28"/>
                <w:szCs w:val="28"/>
              </w:rPr>
            </w:pPr>
            <w:r>
              <w:rPr>
                <w:rFonts w:hint="eastAsia" w:ascii="仿宋_GB2312" w:hAnsi="仿宋_GB2312" w:eastAsia="仿宋_GB2312" w:cs="仿宋_GB2312"/>
                <w:b w:val="0"/>
                <w:bCs/>
                <w:i w:val="0"/>
                <w:iCs w:val="0"/>
                <w:caps w:val="0"/>
                <w:color w:val="000000"/>
                <w:spacing w:val="0"/>
                <w:kern w:val="0"/>
                <w:sz w:val="28"/>
                <w:szCs w:val="28"/>
                <w:lang w:val="en-US" w:eastAsia="zh-CN" w:bidi="ar"/>
              </w:rPr>
              <w:t>姓名</w:t>
            </w:r>
          </w:p>
        </w:tc>
        <w:tc>
          <w:tcPr>
            <w:tcW w:w="1871"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val="0"/>
                <w:bCs/>
                <w:i w:val="0"/>
                <w:iCs w:val="0"/>
                <w:caps w:val="0"/>
                <w:color w:val="000000"/>
                <w:spacing w:val="0"/>
                <w:sz w:val="28"/>
                <w:szCs w:val="28"/>
              </w:rPr>
            </w:pPr>
            <w:r>
              <w:rPr>
                <w:rFonts w:hint="eastAsia" w:ascii="仿宋_GB2312" w:hAnsi="仿宋_GB2312" w:eastAsia="仿宋_GB2312" w:cs="仿宋_GB2312"/>
                <w:b w:val="0"/>
                <w:bCs/>
                <w:i w:val="0"/>
                <w:iCs w:val="0"/>
                <w:caps w:val="0"/>
                <w:color w:val="000000"/>
                <w:spacing w:val="0"/>
                <w:kern w:val="0"/>
                <w:sz w:val="28"/>
                <w:szCs w:val="28"/>
                <w:lang w:val="en-US" w:eastAsia="zh-CN" w:bidi="ar"/>
              </w:rPr>
              <w:t>学历</w:t>
            </w:r>
          </w:p>
        </w:tc>
        <w:tc>
          <w:tcPr>
            <w:tcW w:w="1348"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val="0"/>
                <w:bCs/>
                <w:i w:val="0"/>
                <w:iCs w:val="0"/>
                <w:caps w:val="0"/>
                <w:color w:val="000000"/>
                <w:spacing w:val="0"/>
                <w:sz w:val="28"/>
                <w:szCs w:val="28"/>
              </w:rPr>
            </w:pPr>
            <w:r>
              <w:rPr>
                <w:rFonts w:hint="eastAsia" w:ascii="仿宋_GB2312" w:hAnsi="仿宋_GB2312" w:eastAsia="仿宋_GB2312" w:cs="仿宋_GB2312"/>
                <w:b w:val="0"/>
                <w:bCs/>
                <w:i w:val="0"/>
                <w:iCs w:val="0"/>
                <w:caps w:val="0"/>
                <w:color w:val="000000"/>
                <w:spacing w:val="0"/>
                <w:kern w:val="0"/>
                <w:sz w:val="28"/>
                <w:szCs w:val="28"/>
                <w:lang w:val="en-US" w:eastAsia="zh-CN" w:bidi="ar"/>
              </w:rPr>
              <w:t>职称</w:t>
            </w:r>
          </w:p>
        </w:tc>
        <w:tc>
          <w:tcPr>
            <w:tcW w:w="4655"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val="0"/>
                <w:bCs/>
                <w:i w:val="0"/>
                <w:iCs w:val="0"/>
                <w:caps w:val="0"/>
                <w:color w:val="000000"/>
                <w:spacing w:val="0"/>
                <w:sz w:val="28"/>
                <w:szCs w:val="28"/>
              </w:rPr>
            </w:pPr>
            <w:r>
              <w:rPr>
                <w:rFonts w:hint="eastAsia" w:ascii="仿宋_GB2312" w:hAnsi="仿宋_GB2312" w:eastAsia="仿宋_GB2312" w:cs="仿宋_GB2312"/>
                <w:b w:val="0"/>
                <w:bCs/>
                <w:i w:val="0"/>
                <w:iCs w:val="0"/>
                <w:caps w:val="0"/>
                <w:color w:val="000000"/>
                <w:spacing w:val="0"/>
                <w:kern w:val="0"/>
                <w:sz w:val="28"/>
                <w:szCs w:val="28"/>
                <w:lang w:val="en-US" w:eastAsia="zh-CN" w:bidi="ar"/>
              </w:rPr>
              <w:t>职责</w:t>
            </w:r>
          </w:p>
        </w:tc>
      </w:tr>
      <w:tr>
        <w:tc>
          <w:tcPr>
            <w:tcW w:w="977" w:type="dxa"/>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龚勋</w:t>
            </w:r>
          </w:p>
        </w:tc>
        <w:tc>
          <w:tcPr>
            <w:tcW w:w="1871"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博士研究生</w:t>
            </w:r>
          </w:p>
        </w:tc>
        <w:tc>
          <w:tcPr>
            <w:tcW w:w="1348"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教授</w:t>
            </w:r>
          </w:p>
        </w:tc>
        <w:tc>
          <w:tcPr>
            <w:tcW w:w="4655"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项目总负责人，统筹技术方案设计与关键技术攻关</w:t>
            </w:r>
          </w:p>
        </w:tc>
      </w:tr>
      <w:tr>
        <w:tc>
          <w:tcPr>
            <w:tcW w:w="977" w:type="dxa"/>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李敏</w:t>
            </w:r>
          </w:p>
        </w:tc>
        <w:tc>
          <w:tcPr>
            <w:tcW w:w="1871"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博士研究生</w:t>
            </w:r>
          </w:p>
        </w:tc>
        <w:tc>
          <w:tcPr>
            <w:tcW w:w="1348"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讲师</w:t>
            </w:r>
          </w:p>
        </w:tc>
        <w:tc>
          <w:tcPr>
            <w:tcW w:w="4655"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技术负责人，核心模块开发与适配调试</w:t>
            </w:r>
          </w:p>
        </w:tc>
      </w:tr>
      <w:tr>
        <w:tc>
          <w:tcPr>
            <w:tcW w:w="977" w:type="dxa"/>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徐天赐</w:t>
            </w:r>
          </w:p>
        </w:tc>
        <w:tc>
          <w:tcPr>
            <w:tcW w:w="1871"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博士</w:t>
            </w:r>
          </w:p>
        </w:tc>
        <w:tc>
          <w:tcPr>
            <w:tcW w:w="1348"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w:t>
            </w:r>
          </w:p>
        </w:tc>
        <w:tc>
          <w:tcPr>
            <w:tcW w:w="4655"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模型转换与可视化模块开发</w:t>
            </w:r>
          </w:p>
        </w:tc>
      </w:tr>
      <w:tr>
        <w:tc>
          <w:tcPr>
            <w:tcW w:w="977" w:type="dxa"/>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林晓兵</w:t>
            </w:r>
          </w:p>
        </w:tc>
        <w:tc>
          <w:tcPr>
            <w:tcW w:w="1871"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博士</w:t>
            </w:r>
          </w:p>
        </w:tc>
        <w:tc>
          <w:tcPr>
            <w:tcW w:w="1348"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w:t>
            </w:r>
          </w:p>
        </w:tc>
        <w:tc>
          <w:tcPr>
            <w:tcW w:w="4655"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推理测试与硬件适配</w:t>
            </w:r>
          </w:p>
        </w:tc>
      </w:tr>
      <w:tr>
        <w:tc>
          <w:tcPr>
            <w:tcW w:w="977" w:type="dxa"/>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李家辉</w:t>
            </w:r>
          </w:p>
        </w:tc>
        <w:tc>
          <w:tcPr>
            <w:tcW w:w="1871"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硕士</w:t>
            </w:r>
          </w:p>
        </w:tc>
        <w:tc>
          <w:tcPr>
            <w:tcW w:w="1348"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w:t>
            </w:r>
          </w:p>
        </w:tc>
        <w:tc>
          <w:tcPr>
            <w:tcW w:w="4655"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前端开发与用户体验优化</w:t>
            </w:r>
          </w:p>
        </w:tc>
      </w:tr>
    </w:tbl>
    <w:p>
      <w:pPr>
        <w:pStyle w:val="2"/>
        <w:rPr>
          <w:rFonts w:hint="eastAsia" w:ascii="仿宋_GB2312" w:eastAsia="仿宋_GB2312"/>
          <w:sz w:val="32"/>
          <w:szCs w:val="32"/>
          <w:lang w:val="en-US" w:eastAsia="zh-CN"/>
        </w:rPr>
      </w:pPr>
    </w:p>
    <w:p>
      <w:pPr>
        <w:numPr>
          <w:ilvl w:val="1"/>
          <w:numId w:val="1"/>
        </w:numPr>
        <w:tabs>
          <w:tab w:val="left" w:pos="0"/>
        </w:tabs>
        <w:ind w:left="850" w:leftChars="0" w:hanging="453" w:firstLineChars="0"/>
        <w:outlineLvl w:val="1"/>
        <w:rPr>
          <w:sz w:val="32"/>
          <w:szCs w:val="32"/>
        </w:rPr>
      </w:pPr>
      <w:bookmarkStart w:id="68" w:name="_Toc1057444362"/>
      <w:r>
        <w:rPr>
          <w:rFonts w:hint="eastAsia"/>
          <w:sz w:val="32"/>
          <w:szCs w:val="32"/>
          <w:lang w:val="en-US" w:eastAsia="zh-CN"/>
        </w:rPr>
        <w:t>售后服务</w:t>
      </w:r>
      <w:bookmarkEnd w:id="68"/>
    </w:p>
    <w:p>
      <w:pPr>
        <w:pStyle w:val="2"/>
        <w:rPr>
          <w:rFonts w:hint="eastAsia"/>
        </w:rPr>
      </w:pPr>
      <w:r>
        <w:rPr>
          <w:rFonts w:hint="eastAsia"/>
        </w:rPr>
        <w:t>服务期限：自验收合格之日起 1 年（合同另有约定除外）；</w:t>
      </w:r>
    </w:p>
    <w:p>
      <w:pPr>
        <w:pStyle w:val="2"/>
        <w:rPr>
          <w:rFonts w:hint="eastAsia"/>
        </w:rPr>
      </w:pPr>
      <w:r>
        <w:rPr>
          <w:rFonts w:hint="eastAsia"/>
        </w:rPr>
        <w:t>响应机制：首接负责制，当场问题即时答复，疑难问题 2 小时内回电；故障处理 72 小时内响应并抵达现场；</w:t>
      </w:r>
    </w:p>
    <w:p>
      <w:pPr>
        <w:pStyle w:val="2"/>
        <w:rPr>
          <w:rFonts w:hint="eastAsia"/>
        </w:rPr>
      </w:pPr>
      <w:r>
        <w:rPr>
          <w:rFonts w:hint="eastAsia"/>
        </w:rPr>
        <w:t>系统维护：功能性升级与安全更新（提前 1 周通知），升级后 24 小时跟进运行情况；</w:t>
      </w:r>
    </w:p>
    <w:p>
      <w:pPr>
        <w:pStyle w:val="2"/>
      </w:pPr>
      <w:r>
        <w:rPr>
          <w:rFonts w:hint="eastAsia"/>
        </w:rPr>
        <w:t>服务团队：专属服务团队，提供完整联系方式，人员变动第一时间通知甲方。</w:t>
      </w:r>
    </w:p>
    <w:p>
      <w:pPr>
        <w:numPr>
          <w:ilvl w:val="1"/>
          <w:numId w:val="1"/>
        </w:numPr>
        <w:tabs>
          <w:tab w:val="left" w:pos="0"/>
        </w:tabs>
        <w:ind w:left="850" w:leftChars="0" w:hanging="453" w:firstLineChars="0"/>
        <w:outlineLvl w:val="1"/>
        <w:rPr>
          <w:sz w:val="32"/>
          <w:szCs w:val="32"/>
        </w:rPr>
      </w:pPr>
      <w:bookmarkStart w:id="69" w:name="_Toc2040213209"/>
      <w:r>
        <w:rPr>
          <w:rFonts w:hint="eastAsia" w:ascii="仿宋_GB2312" w:eastAsia="仿宋_GB2312"/>
          <w:sz w:val="32"/>
          <w:szCs w:val="32"/>
          <w:lang w:val="en-US" w:eastAsia="zh-CN"/>
        </w:rPr>
        <w:t>资质保障</w:t>
      </w:r>
      <w:bookmarkEnd w:id="69"/>
    </w:p>
    <w:p>
      <w:pPr>
        <w:pStyle w:val="2"/>
        <w:rPr>
          <w:rFonts w:hint="eastAsia"/>
        </w:rPr>
      </w:pPr>
      <w:r>
        <w:rPr>
          <w:rFonts w:hint="eastAsia"/>
        </w:rPr>
        <w:t>事业单位法人证书：西南交通大学为教育部直属事业单位，具备合法项目实施资质；</w:t>
      </w:r>
    </w:p>
    <w:p>
      <w:pPr>
        <w:pStyle w:val="2"/>
        <w:rPr>
          <w:rFonts w:hint="eastAsia"/>
        </w:rPr>
      </w:pPr>
      <w:r>
        <w:rPr>
          <w:rFonts w:hint="eastAsia"/>
        </w:rPr>
        <w:t>GJB 质量管理体系证书：符合军用质量管理标准，确保项目质量可控；</w:t>
      </w:r>
    </w:p>
    <w:p>
      <w:pPr>
        <w:pStyle w:val="2"/>
        <w:rPr>
          <w:rFonts w:hint="eastAsia"/>
        </w:rPr>
      </w:pPr>
      <w:r>
        <w:rPr>
          <w:rFonts w:hint="eastAsia"/>
        </w:rPr>
        <w:t>信用资质：“信用中国” 查询无严重失信、经营异常记录（报告编号：20250917102929521880M3）；</w:t>
      </w:r>
    </w:p>
    <w:p>
      <w:pPr>
        <w:pStyle w:val="2"/>
        <w:rPr>
          <w:rFonts w:hint="eastAsia"/>
        </w:rPr>
      </w:pPr>
      <w:r>
        <w:rPr>
          <w:rFonts w:hint="eastAsia"/>
        </w:rPr>
        <w:t>财务资质：提供 2022-2024 年资产负债表与收入支出表，依法纳税与缴纳社保（2025 年 5 月凭证）；</w:t>
      </w:r>
    </w:p>
    <w:p>
      <w:pPr>
        <w:pStyle w:val="2"/>
      </w:pPr>
      <w:r>
        <w:rPr>
          <w:rFonts w:hint="eastAsia"/>
        </w:rPr>
        <w:t>关联关系承诺：无控股、管理关联关系，确保采购活动公平公正。</w:t>
      </w:r>
    </w:p>
    <w:p>
      <w:pPr>
        <w:numPr>
          <w:ilvl w:val="1"/>
          <w:numId w:val="1"/>
        </w:numPr>
        <w:tabs>
          <w:tab w:val="left" w:pos="0"/>
        </w:tabs>
        <w:ind w:left="850" w:leftChars="0" w:hanging="453" w:firstLineChars="0"/>
        <w:outlineLvl w:val="1"/>
        <w:rPr>
          <w:sz w:val="32"/>
          <w:szCs w:val="32"/>
        </w:rPr>
      </w:pPr>
      <w:bookmarkStart w:id="70" w:name="_Toc992012014"/>
      <w:r>
        <w:rPr>
          <w:rFonts w:hint="eastAsia"/>
          <w:sz w:val="32"/>
          <w:szCs w:val="32"/>
          <w:lang w:val="en-US" w:eastAsia="zh-CN"/>
        </w:rPr>
        <w:t>配套能力</w:t>
      </w:r>
      <w:bookmarkEnd w:id="70"/>
    </w:p>
    <w:p>
      <w:pPr>
        <w:pStyle w:val="2"/>
        <w:rPr>
          <w:rFonts w:hint="eastAsia"/>
        </w:rPr>
      </w:pPr>
      <w:r>
        <w:rPr>
          <w:rFonts w:hint="eastAsia"/>
        </w:rPr>
        <w:t>技术积累：团队长期从事智能模型研究，承担空地多机协同、电网巡检、隧道建造等项目，具备模型跨平台适配经验；</w:t>
      </w:r>
    </w:p>
    <w:p>
      <w:pPr>
        <w:pStyle w:val="2"/>
        <w:rPr>
          <w:rFonts w:hint="eastAsia"/>
        </w:rPr>
      </w:pPr>
      <w:r>
        <w:rPr>
          <w:rFonts w:hint="eastAsia"/>
        </w:rPr>
        <w:t>学术创新：在 AAAI 等期刊 / 会议发表大模型相关论文 10 余篇，填补具身智能、多智能体协同领域空白；</w:t>
      </w:r>
    </w:p>
    <w:p>
      <w:pPr>
        <w:pStyle w:val="2"/>
        <w:rPr>
          <w:rFonts w:hint="eastAsia"/>
        </w:rPr>
      </w:pPr>
      <w:r>
        <w:rPr>
          <w:rFonts w:hint="eastAsia"/>
        </w:rPr>
        <w:t>工程实践：构建视觉语言大模型、策略推演大模型等，为工具开发提供扎实技术基础。</w:t>
      </w:r>
    </w:p>
    <w:p>
      <w:pPr>
        <w:rPr>
          <w:rFonts w:hint="eastAsia"/>
        </w:rPr>
        <w:sectPr>
          <w:footerReference r:id="rId10" w:type="default"/>
          <w:pgSz w:w="11907" w:h="16840"/>
          <w:pgMar w:top="2098" w:right="1474" w:bottom="1814" w:left="1587" w:header="851" w:footer="1607" w:gutter="0"/>
          <w:pgNumType w:start="1"/>
          <w:cols w:space="720" w:num="1"/>
          <w:docGrid w:type="linesAndChars" w:linePitch="586" w:charSpace="-842"/>
        </w:sectPr>
      </w:pPr>
      <w:r>
        <w:rPr>
          <w:rFonts w:hint="eastAsia"/>
        </w:rPr>
        <w:br w:type="page"/>
      </w:r>
    </w:p>
    <w:p>
      <w:pPr>
        <w:numPr>
          <w:ilvl w:val="0"/>
          <w:numId w:val="1"/>
        </w:numPr>
        <w:tabs>
          <w:tab w:val="left" w:pos="0"/>
        </w:tabs>
        <w:ind w:left="425" w:leftChars="0" w:hanging="425" w:firstLineChars="0"/>
        <w:outlineLvl w:val="0"/>
        <w:rPr>
          <w:rFonts w:hint="eastAsia" w:ascii="黑体" w:hAnsi="黑体" w:eastAsia="黑体"/>
          <w:sz w:val="32"/>
          <w:szCs w:val="32"/>
        </w:rPr>
      </w:pPr>
      <w:bookmarkStart w:id="71" w:name="_Toc1830367637"/>
      <w:r>
        <w:rPr>
          <w:rFonts w:hint="eastAsia" w:ascii="黑体" w:hAnsi="黑体" w:eastAsia="黑体"/>
          <w:sz w:val="32"/>
          <w:szCs w:val="32"/>
        </w:rPr>
        <w:t>技术响应说明</w:t>
      </w:r>
      <w:bookmarkEnd w:id="71"/>
    </w:p>
    <w:p>
      <w:pPr>
        <w:pStyle w:val="2"/>
        <w:ind w:firstLine="552"/>
        <w:rPr>
          <w:rFonts w:hint="eastAsia"/>
        </w:rPr>
      </w:pPr>
      <w:r>
        <w:rPr>
          <w:rFonts w:hint="eastAsia"/>
        </w:rPr>
        <w:t>根据</w:t>
      </w:r>
      <w:r>
        <w:rPr>
          <w:rFonts w:hint="eastAsia"/>
          <w:lang w:val="en-US" w:eastAsia="zh-CN"/>
        </w:rPr>
        <w:t>招投标</w:t>
      </w:r>
      <w:r>
        <w:rPr>
          <w:rFonts w:hint="eastAsia"/>
        </w:rPr>
        <w:t>文件要求，本技术方案完全满足所有功能与性能指标，无偏离，具体如下：</w:t>
      </w:r>
    </w:p>
    <w:tbl>
      <w:tblPr>
        <w:tblStyle w:val="25"/>
        <w:tblW w:w="1293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Layout w:type="autofit"/>
        <w:tblCellMar>
          <w:top w:w="0" w:type="dxa"/>
          <w:left w:w="0" w:type="dxa"/>
          <w:bottom w:w="0" w:type="dxa"/>
          <w:right w:w="0" w:type="dxa"/>
        </w:tblCellMar>
      </w:tblPr>
      <w:tblGrid>
        <w:gridCol w:w="5264"/>
        <w:gridCol w:w="6412"/>
        <w:gridCol w:w="1257"/>
      </w:tblGrid>
      <w:tr>
        <w:trPr>
          <w:tblHeader/>
        </w:trPr>
        <w:tc>
          <w:tcPr>
            <w:tcW w:w="5264" w:type="dxa"/>
            <w:tcBorders>
              <w:top w:val="single" w:color="000000" w:sz="4" w:space="0"/>
              <w:left w:val="single" w:color="000000" w:sz="4" w:space="0"/>
              <w:bottom w:val="single" w:color="000000" w:sz="4" w:space="0"/>
              <w:right w:val="single" w:color="000000" w:sz="4" w:space="0"/>
              <w:tl2br w:val="nil"/>
            </w:tcBorders>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bCs/>
                <w:i w:val="0"/>
                <w:iCs w:val="0"/>
                <w:caps w:val="0"/>
                <w:color w:val="000000"/>
                <w:spacing w:val="0"/>
                <w:sz w:val="28"/>
                <w:szCs w:val="28"/>
              </w:rPr>
            </w:pPr>
            <w:r>
              <w:rPr>
                <w:rFonts w:hint="eastAsia" w:ascii="仿宋_GB2312" w:hAnsi="仿宋_GB2312" w:eastAsia="仿宋_GB2312" w:cs="仿宋_GB2312"/>
                <w:b w:val="0"/>
                <w:bCs/>
                <w:i w:val="0"/>
                <w:iCs w:val="0"/>
                <w:caps w:val="0"/>
                <w:color w:val="000000"/>
                <w:spacing w:val="0"/>
                <w:kern w:val="0"/>
                <w:sz w:val="28"/>
                <w:szCs w:val="28"/>
                <w:lang w:val="en-US" w:eastAsia="zh-CN" w:bidi="ar"/>
              </w:rPr>
              <w:t>招标要求</w:t>
            </w:r>
          </w:p>
        </w:tc>
        <w:tc>
          <w:tcPr>
            <w:tcW w:w="6412" w:type="dxa"/>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538" w:leftChars="-195" w:right="0" w:firstLine="0" w:firstLineChars="0"/>
              <w:jc w:val="left"/>
              <w:textAlignment w:val="auto"/>
              <w:rPr>
                <w:rFonts w:hint="eastAsia" w:ascii="仿宋_GB2312" w:hAnsi="仿宋_GB2312" w:eastAsia="仿宋_GB2312" w:cs="仿宋_GB2312"/>
                <w:b w:val="0"/>
                <w:bCs/>
                <w:i w:val="0"/>
                <w:iCs w:val="0"/>
                <w:caps w:val="0"/>
                <w:color w:val="000000"/>
                <w:spacing w:val="0"/>
                <w:sz w:val="28"/>
                <w:szCs w:val="28"/>
              </w:rPr>
            </w:pPr>
            <w:r>
              <w:rPr>
                <w:rFonts w:hint="eastAsia" w:ascii="仿宋_GB2312" w:hAnsi="仿宋_GB2312" w:eastAsia="仿宋_GB2312" w:cs="仿宋_GB2312"/>
                <w:b w:val="0"/>
                <w:bCs/>
                <w:i w:val="0"/>
                <w:iCs w:val="0"/>
                <w:caps w:val="0"/>
                <w:color w:val="000000"/>
                <w:spacing w:val="0"/>
                <w:kern w:val="0"/>
                <w:sz w:val="28"/>
                <w:szCs w:val="28"/>
                <w:lang w:val="en-US" w:eastAsia="zh-CN" w:bidi="ar"/>
              </w:rPr>
              <w:t>方案响应</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538" w:leftChars="-195" w:right="0" w:firstLine="0" w:firstLineChars="0"/>
              <w:jc w:val="center"/>
              <w:textAlignment w:val="auto"/>
              <w:rPr>
                <w:rFonts w:hint="eastAsia" w:ascii="仿宋_GB2312" w:hAnsi="仿宋_GB2312" w:eastAsia="仿宋_GB2312" w:cs="仿宋_GB2312"/>
                <w:b w:val="0"/>
                <w:bCs/>
                <w:i w:val="0"/>
                <w:iCs w:val="0"/>
                <w:caps w:val="0"/>
                <w:color w:val="000000"/>
                <w:spacing w:val="0"/>
                <w:sz w:val="28"/>
                <w:szCs w:val="28"/>
              </w:rPr>
            </w:pPr>
            <w:r>
              <w:rPr>
                <w:rFonts w:hint="eastAsia" w:ascii="仿宋_GB2312" w:hAnsi="仿宋_GB2312" w:eastAsia="仿宋_GB2312" w:cs="仿宋_GB2312"/>
                <w:b w:val="0"/>
                <w:bCs/>
                <w:i w:val="0"/>
                <w:iCs w:val="0"/>
                <w:caps w:val="0"/>
                <w:color w:val="000000"/>
                <w:spacing w:val="0"/>
                <w:kern w:val="0"/>
                <w:sz w:val="28"/>
                <w:szCs w:val="28"/>
                <w:lang w:val="en-US" w:eastAsia="zh-CN" w:bidi="ar"/>
              </w:rPr>
              <w:t>偏离情况</w:t>
            </w:r>
          </w:p>
        </w:tc>
      </w:tr>
      <w:tr>
        <w:tc>
          <w:tcPr>
            <w:tcW w:w="5264" w:type="dxa"/>
            <w:tcBorders>
              <w:top w:val="single" w:color="000000" w:sz="4" w:space="0"/>
              <w:left w:val="single" w:color="000000" w:sz="4" w:space="0"/>
              <w:bottom w:val="single" w:color="000000" w:sz="4" w:space="0"/>
              <w:right w:val="single" w:color="000000" w:sz="4" w:space="0"/>
            </w:tcBorders>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支持模型跨平台、跨底层架构格式转化</w:t>
            </w:r>
          </w:p>
        </w:tc>
        <w:tc>
          <w:tcPr>
            <w:tcW w:w="6412" w:type="dxa"/>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538" w:leftChars="-195"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采用 “ONNX 中间格式 + 平台插件”，支持 4 类平台、20 类模型转化</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538" w:leftChars="-195" w:right="0" w:firstLine="0" w:firstLineChars="0"/>
              <w:jc w:val="center"/>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无偏离</w:t>
            </w:r>
          </w:p>
        </w:tc>
      </w:tr>
      <w:tr>
        <w:tc>
          <w:tcPr>
            <w:tcW w:w="5264" w:type="dxa"/>
            <w:tcBorders>
              <w:top w:val="single" w:color="000000" w:sz="4" w:space="0"/>
              <w:left w:val="single" w:color="000000" w:sz="4" w:space="0"/>
              <w:bottom w:val="single" w:color="000000" w:sz="4" w:space="0"/>
              <w:right w:val="single" w:color="000000" w:sz="4" w:space="0"/>
            </w:tcBorders>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可根据模型格式进行可视化，支持 20 类模型网络结构展示</w:t>
            </w:r>
          </w:p>
        </w:tc>
        <w:tc>
          <w:tcPr>
            <w:tcW w:w="6412" w:type="dxa"/>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538" w:leftChars="-195"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差异化模板 + Netron 二次开发，支持 20 类模型结构解析与交互展示</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538" w:leftChars="-195" w:right="0" w:firstLine="0" w:firstLineChars="0"/>
              <w:jc w:val="center"/>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无偏离</w:t>
            </w:r>
          </w:p>
        </w:tc>
      </w:tr>
      <w:tr>
        <w:tc>
          <w:tcPr>
            <w:tcW w:w="5264" w:type="dxa"/>
            <w:tcBorders>
              <w:top w:val="single" w:color="000000" w:sz="4" w:space="0"/>
              <w:left w:val="single" w:color="000000" w:sz="4" w:space="0"/>
              <w:bottom w:val="single" w:color="000000" w:sz="4" w:space="0"/>
              <w:right w:val="single" w:color="000000" w:sz="4" w:space="0"/>
            </w:tcBorders>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支持不少于 4 类平台（华为、瑞芯微、英伟达、寒武纪）模型转化</w:t>
            </w:r>
          </w:p>
        </w:tc>
        <w:tc>
          <w:tcPr>
            <w:tcW w:w="6412" w:type="dxa"/>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538" w:leftChars="-195"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集成 4 类平台专用工具，实现 OM/RKNN/TensorRT Engine/CNModel 格式输出</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538" w:leftChars="-195" w:right="0" w:firstLine="0" w:firstLineChars="0"/>
              <w:jc w:val="center"/>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无偏离</w:t>
            </w:r>
          </w:p>
        </w:tc>
      </w:tr>
      <w:tr>
        <w:tc>
          <w:tcPr>
            <w:tcW w:w="5264" w:type="dxa"/>
            <w:tcBorders>
              <w:top w:val="single" w:color="000000" w:sz="4" w:space="0"/>
              <w:left w:val="single" w:color="000000" w:sz="4" w:space="0"/>
              <w:bottom w:val="single" w:color="000000" w:sz="4" w:space="0"/>
              <w:right w:val="single" w:color="000000" w:sz="4" w:space="0"/>
            </w:tcBorders>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适配英特尔 / 鲲鹏 CPU，英伟达 / 华为 / 寒武纪 GPU 部署</w:t>
            </w:r>
          </w:p>
        </w:tc>
        <w:tc>
          <w:tcPr>
            <w:tcW w:w="6412" w:type="dxa"/>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538" w:leftChars="-195"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硬件资源层部署对应 CPU/GPU，容器化环境确保适配</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538" w:leftChars="-195" w:right="0" w:firstLine="0" w:firstLineChars="0"/>
              <w:jc w:val="center"/>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无偏离</w:t>
            </w:r>
          </w:p>
        </w:tc>
      </w:tr>
      <w:tr>
        <w:tc>
          <w:tcPr>
            <w:tcW w:w="5264" w:type="dxa"/>
            <w:tcBorders>
              <w:top w:val="single" w:color="000000" w:sz="4" w:space="0"/>
              <w:left w:val="single" w:color="000000" w:sz="4" w:space="0"/>
              <w:bottom w:val="single" w:color="000000" w:sz="4" w:space="0"/>
              <w:right w:val="single" w:color="000000" w:sz="4" w:space="0"/>
            </w:tcBorders>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操作系统支持 Linux（Ubuntu20.04+）、麒麟 v10、Windows Server 2019+</w:t>
            </w:r>
          </w:p>
        </w:tc>
        <w:tc>
          <w:tcPr>
            <w:tcW w:w="6412" w:type="dxa"/>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538" w:leftChars="-195"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软件环境完全覆盖，前端服务适配所有指定系统</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538" w:leftChars="-195" w:right="0" w:firstLine="0" w:firstLineChars="0"/>
              <w:jc w:val="center"/>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lang w:val="en-US" w:eastAsia="zh-CN" w:bidi="ar"/>
              </w:rPr>
              <w:t>无偏离</w:t>
            </w:r>
          </w:p>
        </w:tc>
      </w:tr>
    </w:tbl>
    <w:p>
      <w:pPr>
        <w:pStyle w:val="2"/>
        <w:ind w:left="0" w:leftChars="0" w:firstLine="0" w:firstLineChars="0"/>
        <w:rPr>
          <w:rFonts w:hint="eastAsia"/>
        </w:rPr>
      </w:pPr>
    </w:p>
    <w:sectPr>
      <w:pgSz w:w="16840" w:h="11907" w:orient="landscape"/>
      <w:pgMar w:top="1587" w:right="2098" w:bottom="1474" w:left="1814" w:header="851" w:footer="1607" w:gutter="0"/>
      <w:cols w:space="720" w:num="1"/>
      <w:docGrid w:type="linesAndChars" w:linePitch="586" w:charSpace="-84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52"/>
      </w:pPr>
      <w:r>
        <w:separator/>
      </w:r>
    </w:p>
  </w:endnote>
  <w:endnote w:type="continuationSeparator" w:id="1">
    <w:p>
      <w:pPr>
        <w:spacing w:line="240" w:lineRule="auto"/>
        <w:ind w:firstLine="55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0000000000000000000"/>
    <w:charset w:val="86"/>
    <w:family w:val="modern"/>
    <w:pitch w:val="default"/>
    <w:sig w:usb0="00000000" w:usb1="00000000" w:usb2="0000001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Cambria">
    <w:altName w:val="苹方-简"/>
    <w:panose1 w:val="02040503050406030204"/>
    <w:charset w:val="00"/>
    <w:family w:val="roman"/>
    <w:pitch w:val="default"/>
    <w:sig w:usb0="00000000" w:usb1="00000000" w:usb2="02000000" w:usb3="00000000" w:csb0="0000019F" w:csb1="00000000"/>
  </w:font>
  <w:font w:name="CG Times (WN)">
    <w:altName w:val="Times New Roman"/>
    <w:panose1 w:val="00000000000000000000"/>
    <w:charset w:val="00"/>
    <w:family w:val="roman"/>
    <w:pitch w:val="default"/>
    <w:sig w:usb0="00000000" w:usb1="00000000" w:usb2="00000000" w:usb3="00000000" w:csb0="00000001" w:csb1="00000000"/>
  </w:font>
  <w:font w:name="楷体_GB2312">
    <w:altName w:val="汉仪楷体简"/>
    <w:panose1 w:val="02010609030101010101"/>
    <w:charset w:val="86"/>
    <w:family w:val="modern"/>
    <w:pitch w:val="default"/>
    <w:sig w:usb0="00000000" w:usb1="00000000" w:usb2="00000010" w:usb3="00000000" w:csb0="00040000" w:csb1="00000000"/>
  </w:font>
  <w:font w:name="Tahoma">
    <w:panose1 w:val="020B0604030504040204"/>
    <w:charset w:val="00"/>
    <w:family w:val="swiss"/>
    <w:pitch w:val="default"/>
    <w:sig w:usb0="E1002AFF" w:usb1="C000605B" w:usb2="00000029" w:usb3="00000000" w:csb0="200101FF" w:csb1="20280000"/>
  </w:font>
  <w:font w:name="方正小标宋简体">
    <w:altName w:val="方正小标宋_GBK"/>
    <w:panose1 w:val="00000000000000000000"/>
    <w:charset w:val="86"/>
    <w:family w:val="script"/>
    <w:pitch w:val="default"/>
    <w:sig w:usb0="00000000" w:usb1="00000000" w:usb2="00000010" w:usb3="00000000" w:csb0="00040001" w:csb1="00000000"/>
  </w:font>
  <w:font w:name="楷体">
    <w:altName w:val="汉仪楷体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方正小标宋_GBK">
    <w:panose1 w:val="02000000000000000000"/>
    <w:charset w:val="86"/>
    <w:family w:val="auto"/>
    <w:pitch w:val="default"/>
    <w:sig w:usb0="A00002BF" w:usb1="38CF7CFA" w:usb2="00082016" w:usb3="00000000" w:csb0="00040001" w:csb1="00000000"/>
  </w:font>
  <w:font w:name="方正仿宋_GBK">
    <w:panose1 w:val="02000000000000000000"/>
    <w:charset w:val="86"/>
    <w:family w:val="auto"/>
    <w:pitch w:val="default"/>
    <w:sig w:usb0="A00002BF" w:usb1="38CF7CFA" w:usb2="00082016" w:usb3="00000000" w:csb0="00040001" w:csb1="00000000"/>
  </w:font>
  <w:font w:name="汉仪楷体简">
    <w:panose1 w:val="02010600000101010101"/>
    <w:charset w:val="86"/>
    <w:family w:val="auto"/>
    <w:pitch w:val="default"/>
    <w:sig w:usb0="00000001" w:usb1="080E0800" w:usb2="00000002" w:usb3="00000000" w:csb0="00040000" w:csb1="00000000"/>
  </w:font>
  <w:font w:name="仓耳玉楷">
    <w:panose1 w:val="00000000000000000000"/>
    <w:charset w:val="86"/>
    <w:family w:val="auto"/>
    <w:pitch w:val="default"/>
    <w:sig w:usb0="00000001" w:usb1="08000000"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儷宋 Pro">
    <w:panose1 w:val="02020300000000000000"/>
    <w:charset w:val="88"/>
    <w:family w:val="auto"/>
    <w:pitch w:val="default"/>
    <w:sig w:usb0="80000001" w:usb1="28091800" w:usb2="00000016" w:usb3="00000000" w:csb0="00100000" w:csb1="00000000"/>
  </w:font>
  <w:font w:name="汉仪楷体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M1w58KgIAAFU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yBFJ9MVGK7T7dmCwN8UZxJzpJ8NbvqmRfMt8eGAOo4CC8VjCPZZSGiQxg0VJZdyXf53H&#10;eHQIXkoajFZONV4SJfK9RucAGEbDjcZ+NPRR3RnMKrqBWjoTF1yQo1k6oz7jBa1iDriY5siU0zCa&#10;d6Efb7xALlarLgizZlnY6p3lEToq5u3qGCBgp2sUpVdi0ArT1nVmeBlxnP/cd1GPf4Pl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BYAAABk&#10;cnMvUEsBAhQAFAAAAAgAh07iQLNJWO7QAAAABQEAAA8AAAAAAAAAAQAgAAAAOAAAAGRycy9kb3du&#10;cmV2LnhtbFBLAQIUABQAAAAIAIdO4kCM1w58KgIAAFUEAAAOAAAAAAAAAAEAIAAAADUBAABkcnMv&#10;ZTJvRG9jLnhtbFBLBQYAAAAABgAGAFkBAADRBQAAAAA=&#10;">
              <v:fill on="f" focussize="0,0"/>
              <v:stroke on="f" weight="0.5pt"/>
              <v:imagedata o:title=""/>
              <o:lock v:ext="edit" aspectratio="f"/>
              <v:textbox inset="0mm,0mm,0mm,0mm" style="mso-fit-shape-to-text:t;">
                <w:txbxContent>
                  <w:p>
                    <w:pPr>
                      <w:pStyle w:val="15"/>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52"/>
      </w:pPr>
      <w:r>
        <w:separator/>
      </w:r>
    </w:p>
  </w:footnote>
  <w:footnote w:type="continuationSeparator" w:id="1">
    <w:p>
      <w:pPr>
        <w:spacing w:line="240" w:lineRule="auto"/>
        <w:ind w:firstLine="55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B6A9FE"/>
    <w:multiLevelType w:val="singleLevel"/>
    <w:tmpl w:val="BEB6A9FE"/>
    <w:lvl w:ilvl="0" w:tentative="0">
      <w:start w:val="1"/>
      <w:numFmt w:val="bullet"/>
      <w:lvlText w:val=""/>
      <w:lvlJc w:val="left"/>
      <w:pPr>
        <w:ind w:left="420" w:hanging="420"/>
      </w:pPr>
      <w:rPr>
        <w:rFonts w:hint="default" w:ascii="Wingdings" w:hAnsi="Wingdings"/>
      </w:rPr>
    </w:lvl>
  </w:abstractNum>
  <w:abstractNum w:abstractNumId="1">
    <w:nsid w:val="F7FAA9C2"/>
    <w:multiLevelType w:val="multilevel"/>
    <w:tmpl w:val="F7FAA9C2"/>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FCFA0EBF"/>
    <w:multiLevelType w:val="multilevel"/>
    <w:tmpl w:val="FCFA0EBF"/>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6F2B3890"/>
    <w:multiLevelType w:val="multilevel"/>
    <w:tmpl w:val="6F2B3890"/>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420"/>
  <w:drawingGridHorizontalSpacing w:val="103"/>
  <w:drawingGridVerticalSpacing w:val="29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2C22"/>
    <w:rsid w:val="000001C3"/>
    <w:rsid w:val="00002E16"/>
    <w:rsid w:val="00004DC9"/>
    <w:rsid w:val="0000576B"/>
    <w:rsid w:val="00007961"/>
    <w:rsid w:val="00012C95"/>
    <w:rsid w:val="000152C3"/>
    <w:rsid w:val="0002356F"/>
    <w:rsid w:val="000248BA"/>
    <w:rsid w:val="000414EB"/>
    <w:rsid w:val="00044069"/>
    <w:rsid w:val="00056AF7"/>
    <w:rsid w:val="00057CA4"/>
    <w:rsid w:val="000643DA"/>
    <w:rsid w:val="00064F6B"/>
    <w:rsid w:val="00065EE6"/>
    <w:rsid w:val="000666D1"/>
    <w:rsid w:val="0007058F"/>
    <w:rsid w:val="00072071"/>
    <w:rsid w:val="000721F9"/>
    <w:rsid w:val="0007445B"/>
    <w:rsid w:val="00075832"/>
    <w:rsid w:val="00083640"/>
    <w:rsid w:val="00085DBA"/>
    <w:rsid w:val="00086504"/>
    <w:rsid w:val="000A0605"/>
    <w:rsid w:val="000A0664"/>
    <w:rsid w:val="000A6795"/>
    <w:rsid w:val="000A787B"/>
    <w:rsid w:val="000B1D19"/>
    <w:rsid w:val="000B2F0B"/>
    <w:rsid w:val="000B36F4"/>
    <w:rsid w:val="000B4013"/>
    <w:rsid w:val="000C5F9A"/>
    <w:rsid w:val="000D144A"/>
    <w:rsid w:val="000D2DC6"/>
    <w:rsid w:val="000D68AA"/>
    <w:rsid w:val="000E6DF1"/>
    <w:rsid w:val="000F14D6"/>
    <w:rsid w:val="00104204"/>
    <w:rsid w:val="00111083"/>
    <w:rsid w:val="00113FAB"/>
    <w:rsid w:val="00122A9F"/>
    <w:rsid w:val="00123368"/>
    <w:rsid w:val="00127DF2"/>
    <w:rsid w:val="00130235"/>
    <w:rsid w:val="00132B85"/>
    <w:rsid w:val="001343AF"/>
    <w:rsid w:val="00140E25"/>
    <w:rsid w:val="00143877"/>
    <w:rsid w:val="00146738"/>
    <w:rsid w:val="0014758B"/>
    <w:rsid w:val="0015073F"/>
    <w:rsid w:val="0015521D"/>
    <w:rsid w:val="00157827"/>
    <w:rsid w:val="00162764"/>
    <w:rsid w:val="00166293"/>
    <w:rsid w:val="00170E38"/>
    <w:rsid w:val="001819AF"/>
    <w:rsid w:val="00183197"/>
    <w:rsid w:val="001861F8"/>
    <w:rsid w:val="00190278"/>
    <w:rsid w:val="00192892"/>
    <w:rsid w:val="0019419B"/>
    <w:rsid w:val="00194269"/>
    <w:rsid w:val="001A0BF0"/>
    <w:rsid w:val="001A5B9C"/>
    <w:rsid w:val="001A7415"/>
    <w:rsid w:val="001B0C2A"/>
    <w:rsid w:val="001B2077"/>
    <w:rsid w:val="001B4EE9"/>
    <w:rsid w:val="001B7CC7"/>
    <w:rsid w:val="001C06E8"/>
    <w:rsid w:val="001C3E28"/>
    <w:rsid w:val="001C5535"/>
    <w:rsid w:val="001C661A"/>
    <w:rsid w:val="001C79FA"/>
    <w:rsid w:val="001D3729"/>
    <w:rsid w:val="001D3BE7"/>
    <w:rsid w:val="001D3F84"/>
    <w:rsid w:val="001D517F"/>
    <w:rsid w:val="001D7AA3"/>
    <w:rsid w:val="001E036C"/>
    <w:rsid w:val="001E420D"/>
    <w:rsid w:val="001E4385"/>
    <w:rsid w:val="001E5157"/>
    <w:rsid w:val="001E5870"/>
    <w:rsid w:val="001F211A"/>
    <w:rsid w:val="001F6974"/>
    <w:rsid w:val="0020100F"/>
    <w:rsid w:val="00203FE4"/>
    <w:rsid w:val="002048BF"/>
    <w:rsid w:val="00204B8F"/>
    <w:rsid w:val="00211B68"/>
    <w:rsid w:val="00213219"/>
    <w:rsid w:val="00215E5A"/>
    <w:rsid w:val="002167DA"/>
    <w:rsid w:val="00216DF5"/>
    <w:rsid w:val="00217E0D"/>
    <w:rsid w:val="0022025F"/>
    <w:rsid w:val="00221DDB"/>
    <w:rsid w:val="002250BC"/>
    <w:rsid w:val="0022553C"/>
    <w:rsid w:val="00225FE2"/>
    <w:rsid w:val="0023026F"/>
    <w:rsid w:val="0023349A"/>
    <w:rsid w:val="00235B79"/>
    <w:rsid w:val="002434D9"/>
    <w:rsid w:val="00243ADD"/>
    <w:rsid w:val="00244500"/>
    <w:rsid w:val="0025195D"/>
    <w:rsid w:val="00254667"/>
    <w:rsid w:val="00261D61"/>
    <w:rsid w:val="00265858"/>
    <w:rsid w:val="002708EE"/>
    <w:rsid w:val="002714C6"/>
    <w:rsid w:val="0027346B"/>
    <w:rsid w:val="002768D4"/>
    <w:rsid w:val="002837D3"/>
    <w:rsid w:val="00285637"/>
    <w:rsid w:val="00295CDC"/>
    <w:rsid w:val="0029649F"/>
    <w:rsid w:val="002A122B"/>
    <w:rsid w:val="002A44AB"/>
    <w:rsid w:val="002A6140"/>
    <w:rsid w:val="002B32AF"/>
    <w:rsid w:val="002B3D63"/>
    <w:rsid w:val="002B4183"/>
    <w:rsid w:val="002B543E"/>
    <w:rsid w:val="002B6B06"/>
    <w:rsid w:val="002B7125"/>
    <w:rsid w:val="002B73A6"/>
    <w:rsid w:val="002B7824"/>
    <w:rsid w:val="002C15B3"/>
    <w:rsid w:val="002C67F6"/>
    <w:rsid w:val="002D0E2D"/>
    <w:rsid w:val="002D2D49"/>
    <w:rsid w:val="002D33E0"/>
    <w:rsid w:val="002D3542"/>
    <w:rsid w:val="002D6550"/>
    <w:rsid w:val="002E05DD"/>
    <w:rsid w:val="002F6D48"/>
    <w:rsid w:val="002F7F38"/>
    <w:rsid w:val="00301F85"/>
    <w:rsid w:val="00302998"/>
    <w:rsid w:val="0030350B"/>
    <w:rsid w:val="003047A9"/>
    <w:rsid w:val="00305A18"/>
    <w:rsid w:val="00313C8F"/>
    <w:rsid w:val="00316069"/>
    <w:rsid w:val="00317151"/>
    <w:rsid w:val="00320304"/>
    <w:rsid w:val="00323FB1"/>
    <w:rsid w:val="00324CB2"/>
    <w:rsid w:val="00326909"/>
    <w:rsid w:val="00335198"/>
    <w:rsid w:val="0034249C"/>
    <w:rsid w:val="0034401C"/>
    <w:rsid w:val="00344BBF"/>
    <w:rsid w:val="00350662"/>
    <w:rsid w:val="00350C50"/>
    <w:rsid w:val="003519C3"/>
    <w:rsid w:val="00354894"/>
    <w:rsid w:val="00355C67"/>
    <w:rsid w:val="003629D4"/>
    <w:rsid w:val="003659A8"/>
    <w:rsid w:val="00373222"/>
    <w:rsid w:val="00381EFD"/>
    <w:rsid w:val="003821D3"/>
    <w:rsid w:val="00394CDD"/>
    <w:rsid w:val="00396ACA"/>
    <w:rsid w:val="003A3807"/>
    <w:rsid w:val="003A3D82"/>
    <w:rsid w:val="003A4A6A"/>
    <w:rsid w:val="003A4AFB"/>
    <w:rsid w:val="003B5437"/>
    <w:rsid w:val="003C7B98"/>
    <w:rsid w:val="003D11E0"/>
    <w:rsid w:val="003D148D"/>
    <w:rsid w:val="003D2824"/>
    <w:rsid w:val="003D7FD6"/>
    <w:rsid w:val="003E131A"/>
    <w:rsid w:val="003E28AA"/>
    <w:rsid w:val="003E74CD"/>
    <w:rsid w:val="003F0899"/>
    <w:rsid w:val="003F1B61"/>
    <w:rsid w:val="003F5CBA"/>
    <w:rsid w:val="003F5EF8"/>
    <w:rsid w:val="003F6A2E"/>
    <w:rsid w:val="00400C47"/>
    <w:rsid w:val="00402387"/>
    <w:rsid w:val="004060D3"/>
    <w:rsid w:val="00406E7D"/>
    <w:rsid w:val="004078DA"/>
    <w:rsid w:val="00411D79"/>
    <w:rsid w:val="004157EB"/>
    <w:rsid w:val="00416FCB"/>
    <w:rsid w:val="004212EA"/>
    <w:rsid w:val="00423067"/>
    <w:rsid w:val="00425EEF"/>
    <w:rsid w:val="00430E40"/>
    <w:rsid w:val="00432C6A"/>
    <w:rsid w:val="00435FF4"/>
    <w:rsid w:val="0043712C"/>
    <w:rsid w:val="004373B3"/>
    <w:rsid w:val="00444D3D"/>
    <w:rsid w:val="004458DD"/>
    <w:rsid w:val="0044615D"/>
    <w:rsid w:val="00446DB2"/>
    <w:rsid w:val="00451A40"/>
    <w:rsid w:val="00452835"/>
    <w:rsid w:val="00452CE8"/>
    <w:rsid w:val="00457817"/>
    <w:rsid w:val="00460D6E"/>
    <w:rsid w:val="0046144E"/>
    <w:rsid w:val="0046370F"/>
    <w:rsid w:val="00474CC0"/>
    <w:rsid w:val="0047615C"/>
    <w:rsid w:val="0048111E"/>
    <w:rsid w:val="00481B8A"/>
    <w:rsid w:val="00483562"/>
    <w:rsid w:val="00484803"/>
    <w:rsid w:val="00484F86"/>
    <w:rsid w:val="00490831"/>
    <w:rsid w:val="00492042"/>
    <w:rsid w:val="004930FC"/>
    <w:rsid w:val="00493800"/>
    <w:rsid w:val="00496002"/>
    <w:rsid w:val="00497C19"/>
    <w:rsid w:val="004A0E44"/>
    <w:rsid w:val="004A1AE7"/>
    <w:rsid w:val="004A684A"/>
    <w:rsid w:val="004B2617"/>
    <w:rsid w:val="004B3A50"/>
    <w:rsid w:val="004B4145"/>
    <w:rsid w:val="004B4EF2"/>
    <w:rsid w:val="004B5961"/>
    <w:rsid w:val="004D131A"/>
    <w:rsid w:val="004D191F"/>
    <w:rsid w:val="004D2673"/>
    <w:rsid w:val="004D2FF8"/>
    <w:rsid w:val="004D3230"/>
    <w:rsid w:val="004D43A8"/>
    <w:rsid w:val="004D6BDC"/>
    <w:rsid w:val="004D7A74"/>
    <w:rsid w:val="004E3A23"/>
    <w:rsid w:val="004E4F03"/>
    <w:rsid w:val="004F07D7"/>
    <w:rsid w:val="004F288D"/>
    <w:rsid w:val="0050016F"/>
    <w:rsid w:val="00502125"/>
    <w:rsid w:val="00503F72"/>
    <w:rsid w:val="00504555"/>
    <w:rsid w:val="00506225"/>
    <w:rsid w:val="00507C53"/>
    <w:rsid w:val="005113FE"/>
    <w:rsid w:val="00511821"/>
    <w:rsid w:val="00512155"/>
    <w:rsid w:val="00514BDE"/>
    <w:rsid w:val="00516EF9"/>
    <w:rsid w:val="00520414"/>
    <w:rsid w:val="00522FE3"/>
    <w:rsid w:val="00523FD8"/>
    <w:rsid w:val="0052449B"/>
    <w:rsid w:val="00526507"/>
    <w:rsid w:val="005270E4"/>
    <w:rsid w:val="00535167"/>
    <w:rsid w:val="00535DBD"/>
    <w:rsid w:val="00537B16"/>
    <w:rsid w:val="0054098F"/>
    <w:rsid w:val="00542B9C"/>
    <w:rsid w:val="00543E95"/>
    <w:rsid w:val="00546FF6"/>
    <w:rsid w:val="0054782F"/>
    <w:rsid w:val="00552F8F"/>
    <w:rsid w:val="005623AC"/>
    <w:rsid w:val="00565742"/>
    <w:rsid w:val="00565F51"/>
    <w:rsid w:val="00567B8C"/>
    <w:rsid w:val="00571C4B"/>
    <w:rsid w:val="005728C7"/>
    <w:rsid w:val="00572BA2"/>
    <w:rsid w:val="00573B22"/>
    <w:rsid w:val="005755F8"/>
    <w:rsid w:val="00583C95"/>
    <w:rsid w:val="00583EAB"/>
    <w:rsid w:val="005843F8"/>
    <w:rsid w:val="00587E75"/>
    <w:rsid w:val="00591ED6"/>
    <w:rsid w:val="00593C33"/>
    <w:rsid w:val="005A3FBA"/>
    <w:rsid w:val="005A71E8"/>
    <w:rsid w:val="005B3F18"/>
    <w:rsid w:val="005C1358"/>
    <w:rsid w:val="005C22FC"/>
    <w:rsid w:val="005C451F"/>
    <w:rsid w:val="005C6D73"/>
    <w:rsid w:val="005C6E0C"/>
    <w:rsid w:val="005C76BF"/>
    <w:rsid w:val="005D252D"/>
    <w:rsid w:val="005D2CDF"/>
    <w:rsid w:val="005D2F9E"/>
    <w:rsid w:val="005D588C"/>
    <w:rsid w:val="005D772D"/>
    <w:rsid w:val="005E3CB6"/>
    <w:rsid w:val="005E593A"/>
    <w:rsid w:val="005E61B3"/>
    <w:rsid w:val="005F52E6"/>
    <w:rsid w:val="00601A26"/>
    <w:rsid w:val="00601D22"/>
    <w:rsid w:val="00605A1F"/>
    <w:rsid w:val="00605F41"/>
    <w:rsid w:val="0060726B"/>
    <w:rsid w:val="006072E5"/>
    <w:rsid w:val="00610275"/>
    <w:rsid w:val="00610A21"/>
    <w:rsid w:val="006111E6"/>
    <w:rsid w:val="00615445"/>
    <w:rsid w:val="0061614D"/>
    <w:rsid w:val="006221BC"/>
    <w:rsid w:val="00623D82"/>
    <w:rsid w:val="00625953"/>
    <w:rsid w:val="00634E51"/>
    <w:rsid w:val="00636E18"/>
    <w:rsid w:val="00640181"/>
    <w:rsid w:val="006429B7"/>
    <w:rsid w:val="00646E36"/>
    <w:rsid w:val="00647239"/>
    <w:rsid w:val="006514CE"/>
    <w:rsid w:val="00652A01"/>
    <w:rsid w:val="00661138"/>
    <w:rsid w:val="00661932"/>
    <w:rsid w:val="0066772D"/>
    <w:rsid w:val="006704F9"/>
    <w:rsid w:val="00674EB6"/>
    <w:rsid w:val="00675C51"/>
    <w:rsid w:val="006767E2"/>
    <w:rsid w:val="00676D8D"/>
    <w:rsid w:val="00677DD6"/>
    <w:rsid w:val="00680050"/>
    <w:rsid w:val="00680DA2"/>
    <w:rsid w:val="0068338D"/>
    <w:rsid w:val="00684134"/>
    <w:rsid w:val="00685BFB"/>
    <w:rsid w:val="006915FC"/>
    <w:rsid w:val="006965F1"/>
    <w:rsid w:val="00696D92"/>
    <w:rsid w:val="006A35DD"/>
    <w:rsid w:val="006A5094"/>
    <w:rsid w:val="006A645C"/>
    <w:rsid w:val="006A7B1B"/>
    <w:rsid w:val="006B03AB"/>
    <w:rsid w:val="006B122F"/>
    <w:rsid w:val="006B5B39"/>
    <w:rsid w:val="006B607B"/>
    <w:rsid w:val="006B6232"/>
    <w:rsid w:val="006C2490"/>
    <w:rsid w:val="006C33E2"/>
    <w:rsid w:val="006C3FB3"/>
    <w:rsid w:val="006C6539"/>
    <w:rsid w:val="006C69FF"/>
    <w:rsid w:val="006C796C"/>
    <w:rsid w:val="006D1348"/>
    <w:rsid w:val="006D1AEF"/>
    <w:rsid w:val="006E198E"/>
    <w:rsid w:val="006F15DD"/>
    <w:rsid w:val="006F2F3D"/>
    <w:rsid w:val="006F374A"/>
    <w:rsid w:val="006F3939"/>
    <w:rsid w:val="006F3BCC"/>
    <w:rsid w:val="006F6C3B"/>
    <w:rsid w:val="006F7D5C"/>
    <w:rsid w:val="00701B61"/>
    <w:rsid w:val="0070569C"/>
    <w:rsid w:val="00712E6B"/>
    <w:rsid w:val="00726280"/>
    <w:rsid w:val="00726C94"/>
    <w:rsid w:val="00735645"/>
    <w:rsid w:val="0073789F"/>
    <w:rsid w:val="00742CEB"/>
    <w:rsid w:val="0074498A"/>
    <w:rsid w:val="00755D43"/>
    <w:rsid w:val="007617B8"/>
    <w:rsid w:val="00763370"/>
    <w:rsid w:val="007640A4"/>
    <w:rsid w:val="00766FA6"/>
    <w:rsid w:val="0077297B"/>
    <w:rsid w:val="007741CC"/>
    <w:rsid w:val="00774622"/>
    <w:rsid w:val="007748D9"/>
    <w:rsid w:val="00777833"/>
    <w:rsid w:val="007800EB"/>
    <w:rsid w:val="007843D9"/>
    <w:rsid w:val="00786366"/>
    <w:rsid w:val="00787D43"/>
    <w:rsid w:val="007905B5"/>
    <w:rsid w:val="00791171"/>
    <w:rsid w:val="00791D76"/>
    <w:rsid w:val="00794120"/>
    <w:rsid w:val="00795651"/>
    <w:rsid w:val="007A10DD"/>
    <w:rsid w:val="007A674D"/>
    <w:rsid w:val="007A7B17"/>
    <w:rsid w:val="007B499A"/>
    <w:rsid w:val="007B6488"/>
    <w:rsid w:val="007B71F2"/>
    <w:rsid w:val="007C2B2D"/>
    <w:rsid w:val="007C2EE1"/>
    <w:rsid w:val="007C43C6"/>
    <w:rsid w:val="007C6692"/>
    <w:rsid w:val="007D04CB"/>
    <w:rsid w:val="007D3181"/>
    <w:rsid w:val="007E0737"/>
    <w:rsid w:val="007E1D7D"/>
    <w:rsid w:val="007E208C"/>
    <w:rsid w:val="007E57D6"/>
    <w:rsid w:val="007E5852"/>
    <w:rsid w:val="007E5A99"/>
    <w:rsid w:val="007F24A8"/>
    <w:rsid w:val="007F548D"/>
    <w:rsid w:val="007F7FB5"/>
    <w:rsid w:val="00807DFD"/>
    <w:rsid w:val="0081187C"/>
    <w:rsid w:val="0081469E"/>
    <w:rsid w:val="00815997"/>
    <w:rsid w:val="00820539"/>
    <w:rsid w:val="00822658"/>
    <w:rsid w:val="008254E5"/>
    <w:rsid w:val="008358A1"/>
    <w:rsid w:val="00836DA6"/>
    <w:rsid w:val="00842EF2"/>
    <w:rsid w:val="00842F68"/>
    <w:rsid w:val="00844517"/>
    <w:rsid w:val="00844AE4"/>
    <w:rsid w:val="00847392"/>
    <w:rsid w:val="008518F8"/>
    <w:rsid w:val="00855B97"/>
    <w:rsid w:val="00861E15"/>
    <w:rsid w:val="00862A4F"/>
    <w:rsid w:val="00863FE3"/>
    <w:rsid w:val="008706A3"/>
    <w:rsid w:val="00873FF0"/>
    <w:rsid w:val="008758F7"/>
    <w:rsid w:val="00875D5B"/>
    <w:rsid w:val="008829C4"/>
    <w:rsid w:val="008857BC"/>
    <w:rsid w:val="008911FD"/>
    <w:rsid w:val="008A067F"/>
    <w:rsid w:val="008A592E"/>
    <w:rsid w:val="008A6C70"/>
    <w:rsid w:val="008B5EA2"/>
    <w:rsid w:val="008C6B81"/>
    <w:rsid w:val="008C6E4D"/>
    <w:rsid w:val="008D0007"/>
    <w:rsid w:val="008D4E0A"/>
    <w:rsid w:val="008D52D8"/>
    <w:rsid w:val="008E2680"/>
    <w:rsid w:val="008F289B"/>
    <w:rsid w:val="008F578A"/>
    <w:rsid w:val="0090309F"/>
    <w:rsid w:val="00906FBC"/>
    <w:rsid w:val="00907351"/>
    <w:rsid w:val="009165C2"/>
    <w:rsid w:val="009212E6"/>
    <w:rsid w:val="009220B7"/>
    <w:rsid w:val="00924D2A"/>
    <w:rsid w:val="00931157"/>
    <w:rsid w:val="00932ACC"/>
    <w:rsid w:val="00932F2E"/>
    <w:rsid w:val="00934AD8"/>
    <w:rsid w:val="00936C99"/>
    <w:rsid w:val="00936FE1"/>
    <w:rsid w:val="009431EB"/>
    <w:rsid w:val="00947017"/>
    <w:rsid w:val="00950843"/>
    <w:rsid w:val="0095550C"/>
    <w:rsid w:val="00955778"/>
    <w:rsid w:val="00964C0B"/>
    <w:rsid w:val="00967EA4"/>
    <w:rsid w:val="00970256"/>
    <w:rsid w:val="009706C2"/>
    <w:rsid w:val="00972422"/>
    <w:rsid w:val="009743C0"/>
    <w:rsid w:val="009776D6"/>
    <w:rsid w:val="009824F3"/>
    <w:rsid w:val="00983BC7"/>
    <w:rsid w:val="00983EE2"/>
    <w:rsid w:val="00984A54"/>
    <w:rsid w:val="00990989"/>
    <w:rsid w:val="00995389"/>
    <w:rsid w:val="009A0713"/>
    <w:rsid w:val="009A3D81"/>
    <w:rsid w:val="009A5496"/>
    <w:rsid w:val="009A7DA8"/>
    <w:rsid w:val="009B1AE0"/>
    <w:rsid w:val="009B2138"/>
    <w:rsid w:val="009B4E6E"/>
    <w:rsid w:val="009B70CB"/>
    <w:rsid w:val="009B7622"/>
    <w:rsid w:val="009C00EF"/>
    <w:rsid w:val="009C1672"/>
    <w:rsid w:val="009C5DFA"/>
    <w:rsid w:val="009C6195"/>
    <w:rsid w:val="009C7EE6"/>
    <w:rsid w:val="009D0864"/>
    <w:rsid w:val="009D215A"/>
    <w:rsid w:val="009D3FD8"/>
    <w:rsid w:val="009D4E6A"/>
    <w:rsid w:val="009E06B0"/>
    <w:rsid w:val="009E10F1"/>
    <w:rsid w:val="009E183A"/>
    <w:rsid w:val="009E2B5D"/>
    <w:rsid w:val="009E2D72"/>
    <w:rsid w:val="009E53D8"/>
    <w:rsid w:val="009E5BAB"/>
    <w:rsid w:val="009E7D30"/>
    <w:rsid w:val="009F0D73"/>
    <w:rsid w:val="009F1B1F"/>
    <w:rsid w:val="009F1D10"/>
    <w:rsid w:val="009F5DA9"/>
    <w:rsid w:val="00A02B76"/>
    <w:rsid w:val="00A05A54"/>
    <w:rsid w:val="00A10499"/>
    <w:rsid w:val="00A12495"/>
    <w:rsid w:val="00A15F4C"/>
    <w:rsid w:val="00A178A7"/>
    <w:rsid w:val="00A17F8F"/>
    <w:rsid w:val="00A20EFE"/>
    <w:rsid w:val="00A20F4E"/>
    <w:rsid w:val="00A21836"/>
    <w:rsid w:val="00A218AD"/>
    <w:rsid w:val="00A233D9"/>
    <w:rsid w:val="00A27F9F"/>
    <w:rsid w:val="00A308FC"/>
    <w:rsid w:val="00A352BB"/>
    <w:rsid w:val="00A35658"/>
    <w:rsid w:val="00A37ABB"/>
    <w:rsid w:val="00A4098D"/>
    <w:rsid w:val="00A42BA6"/>
    <w:rsid w:val="00A4553E"/>
    <w:rsid w:val="00A471EB"/>
    <w:rsid w:val="00A616EB"/>
    <w:rsid w:val="00A61A82"/>
    <w:rsid w:val="00A643FD"/>
    <w:rsid w:val="00A74666"/>
    <w:rsid w:val="00A74DD6"/>
    <w:rsid w:val="00A75B83"/>
    <w:rsid w:val="00A816C0"/>
    <w:rsid w:val="00A83D33"/>
    <w:rsid w:val="00A844F3"/>
    <w:rsid w:val="00A853CA"/>
    <w:rsid w:val="00A91F92"/>
    <w:rsid w:val="00A95904"/>
    <w:rsid w:val="00AA06FB"/>
    <w:rsid w:val="00AA2777"/>
    <w:rsid w:val="00AA3472"/>
    <w:rsid w:val="00AA523B"/>
    <w:rsid w:val="00AA7348"/>
    <w:rsid w:val="00AA7CB5"/>
    <w:rsid w:val="00AB3507"/>
    <w:rsid w:val="00AB4BB3"/>
    <w:rsid w:val="00AB5E0B"/>
    <w:rsid w:val="00AB75DF"/>
    <w:rsid w:val="00AC4411"/>
    <w:rsid w:val="00AC6591"/>
    <w:rsid w:val="00AD0099"/>
    <w:rsid w:val="00AD0A12"/>
    <w:rsid w:val="00AD27E3"/>
    <w:rsid w:val="00AD45C3"/>
    <w:rsid w:val="00AD64F3"/>
    <w:rsid w:val="00AE2060"/>
    <w:rsid w:val="00AE333D"/>
    <w:rsid w:val="00AE351A"/>
    <w:rsid w:val="00AE52A9"/>
    <w:rsid w:val="00AE76D0"/>
    <w:rsid w:val="00AF0247"/>
    <w:rsid w:val="00AF43D2"/>
    <w:rsid w:val="00AF59F6"/>
    <w:rsid w:val="00B03716"/>
    <w:rsid w:val="00B05B0E"/>
    <w:rsid w:val="00B11D49"/>
    <w:rsid w:val="00B12D1E"/>
    <w:rsid w:val="00B15764"/>
    <w:rsid w:val="00B15FF4"/>
    <w:rsid w:val="00B16C3B"/>
    <w:rsid w:val="00B17F4C"/>
    <w:rsid w:val="00B200C8"/>
    <w:rsid w:val="00B20A0B"/>
    <w:rsid w:val="00B232F0"/>
    <w:rsid w:val="00B252C1"/>
    <w:rsid w:val="00B25FF0"/>
    <w:rsid w:val="00B3350B"/>
    <w:rsid w:val="00B41676"/>
    <w:rsid w:val="00B55C1F"/>
    <w:rsid w:val="00B565DE"/>
    <w:rsid w:val="00B57480"/>
    <w:rsid w:val="00B6189B"/>
    <w:rsid w:val="00B671C2"/>
    <w:rsid w:val="00B7518D"/>
    <w:rsid w:val="00B75C5E"/>
    <w:rsid w:val="00B80248"/>
    <w:rsid w:val="00B8054D"/>
    <w:rsid w:val="00B82997"/>
    <w:rsid w:val="00B8491A"/>
    <w:rsid w:val="00B84F91"/>
    <w:rsid w:val="00B91F8E"/>
    <w:rsid w:val="00B920C8"/>
    <w:rsid w:val="00B93DC2"/>
    <w:rsid w:val="00B940FA"/>
    <w:rsid w:val="00B966A0"/>
    <w:rsid w:val="00BA1BD7"/>
    <w:rsid w:val="00BA2C5F"/>
    <w:rsid w:val="00BA5DE5"/>
    <w:rsid w:val="00BB5B15"/>
    <w:rsid w:val="00BB6265"/>
    <w:rsid w:val="00BC4308"/>
    <w:rsid w:val="00BE0A6A"/>
    <w:rsid w:val="00BE3D96"/>
    <w:rsid w:val="00BE5E0C"/>
    <w:rsid w:val="00BF346E"/>
    <w:rsid w:val="00BF40B0"/>
    <w:rsid w:val="00BF5377"/>
    <w:rsid w:val="00BF65C0"/>
    <w:rsid w:val="00BF75AE"/>
    <w:rsid w:val="00C00AAC"/>
    <w:rsid w:val="00C03ED0"/>
    <w:rsid w:val="00C0402E"/>
    <w:rsid w:val="00C040D7"/>
    <w:rsid w:val="00C04B9C"/>
    <w:rsid w:val="00C04D0C"/>
    <w:rsid w:val="00C10BE6"/>
    <w:rsid w:val="00C11F11"/>
    <w:rsid w:val="00C14257"/>
    <w:rsid w:val="00C164E8"/>
    <w:rsid w:val="00C231C0"/>
    <w:rsid w:val="00C25F4F"/>
    <w:rsid w:val="00C310FD"/>
    <w:rsid w:val="00C31C1A"/>
    <w:rsid w:val="00C32BB7"/>
    <w:rsid w:val="00C45FCD"/>
    <w:rsid w:val="00C4602C"/>
    <w:rsid w:val="00C47238"/>
    <w:rsid w:val="00C5047A"/>
    <w:rsid w:val="00C504DC"/>
    <w:rsid w:val="00C533F1"/>
    <w:rsid w:val="00C556F5"/>
    <w:rsid w:val="00C572E0"/>
    <w:rsid w:val="00C577A2"/>
    <w:rsid w:val="00C60524"/>
    <w:rsid w:val="00C60553"/>
    <w:rsid w:val="00C6114F"/>
    <w:rsid w:val="00C62306"/>
    <w:rsid w:val="00C66622"/>
    <w:rsid w:val="00C70A23"/>
    <w:rsid w:val="00C74404"/>
    <w:rsid w:val="00C75CFD"/>
    <w:rsid w:val="00C76F1B"/>
    <w:rsid w:val="00C854D5"/>
    <w:rsid w:val="00C85CC3"/>
    <w:rsid w:val="00C87D4B"/>
    <w:rsid w:val="00C9256C"/>
    <w:rsid w:val="00CB0016"/>
    <w:rsid w:val="00CB00BB"/>
    <w:rsid w:val="00CB32F6"/>
    <w:rsid w:val="00CB3E6E"/>
    <w:rsid w:val="00CB57CF"/>
    <w:rsid w:val="00CB5EFC"/>
    <w:rsid w:val="00CC1FC4"/>
    <w:rsid w:val="00CC274F"/>
    <w:rsid w:val="00CC3DFA"/>
    <w:rsid w:val="00CC42B1"/>
    <w:rsid w:val="00CC5451"/>
    <w:rsid w:val="00CC5D21"/>
    <w:rsid w:val="00CC7F35"/>
    <w:rsid w:val="00CD3032"/>
    <w:rsid w:val="00CD7060"/>
    <w:rsid w:val="00CE3879"/>
    <w:rsid w:val="00CE49CF"/>
    <w:rsid w:val="00CE51C1"/>
    <w:rsid w:val="00CE5952"/>
    <w:rsid w:val="00D0108A"/>
    <w:rsid w:val="00D0267B"/>
    <w:rsid w:val="00D0338A"/>
    <w:rsid w:val="00D10138"/>
    <w:rsid w:val="00D10FF0"/>
    <w:rsid w:val="00D15707"/>
    <w:rsid w:val="00D15B7D"/>
    <w:rsid w:val="00D169A3"/>
    <w:rsid w:val="00D208E0"/>
    <w:rsid w:val="00D2272A"/>
    <w:rsid w:val="00D25DBC"/>
    <w:rsid w:val="00D25F14"/>
    <w:rsid w:val="00D32E78"/>
    <w:rsid w:val="00D3454D"/>
    <w:rsid w:val="00D376CB"/>
    <w:rsid w:val="00D437FC"/>
    <w:rsid w:val="00D43A1C"/>
    <w:rsid w:val="00D46742"/>
    <w:rsid w:val="00D509EC"/>
    <w:rsid w:val="00D5552E"/>
    <w:rsid w:val="00D62F35"/>
    <w:rsid w:val="00D638F9"/>
    <w:rsid w:val="00D64089"/>
    <w:rsid w:val="00D66F4E"/>
    <w:rsid w:val="00D71266"/>
    <w:rsid w:val="00D726D9"/>
    <w:rsid w:val="00D732A0"/>
    <w:rsid w:val="00D753F0"/>
    <w:rsid w:val="00D7716D"/>
    <w:rsid w:val="00D77D3B"/>
    <w:rsid w:val="00D80C4C"/>
    <w:rsid w:val="00D81F5F"/>
    <w:rsid w:val="00D8262E"/>
    <w:rsid w:val="00D83206"/>
    <w:rsid w:val="00D83C29"/>
    <w:rsid w:val="00D91231"/>
    <w:rsid w:val="00D97C88"/>
    <w:rsid w:val="00DA0BBF"/>
    <w:rsid w:val="00DA292E"/>
    <w:rsid w:val="00DA339C"/>
    <w:rsid w:val="00DA5578"/>
    <w:rsid w:val="00DA5CA1"/>
    <w:rsid w:val="00DA77CD"/>
    <w:rsid w:val="00DB005C"/>
    <w:rsid w:val="00DB1415"/>
    <w:rsid w:val="00DB1734"/>
    <w:rsid w:val="00DB5484"/>
    <w:rsid w:val="00DB5914"/>
    <w:rsid w:val="00DB619D"/>
    <w:rsid w:val="00DC0F60"/>
    <w:rsid w:val="00DC3705"/>
    <w:rsid w:val="00DC4B74"/>
    <w:rsid w:val="00DD0773"/>
    <w:rsid w:val="00DD5184"/>
    <w:rsid w:val="00DD6575"/>
    <w:rsid w:val="00DE1403"/>
    <w:rsid w:val="00DE2E3C"/>
    <w:rsid w:val="00DE5D01"/>
    <w:rsid w:val="00DF0EFD"/>
    <w:rsid w:val="00E00481"/>
    <w:rsid w:val="00E00DC7"/>
    <w:rsid w:val="00E03906"/>
    <w:rsid w:val="00E11197"/>
    <w:rsid w:val="00E15AD4"/>
    <w:rsid w:val="00E271E3"/>
    <w:rsid w:val="00E27E2F"/>
    <w:rsid w:val="00E355F4"/>
    <w:rsid w:val="00E43CB5"/>
    <w:rsid w:val="00E444C8"/>
    <w:rsid w:val="00E4525D"/>
    <w:rsid w:val="00E46C76"/>
    <w:rsid w:val="00E536DB"/>
    <w:rsid w:val="00E53D55"/>
    <w:rsid w:val="00E5503F"/>
    <w:rsid w:val="00E55E3C"/>
    <w:rsid w:val="00E61468"/>
    <w:rsid w:val="00E62873"/>
    <w:rsid w:val="00E63147"/>
    <w:rsid w:val="00E70AE6"/>
    <w:rsid w:val="00E71C96"/>
    <w:rsid w:val="00E72C22"/>
    <w:rsid w:val="00E730C2"/>
    <w:rsid w:val="00E85993"/>
    <w:rsid w:val="00E85A74"/>
    <w:rsid w:val="00E864E4"/>
    <w:rsid w:val="00E872F2"/>
    <w:rsid w:val="00E87E39"/>
    <w:rsid w:val="00E9083B"/>
    <w:rsid w:val="00E9137F"/>
    <w:rsid w:val="00E969E5"/>
    <w:rsid w:val="00E96C57"/>
    <w:rsid w:val="00EA19DD"/>
    <w:rsid w:val="00EA3C13"/>
    <w:rsid w:val="00EA5291"/>
    <w:rsid w:val="00EA6197"/>
    <w:rsid w:val="00EA7660"/>
    <w:rsid w:val="00EA7BE3"/>
    <w:rsid w:val="00EB3265"/>
    <w:rsid w:val="00EB5199"/>
    <w:rsid w:val="00EC457D"/>
    <w:rsid w:val="00EC4B17"/>
    <w:rsid w:val="00EC51FD"/>
    <w:rsid w:val="00EC67AD"/>
    <w:rsid w:val="00EC7E61"/>
    <w:rsid w:val="00ED745D"/>
    <w:rsid w:val="00EE3497"/>
    <w:rsid w:val="00EE3EAC"/>
    <w:rsid w:val="00EE6DEA"/>
    <w:rsid w:val="00EE7091"/>
    <w:rsid w:val="00EF11E0"/>
    <w:rsid w:val="00EF7F92"/>
    <w:rsid w:val="00F01996"/>
    <w:rsid w:val="00F02E64"/>
    <w:rsid w:val="00F1384A"/>
    <w:rsid w:val="00F1507E"/>
    <w:rsid w:val="00F1541E"/>
    <w:rsid w:val="00F21664"/>
    <w:rsid w:val="00F23645"/>
    <w:rsid w:val="00F25479"/>
    <w:rsid w:val="00F26F45"/>
    <w:rsid w:val="00F270B4"/>
    <w:rsid w:val="00F335AD"/>
    <w:rsid w:val="00F34245"/>
    <w:rsid w:val="00F45B8C"/>
    <w:rsid w:val="00F50082"/>
    <w:rsid w:val="00F531B3"/>
    <w:rsid w:val="00F534D6"/>
    <w:rsid w:val="00F55280"/>
    <w:rsid w:val="00F609C8"/>
    <w:rsid w:val="00F60C49"/>
    <w:rsid w:val="00F61EFC"/>
    <w:rsid w:val="00F62020"/>
    <w:rsid w:val="00F62791"/>
    <w:rsid w:val="00F66602"/>
    <w:rsid w:val="00F72609"/>
    <w:rsid w:val="00F8106A"/>
    <w:rsid w:val="00F854F5"/>
    <w:rsid w:val="00F87FB4"/>
    <w:rsid w:val="00F94DEB"/>
    <w:rsid w:val="00F95598"/>
    <w:rsid w:val="00FA040E"/>
    <w:rsid w:val="00FA0567"/>
    <w:rsid w:val="00FA1B2B"/>
    <w:rsid w:val="00FA76C3"/>
    <w:rsid w:val="00FB0A73"/>
    <w:rsid w:val="00FB74D8"/>
    <w:rsid w:val="00FC27C1"/>
    <w:rsid w:val="00FC35E0"/>
    <w:rsid w:val="00FC5DA4"/>
    <w:rsid w:val="00FC7E47"/>
    <w:rsid w:val="00FD18A6"/>
    <w:rsid w:val="00FD2979"/>
    <w:rsid w:val="00FE535B"/>
    <w:rsid w:val="00FE5EFD"/>
    <w:rsid w:val="00FE6224"/>
    <w:rsid w:val="00FE7AF0"/>
    <w:rsid w:val="00FF01F3"/>
    <w:rsid w:val="00FF48D6"/>
    <w:rsid w:val="00FF5189"/>
    <w:rsid w:val="00FF614D"/>
    <w:rsid w:val="00FF6D06"/>
    <w:rsid w:val="01617054"/>
    <w:rsid w:val="04D72BD5"/>
    <w:rsid w:val="05FF5384"/>
    <w:rsid w:val="07F4CAC0"/>
    <w:rsid w:val="080F04E4"/>
    <w:rsid w:val="0975631D"/>
    <w:rsid w:val="0A87637F"/>
    <w:rsid w:val="0B5B6518"/>
    <w:rsid w:val="0C8EBE2F"/>
    <w:rsid w:val="0D6A190E"/>
    <w:rsid w:val="0E9B848C"/>
    <w:rsid w:val="0F402A84"/>
    <w:rsid w:val="0F937BF1"/>
    <w:rsid w:val="0FBFFA1B"/>
    <w:rsid w:val="0FEBE8B2"/>
    <w:rsid w:val="118C38F0"/>
    <w:rsid w:val="13BF5DAD"/>
    <w:rsid w:val="13CDDE72"/>
    <w:rsid w:val="13E1E434"/>
    <w:rsid w:val="14FFD161"/>
    <w:rsid w:val="15BBF2AC"/>
    <w:rsid w:val="175FCB87"/>
    <w:rsid w:val="17BDE0B7"/>
    <w:rsid w:val="17BF7241"/>
    <w:rsid w:val="17F55369"/>
    <w:rsid w:val="187BE5AA"/>
    <w:rsid w:val="18ED0F76"/>
    <w:rsid w:val="19311865"/>
    <w:rsid w:val="1937D7E5"/>
    <w:rsid w:val="19EDB001"/>
    <w:rsid w:val="19FE0D06"/>
    <w:rsid w:val="1ADF09E3"/>
    <w:rsid w:val="1AEED6B1"/>
    <w:rsid w:val="1AF24A26"/>
    <w:rsid w:val="1BD33452"/>
    <w:rsid w:val="1BEB6640"/>
    <w:rsid w:val="1BFD872B"/>
    <w:rsid w:val="1BFFA3E5"/>
    <w:rsid w:val="1CDF66F0"/>
    <w:rsid w:val="1CFEC0F1"/>
    <w:rsid w:val="1DAF0140"/>
    <w:rsid w:val="1DFC3C3A"/>
    <w:rsid w:val="1E67AADB"/>
    <w:rsid w:val="1EBFA404"/>
    <w:rsid w:val="1EDBC0A3"/>
    <w:rsid w:val="1EED0777"/>
    <w:rsid w:val="1EEF24D1"/>
    <w:rsid w:val="1EFF974C"/>
    <w:rsid w:val="1EFFA586"/>
    <w:rsid w:val="1EFFC5A6"/>
    <w:rsid w:val="1EFFF465"/>
    <w:rsid w:val="1F6DB827"/>
    <w:rsid w:val="1F777822"/>
    <w:rsid w:val="1FBFD585"/>
    <w:rsid w:val="1FDF8A0C"/>
    <w:rsid w:val="1FF788C4"/>
    <w:rsid w:val="1FF78A7D"/>
    <w:rsid w:val="20F849A0"/>
    <w:rsid w:val="22EE115D"/>
    <w:rsid w:val="237B21F8"/>
    <w:rsid w:val="23E9365C"/>
    <w:rsid w:val="23F9C932"/>
    <w:rsid w:val="23FE4233"/>
    <w:rsid w:val="25EE7428"/>
    <w:rsid w:val="26DF86AB"/>
    <w:rsid w:val="27791E25"/>
    <w:rsid w:val="277D7A6F"/>
    <w:rsid w:val="27BE72E1"/>
    <w:rsid w:val="27DB32B9"/>
    <w:rsid w:val="27F64451"/>
    <w:rsid w:val="27FFA76E"/>
    <w:rsid w:val="28834FAE"/>
    <w:rsid w:val="2AFF2431"/>
    <w:rsid w:val="2B426C9F"/>
    <w:rsid w:val="2BBA19E1"/>
    <w:rsid w:val="2BBDC055"/>
    <w:rsid w:val="2BF5A335"/>
    <w:rsid w:val="2BFF875A"/>
    <w:rsid w:val="2BFF8AF2"/>
    <w:rsid w:val="2CAB4095"/>
    <w:rsid w:val="2CFFDD42"/>
    <w:rsid w:val="2DBECC4A"/>
    <w:rsid w:val="2DFF2CEB"/>
    <w:rsid w:val="2ED73100"/>
    <w:rsid w:val="2EDCD09D"/>
    <w:rsid w:val="2F5FC39B"/>
    <w:rsid w:val="2F6744A3"/>
    <w:rsid w:val="2F763936"/>
    <w:rsid w:val="2F774B79"/>
    <w:rsid w:val="2F7FCA3C"/>
    <w:rsid w:val="2F87139F"/>
    <w:rsid w:val="2FAF06CB"/>
    <w:rsid w:val="2FBF6F6C"/>
    <w:rsid w:val="2FBFAC98"/>
    <w:rsid w:val="2FCF1E3C"/>
    <w:rsid w:val="2FCFC603"/>
    <w:rsid w:val="2FF702B6"/>
    <w:rsid w:val="2FFE0A1D"/>
    <w:rsid w:val="31A0D86A"/>
    <w:rsid w:val="31E7D315"/>
    <w:rsid w:val="31E7FEE3"/>
    <w:rsid w:val="327E1194"/>
    <w:rsid w:val="32E3EE3D"/>
    <w:rsid w:val="32F8D75D"/>
    <w:rsid w:val="335A2C95"/>
    <w:rsid w:val="33FDDF25"/>
    <w:rsid w:val="34EF3C84"/>
    <w:rsid w:val="355E12AD"/>
    <w:rsid w:val="35BF4692"/>
    <w:rsid w:val="35F7C4B4"/>
    <w:rsid w:val="35FF587C"/>
    <w:rsid w:val="36BF067A"/>
    <w:rsid w:val="36FF504A"/>
    <w:rsid w:val="371265F2"/>
    <w:rsid w:val="373DAA66"/>
    <w:rsid w:val="376E35D1"/>
    <w:rsid w:val="377FBBB7"/>
    <w:rsid w:val="37CD1A92"/>
    <w:rsid w:val="37CF9CB1"/>
    <w:rsid w:val="37DF949A"/>
    <w:rsid w:val="37E7FC12"/>
    <w:rsid w:val="37EDB537"/>
    <w:rsid w:val="37EF33F5"/>
    <w:rsid w:val="37F7ADEF"/>
    <w:rsid w:val="37FB9B27"/>
    <w:rsid w:val="37FF0179"/>
    <w:rsid w:val="387E32E1"/>
    <w:rsid w:val="38CEF9FC"/>
    <w:rsid w:val="38DFA04D"/>
    <w:rsid w:val="3979277B"/>
    <w:rsid w:val="39DFCDFF"/>
    <w:rsid w:val="3AB20CF9"/>
    <w:rsid w:val="3ADD16C6"/>
    <w:rsid w:val="3AED7FC4"/>
    <w:rsid w:val="3AFF462C"/>
    <w:rsid w:val="3AFFCBC2"/>
    <w:rsid w:val="3B5783EC"/>
    <w:rsid w:val="3BB7C162"/>
    <w:rsid w:val="3BC79264"/>
    <w:rsid w:val="3BCF8025"/>
    <w:rsid w:val="3BEDA8A2"/>
    <w:rsid w:val="3BEDCCB7"/>
    <w:rsid w:val="3BEE42E2"/>
    <w:rsid w:val="3BEFF7C7"/>
    <w:rsid w:val="3BF6B54E"/>
    <w:rsid w:val="3BF74FCD"/>
    <w:rsid w:val="3BF7EB61"/>
    <w:rsid w:val="3BF9E799"/>
    <w:rsid w:val="3BFA947F"/>
    <w:rsid w:val="3BFED107"/>
    <w:rsid w:val="3C7E7976"/>
    <w:rsid w:val="3C7FB4F8"/>
    <w:rsid w:val="3CBB7E2E"/>
    <w:rsid w:val="3CDF92D6"/>
    <w:rsid w:val="3D6D2F03"/>
    <w:rsid w:val="3DBEE9A8"/>
    <w:rsid w:val="3DC49865"/>
    <w:rsid w:val="3DDD7ABD"/>
    <w:rsid w:val="3DEC1C64"/>
    <w:rsid w:val="3DF78649"/>
    <w:rsid w:val="3DFF0F82"/>
    <w:rsid w:val="3DFF70AC"/>
    <w:rsid w:val="3DFFF1A7"/>
    <w:rsid w:val="3E2FA3A7"/>
    <w:rsid w:val="3E3F8CAE"/>
    <w:rsid w:val="3EDB1FB3"/>
    <w:rsid w:val="3EDF8BA1"/>
    <w:rsid w:val="3EDFF828"/>
    <w:rsid w:val="3EF7A335"/>
    <w:rsid w:val="3F1F1632"/>
    <w:rsid w:val="3F3B5AA1"/>
    <w:rsid w:val="3F3E7C14"/>
    <w:rsid w:val="3F3FE443"/>
    <w:rsid w:val="3F4DB7F1"/>
    <w:rsid w:val="3F57C50E"/>
    <w:rsid w:val="3F5D679C"/>
    <w:rsid w:val="3F7BD2B8"/>
    <w:rsid w:val="3F7E8B5F"/>
    <w:rsid w:val="3F7ECF2F"/>
    <w:rsid w:val="3F7F08F1"/>
    <w:rsid w:val="3F7FF7F5"/>
    <w:rsid w:val="3F850CD8"/>
    <w:rsid w:val="3FBD24B2"/>
    <w:rsid w:val="3FBEF6E4"/>
    <w:rsid w:val="3FBF4461"/>
    <w:rsid w:val="3FCFC42C"/>
    <w:rsid w:val="3FD110C1"/>
    <w:rsid w:val="3FDD20DB"/>
    <w:rsid w:val="3FDF8EC4"/>
    <w:rsid w:val="3FE766B1"/>
    <w:rsid w:val="3FE7AAE7"/>
    <w:rsid w:val="3FEEC036"/>
    <w:rsid w:val="3FF759BB"/>
    <w:rsid w:val="3FFAB5DE"/>
    <w:rsid w:val="3FFB14B0"/>
    <w:rsid w:val="3FFB3E64"/>
    <w:rsid w:val="3FFB7251"/>
    <w:rsid w:val="3FFD55FC"/>
    <w:rsid w:val="3FFE09DB"/>
    <w:rsid w:val="3FFF2A78"/>
    <w:rsid w:val="3FFFF997"/>
    <w:rsid w:val="4355F141"/>
    <w:rsid w:val="446F6198"/>
    <w:rsid w:val="449D395A"/>
    <w:rsid w:val="44FF87D1"/>
    <w:rsid w:val="46CC20B1"/>
    <w:rsid w:val="46DF4403"/>
    <w:rsid w:val="46EE10A3"/>
    <w:rsid w:val="475F2FF8"/>
    <w:rsid w:val="47BA7E1E"/>
    <w:rsid w:val="47BD843F"/>
    <w:rsid w:val="47DE3EA7"/>
    <w:rsid w:val="47ED286A"/>
    <w:rsid w:val="47F5CCF1"/>
    <w:rsid w:val="47FF4C68"/>
    <w:rsid w:val="4B7C357A"/>
    <w:rsid w:val="4BB64510"/>
    <w:rsid w:val="4BBB1789"/>
    <w:rsid w:val="4BF83A92"/>
    <w:rsid w:val="4D7EA4D3"/>
    <w:rsid w:val="4DDBD69E"/>
    <w:rsid w:val="4DF7CF85"/>
    <w:rsid w:val="4E614DB4"/>
    <w:rsid w:val="4EFD1883"/>
    <w:rsid w:val="4F2D521A"/>
    <w:rsid w:val="4F708015"/>
    <w:rsid w:val="4F8F447B"/>
    <w:rsid w:val="4FA77A58"/>
    <w:rsid w:val="4FB05370"/>
    <w:rsid w:val="4FBEACBA"/>
    <w:rsid w:val="4FBF1DE3"/>
    <w:rsid w:val="4FDD2E4F"/>
    <w:rsid w:val="4FE2CD8A"/>
    <w:rsid w:val="4FEB4BAD"/>
    <w:rsid w:val="4FEC76EF"/>
    <w:rsid w:val="4FF37BB7"/>
    <w:rsid w:val="4FF79B4E"/>
    <w:rsid w:val="4FFAC840"/>
    <w:rsid w:val="4FFE644E"/>
    <w:rsid w:val="4FFFE735"/>
    <w:rsid w:val="519F8C02"/>
    <w:rsid w:val="51F7CD5F"/>
    <w:rsid w:val="5231383A"/>
    <w:rsid w:val="52E72486"/>
    <w:rsid w:val="52FB6C78"/>
    <w:rsid w:val="533F88E4"/>
    <w:rsid w:val="537125EA"/>
    <w:rsid w:val="53AEF7EE"/>
    <w:rsid w:val="53EFE7B4"/>
    <w:rsid w:val="543FD237"/>
    <w:rsid w:val="5456ADCF"/>
    <w:rsid w:val="547F719E"/>
    <w:rsid w:val="54CDB972"/>
    <w:rsid w:val="54DB1282"/>
    <w:rsid w:val="54F7EE4A"/>
    <w:rsid w:val="555E4999"/>
    <w:rsid w:val="55651104"/>
    <w:rsid w:val="55EA39AC"/>
    <w:rsid w:val="567BF25F"/>
    <w:rsid w:val="567CB1DD"/>
    <w:rsid w:val="567F9A32"/>
    <w:rsid w:val="56FF24E5"/>
    <w:rsid w:val="5734406F"/>
    <w:rsid w:val="57763A75"/>
    <w:rsid w:val="57DD1185"/>
    <w:rsid w:val="57DD7842"/>
    <w:rsid w:val="57E98872"/>
    <w:rsid w:val="57EA7DF7"/>
    <w:rsid w:val="57EB7694"/>
    <w:rsid w:val="57F6CEBE"/>
    <w:rsid w:val="57FC77CD"/>
    <w:rsid w:val="585DE389"/>
    <w:rsid w:val="58BEF1C2"/>
    <w:rsid w:val="59C35FE3"/>
    <w:rsid w:val="59FE1829"/>
    <w:rsid w:val="5A578E22"/>
    <w:rsid w:val="5AED2F16"/>
    <w:rsid w:val="5AFF8092"/>
    <w:rsid w:val="5B3D2200"/>
    <w:rsid w:val="5B6FC649"/>
    <w:rsid w:val="5B7B8CAE"/>
    <w:rsid w:val="5BCF1086"/>
    <w:rsid w:val="5BDD2FE4"/>
    <w:rsid w:val="5BDE973D"/>
    <w:rsid w:val="5BDFED82"/>
    <w:rsid w:val="5BEDC226"/>
    <w:rsid w:val="5BF7795F"/>
    <w:rsid w:val="5BF9597C"/>
    <w:rsid w:val="5BFDE532"/>
    <w:rsid w:val="5BFF2F50"/>
    <w:rsid w:val="5BFF44D2"/>
    <w:rsid w:val="5C7F1143"/>
    <w:rsid w:val="5C8D88FF"/>
    <w:rsid w:val="5CBDE4EC"/>
    <w:rsid w:val="5CFEAEED"/>
    <w:rsid w:val="5D334F80"/>
    <w:rsid w:val="5D5F525D"/>
    <w:rsid w:val="5D7835C8"/>
    <w:rsid w:val="5D9F37FB"/>
    <w:rsid w:val="5DBF524C"/>
    <w:rsid w:val="5DCF4648"/>
    <w:rsid w:val="5DD94BEF"/>
    <w:rsid w:val="5DDEC59F"/>
    <w:rsid w:val="5DEBFF83"/>
    <w:rsid w:val="5DEE8B6B"/>
    <w:rsid w:val="5DF623FF"/>
    <w:rsid w:val="5DFB3D82"/>
    <w:rsid w:val="5DFBC89B"/>
    <w:rsid w:val="5E1FB625"/>
    <w:rsid w:val="5E5FBFB6"/>
    <w:rsid w:val="5E69665D"/>
    <w:rsid w:val="5ECF9A41"/>
    <w:rsid w:val="5EE20294"/>
    <w:rsid w:val="5EEB5492"/>
    <w:rsid w:val="5F3C2E8C"/>
    <w:rsid w:val="5F4D2AFD"/>
    <w:rsid w:val="5F4F1E19"/>
    <w:rsid w:val="5F6C5B58"/>
    <w:rsid w:val="5F6EA5BA"/>
    <w:rsid w:val="5F7ABE09"/>
    <w:rsid w:val="5F7D5466"/>
    <w:rsid w:val="5FA7E56D"/>
    <w:rsid w:val="5FAE6D9B"/>
    <w:rsid w:val="5FB7E624"/>
    <w:rsid w:val="5FB7F9C1"/>
    <w:rsid w:val="5FBC66E9"/>
    <w:rsid w:val="5FC6E95F"/>
    <w:rsid w:val="5FCF15F8"/>
    <w:rsid w:val="5FCF4A17"/>
    <w:rsid w:val="5FD352A7"/>
    <w:rsid w:val="5FD373AB"/>
    <w:rsid w:val="5FD533B2"/>
    <w:rsid w:val="5FD58E60"/>
    <w:rsid w:val="5FD871EC"/>
    <w:rsid w:val="5FDB81F2"/>
    <w:rsid w:val="5FDFB192"/>
    <w:rsid w:val="5FEE3617"/>
    <w:rsid w:val="5FEF2FD5"/>
    <w:rsid w:val="5FEF9826"/>
    <w:rsid w:val="5FF142DA"/>
    <w:rsid w:val="5FF15356"/>
    <w:rsid w:val="5FF35ACD"/>
    <w:rsid w:val="5FFA15D5"/>
    <w:rsid w:val="5FFA5E60"/>
    <w:rsid w:val="5FFAD372"/>
    <w:rsid w:val="5FFDC2BA"/>
    <w:rsid w:val="60FFFF79"/>
    <w:rsid w:val="61D37311"/>
    <w:rsid w:val="63CAEDED"/>
    <w:rsid w:val="63D31E99"/>
    <w:rsid w:val="63FE2398"/>
    <w:rsid w:val="63FF8A98"/>
    <w:rsid w:val="64A10EFC"/>
    <w:rsid w:val="657CA567"/>
    <w:rsid w:val="65D7248C"/>
    <w:rsid w:val="65EE8F23"/>
    <w:rsid w:val="65FE06B4"/>
    <w:rsid w:val="66AFE7C0"/>
    <w:rsid w:val="66DA5B44"/>
    <w:rsid w:val="677B7F33"/>
    <w:rsid w:val="67AF2B34"/>
    <w:rsid w:val="67BDAC26"/>
    <w:rsid w:val="67BF6B8D"/>
    <w:rsid w:val="67CBE482"/>
    <w:rsid w:val="67DB8204"/>
    <w:rsid w:val="67DD4155"/>
    <w:rsid w:val="67FF340C"/>
    <w:rsid w:val="67FFA883"/>
    <w:rsid w:val="67FFCED6"/>
    <w:rsid w:val="68DB932F"/>
    <w:rsid w:val="694B24E5"/>
    <w:rsid w:val="697D16B6"/>
    <w:rsid w:val="6AC53F49"/>
    <w:rsid w:val="6AD903BC"/>
    <w:rsid w:val="6AF29AA6"/>
    <w:rsid w:val="6AF85CCC"/>
    <w:rsid w:val="6B5A59D0"/>
    <w:rsid w:val="6B6F78A3"/>
    <w:rsid w:val="6B7E92DB"/>
    <w:rsid w:val="6BAE21C5"/>
    <w:rsid w:val="6BB5FECC"/>
    <w:rsid w:val="6BBDDA3F"/>
    <w:rsid w:val="6BBF4630"/>
    <w:rsid w:val="6BD51720"/>
    <w:rsid w:val="6BDFE5D9"/>
    <w:rsid w:val="6BEB8F7B"/>
    <w:rsid w:val="6BEF583A"/>
    <w:rsid w:val="6BEF893E"/>
    <w:rsid w:val="6BFF55A6"/>
    <w:rsid w:val="6BFFA0BD"/>
    <w:rsid w:val="6C956951"/>
    <w:rsid w:val="6CDACFA9"/>
    <w:rsid w:val="6D5537DB"/>
    <w:rsid w:val="6D8A7E91"/>
    <w:rsid w:val="6DAF6B5E"/>
    <w:rsid w:val="6DC759DB"/>
    <w:rsid w:val="6DC87A12"/>
    <w:rsid w:val="6DCB8C52"/>
    <w:rsid w:val="6DD7269E"/>
    <w:rsid w:val="6DEF4DDD"/>
    <w:rsid w:val="6DEFC88C"/>
    <w:rsid w:val="6DEFF41C"/>
    <w:rsid w:val="6DF03D5D"/>
    <w:rsid w:val="6DFE3428"/>
    <w:rsid w:val="6DFFE02F"/>
    <w:rsid w:val="6E2AEFCC"/>
    <w:rsid w:val="6E37F56A"/>
    <w:rsid w:val="6E697415"/>
    <w:rsid w:val="6EBE216F"/>
    <w:rsid w:val="6EE73A44"/>
    <w:rsid w:val="6EE9679F"/>
    <w:rsid w:val="6EEDDA4A"/>
    <w:rsid w:val="6EF736ED"/>
    <w:rsid w:val="6EFF8EF7"/>
    <w:rsid w:val="6F273D87"/>
    <w:rsid w:val="6F3B5D30"/>
    <w:rsid w:val="6F3BDDB6"/>
    <w:rsid w:val="6F3EA779"/>
    <w:rsid w:val="6F40FE6C"/>
    <w:rsid w:val="6F4FE53E"/>
    <w:rsid w:val="6F6B834D"/>
    <w:rsid w:val="6F6DAE5B"/>
    <w:rsid w:val="6F752CEC"/>
    <w:rsid w:val="6F77B270"/>
    <w:rsid w:val="6F944B2A"/>
    <w:rsid w:val="6FA7B582"/>
    <w:rsid w:val="6FAF9BC2"/>
    <w:rsid w:val="6FB7137F"/>
    <w:rsid w:val="6FBB0424"/>
    <w:rsid w:val="6FBECFC0"/>
    <w:rsid w:val="6FBF9973"/>
    <w:rsid w:val="6FD97685"/>
    <w:rsid w:val="6FDD9EA0"/>
    <w:rsid w:val="6FDDC880"/>
    <w:rsid w:val="6FDF8F81"/>
    <w:rsid w:val="6FE30577"/>
    <w:rsid w:val="6FED00F5"/>
    <w:rsid w:val="6FEE79D7"/>
    <w:rsid w:val="6FEF5B94"/>
    <w:rsid w:val="6FF3EA1E"/>
    <w:rsid w:val="6FF5B26A"/>
    <w:rsid w:val="6FFE42C8"/>
    <w:rsid w:val="6FFE4FB6"/>
    <w:rsid w:val="6FFF3FC0"/>
    <w:rsid w:val="6FFF4DCE"/>
    <w:rsid w:val="6FFF58EA"/>
    <w:rsid w:val="6FFFE7D0"/>
    <w:rsid w:val="70064A8A"/>
    <w:rsid w:val="7137C9F3"/>
    <w:rsid w:val="71EE0919"/>
    <w:rsid w:val="71FF7A19"/>
    <w:rsid w:val="727B4D69"/>
    <w:rsid w:val="727FF63E"/>
    <w:rsid w:val="72BF404B"/>
    <w:rsid w:val="72BF7F08"/>
    <w:rsid w:val="72E9EE00"/>
    <w:rsid w:val="739FFB77"/>
    <w:rsid w:val="73AFF2B0"/>
    <w:rsid w:val="73EFD223"/>
    <w:rsid w:val="73F7D2E0"/>
    <w:rsid w:val="73FBDB4E"/>
    <w:rsid w:val="743F6C31"/>
    <w:rsid w:val="74BB2C06"/>
    <w:rsid w:val="74BF8AF6"/>
    <w:rsid w:val="74F6DD3A"/>
    <w:rsid w:val="74FF2FE9"/>
    <w:rsid w:val="753C6E4F"/>
    <w:rsid w:val="75B025B7"/>
    <w:rsid w:val="75DFF3C6"/>
    <w:rsid w:val="75ED1EA7"/>
    <w:rsid w:val="75F7FF0C"/>
    <w:rsid w:val="75FB852D"/>
    <w:rsid w:val="75FBA5FF"/>
    <w:rsid w:val="75FF3409"/>
    <w:rsid w:val="75FF3B38"/>
    <w:rsid w:val="75FF4808"/>
    <w:rsid w:val="765BCBE6"/>
    <w:rsid w:val="765F9002"/>
    <w:rsid w:val="767F2754"/>
    <w:rsid w:val="76885A64"/>
    <w:rsid w:val="76B56C36"/>
    <w:rsid w:val="76BEDBDB"/>
    <w:rsid w:val="76CF21D1"/>
    <w:rsid w:val="76DFD783"/>
    <w:rsid w:val="76E9BE08"/>
    <w:rsid w:val="76EDD4B7"/>
    <w:rsid w:val="76F1D87D"/>
    <w:rsid w:val="76F97A9D"/>
    <w:rsid w:val="76FF30E1"/>
    <w:rsid w:val="76FF4C6B"/>
    <w:rsid w:val="76FF5555"/>
    <w:rsid w:val="76FF7AA3"/>
    <w:rsid w:val="76FFE749"/>
    <w:rsid w:val="77469588"/>
    <w:rsid w:val="7753D825"/>
    <w:rsid w:val="775F0F64"/>
    <w:rsid w:val="775FD645"/>
    <w:rsid w:val="7767ACA0"/>
    <w:rsid w:val="776E3FCB"/>
    <w:rsid w:val="776FB255"/>
    <w:rsid w:val="777AB915"/>
    <w:rsid w:val="777C0145"/>
    <w:rsid w:val="777EB764"/>
    <w:rsid w:val="777F0523"/>
    <w:rsid w:val="777FD905"/>
    <w:rsid w:val="777FDAC2"/>
    <w:rsid w:val="7797459D"/>
    <w:rsid w:val="77ABFA51"/>
    <w:rsid w:val="77BB05CE"/>
    <w:rsid w:val="77BE4579"/>
    <w:rsid w:val="77BF1206"/>
    <w:rsid w:val="77BF22F6"/>
    <w:rsid w:val="77CD8939"/>
    <w:rsid w:val="77CFC2E1"/>
    <w:rsid w:val="77DF4D66"/>
    <w:rsid w:val="77DF572B"/>
    <w:rsid w:val="77E5CF05"/>
    <w:rsid w:val="77E8FD5E"/>
    <w:rsid w:val="77EB15B8"/>
    <w:rsid w:val="77EF93D4"/>
    <w:rsid w:val="77F2593F"/>
    <w:rsid w:val="77F98C65"/>
    <w:rsid w:val="77FA22D7"/>
    <w:rsid w:val="77FB0740"/>
    <w:rsid w:val="77FBA4F3"/>
    <w:rsid w:val="77FBC721"/>
    <w:rsid w:val="77FBF829"/>
    <w:rsid w:val="77FD5F6B"/>
    <w:rsid w:val="77FF4F5F"/>
    <w:rsid w:val="780F8180"/>
    <w:rsid w:val="78CC51DC"/>
    <w:rsid w:val="78E7FA49"/>
    <w:rsid w:val="790F61BA"/>
    <w:rsid w:val="79BDE938"/>
    <w:rsid w:val="79EF8013"/>
    <w:rsid w:val="79F5BB04"/>
    <w:rsid w:val="79FBEC19"/>
    <w:rsid w:val="79FD3E54"/>
    <w:rsid w:val="79FF0BE5"/>
    <w:rsid w:val="79FFBFB5"/>
    <w:rsid w:val="7A17211E"/>
    <w:rsid w:val="7A6F11FB"/>
    <w:rsid w:val="7A7A226C"/>
    <w:rsid w:val="7AB8427D"/>
    <w:rsid w:val="7AB9684C"/>
    <w:rsid w:val="7ABE0416"/>
    <w:rsid w:val="7AC6CDA2"/>
    <w:rsid w:val="7AD34EE8"/>
    <w:rsid w:val="7AE5B948"/>
    <w:rsid w:val="7AF69EEB"/>
    <w:rsid w:val="7AFF197C"/>
    <w:rsid w:val="7AFF7C7A"/>
    <w:rsid w:val="7B1B3176"/>
    <w:rsid w:val="7B1BE903"/>
    <w:rsid w:val="7B273B6F"/>
    <w:rsid w:val="7B27C8CE"/>
    <w:rsid w:val="7B3F6955"/>
    <w:rsid w:val="7B6BD23A"/>
    <w:rsid w:val="7B6FBE5F"/>
    <w:rsid w:val="7B7B7E75"/>
    <w:rsid w:val="7B7CF4C0"/>
    <w:rsid w:val="7BB0748F"/>
    <w:rsid w:val="7BBB8D66"/>
    <w:rsid w:val="7BBDFADE"/>
    <w:rsid w:val="7BBEF88D"/>
    <w:rsid w:val="7BC74940"/>
    <w:rsid w:val="7BCEF75A"/>
    <w:rsid w:val="7BCF527B"/>
    <w:rsid w:val="7BCFEFF3"/>
    <w:rsid w:val="7BD755F5"/>
    <w:rsid w:val="7BDE2740"/>
    <w:rsid w:val="7BEF6243"/>
    <w:rsid w:val="7BEFFC0F"/>
    <w:rsid w:val="7BF5B7F4"/>
    <w:rsid w:val="7BF612A0"/>
    <w:rsid w:val="7BF751A3"/>
    <w:rsid w:val="7BF7CCB4"/>
    <w:rsid w:val="7BF96917"/>
    <w:rsid w:val="7BFA6474"/>
    <w:rsid w:val="7BFB4053"/>
    <w:rsid w:val="7BFC3110"/>
    <w:rsid w:val="7BFE5AE3"/>
    <w:rsid w:val="7BFEB7E2"/>
    <w:rsid w:val="7BFF04F8"/>
    <w:rsid w:val="7BFF4B08"/>
    <w:rsid w:val="7BFF897D"/>
    <w:rsid w:val="7BFFFAB8"/>
    <w:rsid w:val="7C6EBB48"/>
    <w:rsid w:val="7C7B2BA5"/>
    <w:rsid w:val="7C7E5750"/>
    <w:rsid w:val="7C7EC642"/>
    <w:rsid w:val="7C8FB977"/>
    <w:rsid w:val="7C9D52D6"/>
    <w:rsid w:val="7CA74695"/>
    <w:rsid w:val="7CAF6819"/>
    <w:rsid w:val="7CBA3D0E"/>
    <w:rsid w:val="7CD7C18E"/>
    <w:rsid w:val="7CDE23AA"/>
    <w:rsid w:val="7CEF7E1A"/>
    <w:rsid w:val="7CF4748F"/>
    <w:rsid w:val="7CFC2639"/>
    <w:rsid w:val="7CFFBAE9"/>
    <w:rsid w:val="7D3337AC"/>
    <w:rsid w:val="7D3F29CC"/>
    <w:rsid w:val="7D4C08AF"/>
    <w:rsid w:val="7D7E5ED7"/>
    <w:rsid w:val="7D9E28CF"/>
    <w:rsid w:val="7DB54F19"/>
    <w:rsid w:val="7DBE5BE0"/>
    <w:rsid w:val="7DBF9B46"/>
    <w:rsid w:val="7DD78A3A"/>
    <w:rsid w:val="7DE6B79E"/>
    <w:rsid w:val="7DEBE957"/>
    <w:rsid w:val="7DF383AF"/>
    <w:rsid w:val="7DF447EE"/>
    <w:rsid w:val="7DF46CB1"/>
    <w:rsid w:val="7DF6EB3D"/>
    <w:rsid w:val="7DF71714"/>
    <w:rsid w:val="7DF7EB43"/>
    <w:rsid w:val="7DF7EC29"/>
    <w:rsid w:val="7DF9FD8A"/>
    <w:rsid w:val="7DFB9F21"/>
    <w:rsid w:val="7DFC3C61"/>
    <w:rsid w:val="7DFC6A27"/>
    <w:rsid w:val="7DFDAB90"/>
    <w:rsid w:val="7DFF2BC0"/>
    <w:rsid w:val="7DFF89E1"/>
    <w:rsid w:val="7DFF8A72"/>
    <w:rsid w:val="7DFFA802"/>
    <w:rsid w:val="7DFFB2BC"/>
    <w:rsid w:val="7E4C3A44"/>
    <w:rsid w:val="7E552158"/>
    <w:rsid w:val="7E57FDEA"/>
    <w:rsid w:val="7E730151"/>
    <w:rsid w:val="7E7766C4"/>
    <w:rsid w:val="7E7FC3F2"/>
    <w:rsid w:val="7EAF1E64"/>
    <w:rsid w:val="7EB1863A"/>
    <w:rsid w:val="7EB3EBC1"/>
    <w:rsid w:val="7EB78124"/>
    <w:rsid w:val="7ED7C3F9"/>
    <w:rsid w:val="7EDDACCD"/>
    <w:rsid w:val="7EDFF378"/>
    <w:rsid w:val="7EDFF9A9"/>
    <w:rsid w:val="7EE84B5B"/>
    <w:rsid w:val="7EF7A465"/>
    <w:rsid w:val="7EF7BF15"/>
    <w:rsid w:val="7EFC9D0E"/>
    <w:rsid w:val="7EFCC33B"/>
    <w:rsid w:val="7EFF239E"/>
    <w:rsid w:val="7EFF71E4"/>
    <w:rsid w:val="7EFFA1E6"/>
    <w:rsid w:val="7EFFBE28"/>
    <w:rsid w:val="7EFFD10C"/>
    <w:rsid w:val="7F1A34C8"/>
    <w:rsid w:val="7F1DDA85"/>
    <w:rsid w:val="7F2FC58A"/>
    <w:rsid w:val="7F3F23B9"/>
    <w:rsid w:val="7F48FA6A"/>
    <w:rsid w:val="7F4A60DC"/>
    <w:rsid w:val="7F5BE956"/>
    <w:rsid w:val="7F5F7FDC"/>
    <w:rsid w:val="7F63DD95"/>
    <w:rsid w:val="7F68F708"/>
    <w:rsid w:val="7F69F5AD"/>
    <w:rsid w:val="7F6BBE08"/>
    <w:rsid w:val="7F6BE879"/>
    <w:rsid w:val="7F6E92A3"/>
    <w:rsid w:val="7F6F3B78"/>
    <w:rsid w:val="7F6F522A"/>
    <w:rsid w:val="7F6F567D"/>
    <w:rsid w:val="7F6F9027"/>
    <w:rsid w:val="7F73120A"/>
    <w:rsid w:val="7F7384DD"/>
    <w:rsid w:val="7F775E90"/>
    <w:rsid w:val="7F7B0611"/>
    <w:rsid w:val="7F7BDDCE"/>
    <w:rsid w:val="7F7C6F75"/>
    <w:rsid w:val="7F7CA03E"/>
    <w:rsid w:val="7F7DCBDE"/>
    <w:rsid w:val="7F7EFD20"/>
    <w:rsid w:val="7F7F6585"/>
    <w:rsid w:val="7F7F6971"/>
    <w:rsid w:val="7F7F8054"/>
    <w:rsid w:val="7F7F9028"/>
    <w:rsid w:val="7F7FFD44"/>
    <w:rsid w:val="7F83598D"/>
    <w:rsid w:val="7F9CEE26"/>
    <w:rsid w:val="7F9F24A3"/>
    <w:rsid w:val="7FA5F992"/>
    <w:rsid w:val="7FAF2F54"/>
    <w:rsid w:val="7FB63681"/>
    <w:rsid w:val="7FB71BF0"/>
    <w:rsid w:val="7FB7DF0D"/>
    <w:rsid w:val="7FB7E069"/>
    <w:rsid w:val="7FBAA09F"/>
    <w:rsid w:val="7FBBF6F9"/>
    <w:rsid w:val="7FBD42B7"/>
    <w:rsid w:val="7FBDD404"/>
    <w:rsid w:val="7FBEAF09"/>
    <w:rsid w:val="7FBF8CB7"/>
    <w:rsid w:val="7FBFE9ED"/>
    <w:rsid w:val="7FCD99E7"/>
    <w:rsid w:val="7FD77269"/>
    <w:rsid w:val="7FD96A24"/>
    <w:rsid w:val="7FDCE172"/>
    <w:rsid w:val="7FDF3836"/>
    <w:rsid w:val="7FDF7C4C"/>
    <w:rsid w:val="7FDFB824"/>
    <w:rsid w:val="7FE599E6"/>
    <w:rsid w:val="7FE8E232"/>
    <w:rsid w:val="7FEBBFEF"/>
    <w:rsid w:val="7FECE753"/>
    <w:rsid w:val="7FED4758"/>
    <w:rsid w:val="7FED5235"/>
    <w:rsid w:val="7FED8FEA"/>
    <w:rsid w:val="7FEEC322"/>
    <w:rsid w:val="7FEF036B"/>
    <w:rsid w:val="7FEFC11D"/>
    <w:rsid w:val="7FEFCFD7"/>
    <w:rsid w:val="7FEFE8D9"/>
    <w:rsid w:val="7FF1E9B1"/>
    <w:rsid w:val="7FF315BD"/>
    <w:rsid w:val="7FF3AF0C"/>
    <w:rsid w:val="7FF3AFDE"/>
    <w:rsid w:val="7FF3B16D"/>
    <w:rsid w:val="7FF50E5A"/>
    <w:rsid w:val="7FF528BC"/>
    <w:rsid w:val="7FF6C314"/>
    <w:rsid w:val="7FF79D7C"/>
    <w:rsid w:val="7FF7ED06"/>
    <w:rsid w:val="7FF933BF"/>
    <w:rsid w:val="7FFB9109"/>
    <w:rsid w:val="7FFD2262"/>
    <w:rsid w:val="7FFD427A"/>
    <w:rsid w:val="7FFD4CE7"/>
    <w:rsid w:val="7FFD4DBC"/>
    <w:rsid w:val="7FFD569B"/>
    <w:rsid w:val="7FFD8E4C"/>
    <w:rsid w:val="7FFDBE3B"/>
    <w:rsid w:val="7FFDE86D"/>
    <w:rsid w:val="7FFE2F30"/>
    <w:rsid w:val="7FFE821D"/>
    <w:rsid w:val="7FFEBD08"/>
    <w:rsid w:val="7FFF14D0"/>
    <w:rsid w:val="7FFF1D73"/>
    <w:rsid w:val="7FFF3829"/>
    <w:rsid w:val="7FFF4727"/>
    <w:rsid w:val="7FFF489D"/>
    <w:rsid w:val="7FFF7E5E"/>
    <w:rsid w:val="7FFF7FE8"/>
    <w:rsid w:val="7FFF8A76"/>
    <w:rsid w:val="7FFF97ED"/>
    <w:rsid w:val="7FFF9BE7"/>
    <w:rsid w:val="7FFFA14B"/>
    <w:rsid w:val="7FFFB1C9"/>
    <w:rsid w:val="7FFFC868"/>
    <w:rsid w:val="817D706B"/>
    <w:rsid w:val="85F64248"/>
    <w:rsid w:val="8747ECCD"/>
    <w:rsid w:val="8BBDD3D6"/>
    <w:rsid w:val="8CFDB607"/>
    <w:rsid w:val="8D389DCF"/>
    <w:rsid w:val="8D5DA8D6"/>
    <w:rsid w:val="8D7BC87D"/>
    <w:rsid w:val="8E7F258A"/>
    <w:rsid w:val="8F8FA395"/>
    <w:rsid w:val="8FBFE5DB"/>
    <w:rsid w:val="8FE23320"/>
    <w:rsid w:val="8FFB5FE8"/>
    <w:rsid w:val="8FFF2E7B"/>
    <w:rsid w:val="91FE6101"/>
    <w:rsid w:val="9346BFB7"/>
    <w:rsid w:val="935FFD9A"/>
    <w:rsid w:val="937F18FD"/>
    <w:rsid w:val="93EBDD38"/>
    <w:rsid w:val="95B9C797"/>
    <w:rsid w:val="95D26E2A"/>
    <w:rsid w:val="95DE1578"/>
    <w:rsid w:val="95FF2349"/>
    <w:rsid w:val="97DF1702"/>
    <w:rsid w:val="97EFAF15"/>
    <w:rsid w:val="97FF767B"/>
    <w:rsid w:val="993D6512"/>
    <w:rsid w:val="9B5324A8"/>
    <w:rsid w:val="9B7D5B95"/>
    <w:rsid w:val="9BDFD176"/>
    <w:rsid w:val="9BE9616A"/>
    <w:rsid w:val="9BFFA5AF"/>
    <w:rsid w:val="9D7DBE7B"/>
    <w:rsid w:val="9DE6BB5C"/>
    <w:rsid w:val="9DEEA930"/>
    <w:rsid w:val="9E86AEA0"/>
    <w:rsid w:val="9EBF58FA"/>
    <w:rsid w:val="9EFDD14B"/>
    <w:rsid w:val="9FAFFADC"/>
    <w:rsid w:val="9FBF177F"/>
    <w:rsid w:val="9FBF3EEA"/>
    <w:rsid w:val="9FDBFA67"/>
    <w:rsid w:val="9FF7CE95"/>
    <w:rsid w:val="9FFCCF25"/>
    <w:rsid w:val="9FFF239F"/>
    <w:rsid w:val="A37DFA06"/>
    <w:rsid w:val="A3BEF31B"/>
    <w:rsid w:val="A3F795E7"/>
    <w:rsid w:val="A522F507"/>
    <w:rsid w:val="A56B58BC"/>
    <w:rsid w:val="A5FFA7E1"/>
    <w:rsid w:val="AB8C883A"/>
    <w:rsid w:val="ACBD1D7B"/>
    <w:rsid w:val="AD7FAE10"/>
    <w:rsid w:val="ADBDAB2F"/>
    <w:rsid w:val="ADF62821"/>
    <w:rsid w:val="ADFF1102"/>
    <w:rsid w:val="ADFFD75B"/>
    <w:rsid w:val="AE6E5B08"/>
    <w:rsid w:val="AE7F6AA5"/>
    <w:rsid w:val="AE7F8699"/>
    <w:rsid w:val="AEB97FC6"/>
    <w:rsid w:val="AEE7F59F"/>
    <w:rsid w:val="AEE8B57B"/>
    <w:rsid w:val="AEEF788A"/>
    <w:rsid w:val="AFBD9E67"/>
    <w:rsid w:val="AFCDFA02"/>
    <w:rsid w:val="AFDF2F23"/>
    <w:rsid w:val="AFE32D89"/>
    <w:rsid w:val="AFE72680"/>
    <w:rsid w:val="AFE9F41D"/>
    <w:rsid w:val="AFFBF1DC"/>
    <w:rsid w:val="AFFFA5C7"/>
    <w:rsid w:val="B1B309F8"/>
    <w:rsid w:val="B1FC3C29"/>
    <w:rsid w:val="B26F4502"/>
    <w:rsid w:val="B2DBC69E"/>
    <w:rsid w:val="B4FC6CEB"/>
    <w:rsid w:val="B5B57F68"/>
    <w:rsid w:val="B5B98A3D"/>
    <w:rsid w:val="B5EF7906"/>
    <w:rsid w:val="B61F896E"/>
    <w:rsid w:val="B6737035"/>
    <w:rsid w:val="B6AEBCAF"/>
    <w:rsid w:val="B6FFF192"/>
    <w:rsid w:val="B7B330E7"/>
    <w:rsid w:val="B7BC283C"/>
    <w:rsid w:val="B7D6C1E8"/>
    <w:rsid w:val="B7DE9339"/>
    <w:rsid w:val="B7DFF803"/>
    <w:rsid w:val="B7DFFCC7"/>
    <w:rsid w:val="B7EC347F"/>
    <w:rsid w:val="B7F00D27"/>
    <w:rsid w:val="B7F20113"/>
    <w:rsid w:val="B7F7F887"/>
    <w:rsid w:val="B7FBBCFD"/>
    <w:rsid w:val="B7FEA116"/>
    <w:rsid w:val="B7FF3281"/>
    <w:rsid w:val="B7FF581C"/>
    <w:rsid w:val="B9986D58"/>
    <w:rsid w:val="B9D29282"/>
    <w:rsid w:val="B9E310CB"/>
    <w:rsid w:val="B9EB770C"/>
    <w:rsid w:val="B9FD8CD0"/>
    <w:rsid w:val="BA6B4849"/>
    <w:rsid w:val="BA6FA86D"/>
    <w:rsid w:val="BA7FF1C0"/>
    <w:rsid w:val="BA9D1934"/>
    <w:rsid w:val="BAFA6FD7"/>
    <w:rsid w:val="BB6F6845"/>
    <w:rsid w:val="BB8F5497"/>
    <w:rsid w:val="BBEA33E0"/>
    <w:rsid w:val="BBF5EC97"/>
    <w:rsid w:val="BBFD37ED"/>
    <w:rsid w:val="BBFE4401"/>
    <w:rsid w:val="BBFF58C8"/>
    <w:rsid w:val="BBFF5BEB"/>
    <w:rsid w:val="BBFF9247"/>
    <w:rsid w:val="BBFFD73C"/>
    <w:rsid w:val="BCDEE392"/>
    <w:rsid w:val="BCF71BA0"/>
    <w:rsid w:val="BD6CAA59"/>
    <w:rsid w:val="BD9F2A24"/>
    <w:rsid w:val="BDBF2F88"/>
    <w:rsid w:val="BDDFB521"/>
    <w:rsid w:val="BDEFC820"/>
    <w:rsid w:val="BDF63DB2"/>
    <w:rsid w:val="BE3E0B21"/>
    <w:rsid w:val="BE7D1A70"/>
    <w:rsid w:val="BEBBE9BA"/>
    <w:rsid w:val="BEF7FA7F"/>
    <w:rsid w:val="BEFA40CA"/>
    <w:rsid w:val="BEFB4D4C"/>
    <w:rsid w:val="BEFB8CB0"/>
    <w:rsid w:val="BEFD15BB"/>
    <w:rsid w:val="BEFFE72E"/>
    <w:rsid w:val="BF334904"/>
    <w:rsid w:val="BF530A3A"/>
    <w:rsid w:val="BF5C427F"/>
    <w:rsid w:val="BF5DEB5F"/>
    <w:rsid w:val="BF73910C"/>
    <w:rsid w:val="BF7F02B0"/>
    <w:rsid w:val="BF8EE063"/>
    <w:rsid w:val="BFA6C871"/>
    <w:rsid w:val="BFAB2E6C"/>
    <w:rsid w:val="BFAFB998"/>
    <w:rsid w:val="BFB2A940"/>
    <w:rsid w:val="BFCDF1FB"/>
    <w:rsid w:val="BFD12437"/>
    <w:rsid w:val="BFDEE87E"/>
    <w:rsid w:val="BFDF6E94"/>
    <w:rsid w:val="BFED5E85"/>
    <w:rsid w:val="BFEF4FDB"/>
    <w:rsid w:val="BFEF82CE"/>
    <w:rsid w:val="BFEFF2BA"/>
    <w:rsid w:val="BFF5943F"/>
    <w:rsid w:val="BFF672F3"/>
    <w:rsid w:val="BFF7C2FA"/>
    <w:rsid w:val="BFFA3D16"/>
    <w:rsid w:val="BFFABEE9"/>
    <w:rsid w:val="BFFD97C7"/>
    <w:rsid w:val="BFFDDA05"/>
    <w:rsid w:val="BFFDDD63"/>
    <w:rsid w:val="BFFE2ECD"/>
    <w:rsid w:val="BFFE9632"/>
    <w:rsid w:val="BFFE9FB3"/>
    <w:rsid w:val="BFFF07A0"/>
    <w:rsid w:val="BFFF5B24"/>
    <w:rsid w:val="BFFF8ECB"/>
    <w:rsid w:val="C2C95F8B"/>
    <w:rsid w:val="C3BE796B"/>
    <w:rsid w:val="C3DF8342"/>
    <w:rsid w:val="C3E705D4"/>
    <w:rsid w:val="C3ED876C"/>
    <w:rsid w:val="C5BFD9BC"/>
    <w:rsid w:val="C5EF930F"/>
    <w:rsid w:val="C5FFE71F"/>
    <w:rsid w:val="C61FEB81"/>
    <w:rsid w:val="C6724BBD"/>
    <w:rsid w:val="C6BE25E8"/>
    <w:rsid w:val="C77CCF5F"/>
    <w:rsid w:val="C8EBE89D"/>
    <w:rsid w:val="C8FF0AA8"/>
    <w:rsid w:val="C92E9240"/>
    <w:rsid w:val="C94D6574"/>
    <w:rsid w:val="C95FCD69"/>
    <w:rsid w:val="CA4F0AC4"/>
    <w:rsid w:val="CABEC2F6"/>
    <w:rsid w:val="CAD5AA4D"/>
    <w:rsid w:val="CBD68E04"/>
    <w:rsid w:val="CBF5D351"/>
    <w:rsid w:val="CBFA9E0E"/>
    <w:rsid w:val="CD4A323B"/>
    <w:rsid w:val="CDCBDF43"/>
    <w:rsid w:val="CDEFC843"/>
    <w:rsid w:val="CDF6F702"/>
    <w:rsid w:val="CDFD7B66"/>
    <w:rsid w:val="CE5E298C"/>
    <w:rsid w:val="CE9DA818"/>
    <w:rsid w:val="CF3BFB64"/>
    <w:rsid w:val="CF3E2BFB"/>
    <w:rsid w:val="CF7FE8D8"/>
    <w:rsid w:val="CF99E519"/>
    <w:rsid w:val="CFF79784"/>
    <w:rsid w:val="CFF7A5EA"/>
    <w:rsid w:val="CFFE1A0F"/>
    <w:rsid w:val="CFFF455F"/>
    <w:rsid w:val="D08FB6F6"/>
    <w:rsid w:val="D17CCE6E"/>
    <w:rsid w:val="D1EBA376"/>
    <w:rsid w:val="D31B9BD1"/>
    <w:rsid w:val="D3B92F03"/>
    <w:rsid w:val="D3DBE4BA"/>
    <w:rsid w:val="D3E8FA49"/>
    <w:rsid w:val="D3EEF539"/>
    <w:rsid w:val="D3FEE25F"/>
    <w:rsid w:val="D3FFE1A6"/>
    <w:rsid w:val="D477C834"/>
    <w:rsid w:val="D57B9EC4"/>
    <w:rsid w:val="D5A8FA87"/>
    <w:rsid w:val="D5B3D9C6"/>
    <w:rsid w:val="D5EF00F1"/>
    <w:rsid w:val="D5FF36BC"/>
    <w:rsid w:val="D645EDB8"/>
    <w:rsid w:val="D677EE06"/>
    <w:rsid w:val="D68F1197"/>
    <w:rsid w:val="D6FFEA6C"/>
    <w:rsid w:val="D7AFD04A"/>
    <w:rsid w:val="D7EF7C07"/>
    <w:rsid w:val="D7F697FA"/>
    <w:rsid w:val="D9DD63EB"/>
    <w:rsid w:val="DAE824CC"/>
    <w:rsid w:val="DAEE26EA"/>
    <w:rsid w:val="DAF96610"/>
    <w:rsid w:val="DB57359C"/>
    <w:rsid w:val="DB96991A"/>
    <w:rsid w:val="DB9D32AC"/>
    <w:rsid w:val="DBDF473F"/>
    <w:rsid w:val="DBE7112D"/>
    <w:rsid w:val="DBEF7BAD"/>
    <w:rsid w:val="DBF164A6"/>
    <w:rsid w:val="DBF7CFE5"/>
    <w:rsid w:val="DBFCEF36"/>
    <w:rsid w:val="DBFD0118"/>
    <w:rsid w:val="DBFE3C6C"/>
    <w:rsid w:val="DC6BF30C"/>
    <w:rsid w:val="DC7BD00C"/>
    <w:rsid w:val="DCDF5175"/>
    <w:rsid w:val="DCF92E35"/>
    <w:rsid w:val="DCFDCD4A"/>
    <w:rsid w:val="DD774D21"/>
    <w:rsid w:val="DD9F4B2A"/>
    <w:rsid w:val="DD9F80DE"/>
    <w:rsid w:val="DDAFE2F3"/>
    <w:rsid w:val="DDBF121A"/>
    <w:rsid w:val="DDBF3308"/>
    <w:rsid w:val="DDD3F0E7"/>
    <w:rsid w:val="DDDE9B58"/>
    <w:rsid w:val="DDDEC9F8"/>
    <w:rsid w:val="DDDFC0E3"/>
    <w:rsid w:val="DDEF2D9A"/>
    <w:rsid w:val="DDF4D070"/>
    <w:rsid w:val="DDF94E7C"/>
    <w:rsid w:val="DDFD19EC"/>
    <w:rsid w:val="DDFED0DA"/>
    <w:rsid w:val="DDFF3002"/>
    <w:rsid w:val="DDFFB5D8"/>
    <w:rsid w:val="DE4D8BF2"/>
    <w:rsid w:val="DE5DE437"/>
    <w:rsid w:val="DE5F1D9E"/>
    <w:rsid w:val="DE773717"/>
    <w:rsid w:val="DE7CDECA"/>
    <w:rsid w:val="DE7F0931"/>
    <w:rsid w:val="DEA74410"/>
    <w:rsid w:val="DEAB3CBC"/>
    <w:rsid w:val="DEBE0C83"/>
    <w:rsid w:val="DEBEB4B1"/>
    <w:rsid w:val="DEEE9074"/>
    <w:rsid w:val="DEFF4CA7"/>
    <w:rsid w:val="DF3FF2BE"/>
    <w:rsid w:val="DF5F9BBE"/>
    <w:rsid w:val="DF67F1F0"/>
    <w:rsid w:val="DF6B462A"/>
    <w:rsid w:val="DF7F37C2"/>
    <w:rsid w:val="DF7FA1C2"/>
    <w:rsid w:val="DF7FB612"/>
    <w:rsid w:val="DF83F38D"/>
    <w:rsid w:val="DFADC6DD"/>
    <w:rsid w:val="DFAF0CF1"/>
    <w:rsid w:val="DFB3D5AB"/>
    <w:rsid w:val="DFCE86C3"/>
    <w:rsid w:val="DFD9D430"/>
    <w:rsid w:val="DFDF5468"/>
    <w:rsid w:val="DFEB1D2A"/>
    <w:rsid w:val="DFEE9219"/>
    <w:rsid w:val="DFEF00B6"/>
    <w:rsid w:val="DFF32A11"/>
    <w:rsid w:val="DFF7A606"/>
    <w:rsid w:val="DFF80C61"/>
    <w:rsid w:val="DFF9FF96"/>
    <w:rsid w:val="DFFC30C4"/>
    <w:rsid w:val="DFFC7D7E"/>
    <w:rsid w:val="DFFFF00C"/>
    <w:rsid w:val="E2989819"/>
    <w:rsid w:val="E2EB514A"/>
    <w:rsid w:val="E3C573C9"/>
    <w:rsid w:val="E3CAB512"/>
    <w:rsid w:val="E3DD06FF"/>
    <w:rsid w:val="E3FBB87A"/>
    <w:rsid w:val="E53F7FF5"/>
    <w:rsid w:val="E55FCBF2"/>
    <w:rsid w:val="E5EE640E"/>
    <w:rsid w:val="E5FB54FD"/>
    <w:rsid w:val="E5FE06E2"/>
    <w:rsid w:val="E5FFE567"/>
    <w:rsid w:val="E6B7357E"/>
    <w:rsid w:val="E6B98493"/>
    <w:rsid w:val="E6BB62E2"/>
    <w:rsid w:val="E6F239C4"/>
    <w:rsid w:val="E6F52650"/>
    <w:rsid w:val="E6FBCF76"/>
    <w:rsid w:val="E6FBED33"/>
    <w:rsid w:val="E6FCE62E"/>
    <w:rsid w:val="E7AF2A1D"/>
    <w:rsid w:val="E7B97E14"/>
    <w:rsid w:val="E7DE01CA"/>
    <w:rsid w:val="E7DEA898"/>
    <w:rsid w:val="E9728793"/>
    <w:rsid w:val="E99A35A5"/>
    <w:rsid w:val="E9BE76E5"/>
    <w:rsid w:val="E9CFE12E"/>
    <w:rsid w:val="EB3F9F27"/>
    <w:rsid w:val="EB772E0E"/>
    <w:rsid w:val="EB9B2B7C"/>
    <w:rsid w:val="EBAF035D"/>
    <w:rsid w:val="EBFD6B8F"/>
    <w:rsid w:val="EBFE0B41"/>
    <w:rsid w:val="EBFF7AB7"/>
    <w:rsid w:val="EC5F65A7"/>
    <w:rsid w:val="ED7BECC5"/>
    <w:rsid w:val="ED8F33A0"/>
    <w:rsid w:val="EDEE5382"/>
    <w:rsid w:val="EDEF5C55"/>
    <w:rsid w:val="EDF7ABE7"/>
    <w:rsid w:val="EDFFF8B3"/>
    <w:rsid w:val="EEBBF244"/>
    <w:rsid w:val="EEBC4482"/>
    <w:rsid w:val="EED51A12"/>
    <w:rsid w:val="EEF63700"/>
    <w:rsid w:val="EEFB26C3"/>
    <w:rsid w:val="EEFE1FEF"/>
    <w:rsid w:val="EEFEE4FC"/>
    <w:rsid w:val="EF1E9D7D"/>
    <w:rsid w:val="EF2E5C48"/>
    <w:rsid w:val="EF555442"/>
    <w:rsid w:val="EF55D343"/>
    <w:rsid w:val="EF567BFA"/>
    <w:rsid w:val="EF7BBEDC"/>
    <w:rsid w:val="EF7C127C"/>
    <w:rsid w:val="EF7F2E0D"/>
    <w:rsid w:val="EF7FC132"/>
    <w:rsid w:val="EF7FE36F"/>
    <w:rsid w:val="EF937ABF"/>
    <w:rsid w:val="EF9BCD56"/>
    <w:rsid w:val="EFB7763C"/>
    <w:rsid w:val="EFB79ACC"/>
    <w:rsid w:val="EFBFB097"/>
    <w:rsid w:val="EFCEF1FE"/>
    <w:rsid w:val="EFD7A5CE"/>
    <w:rsid w:val="EFDBD2D1"/>
    <w:rsid w:val="EFDDF956"/>
    <w:rsid w:val="EFDF90D6"/>
    <w:rsid w:val="EFEF0F52"/>
    <w:rsid w:val="EFEF6314"/>
    <w:rsid w:val="EFF7D6AC"/>
    <w:rsid w:val="EFF7DFFA"/>
    <w:rsid w:val="EFFA2491"/>
    <w:rsid w:val="EFFE494A"/>
    <w:rsid w:val="EFFEA8C4"/>
    <w:rsid w:val="EFFF10A8"/>
    <w:rsid w:val="EFFF29D7"/>
    <w:rsid w:val="EFFF4932"/>
    <w:rsid w:val="EFFF62BB"/>
    <w:rsid w:val="EFFF78C8"/>
    <w:rsid w:val="EFFF9189"/>
    <w:rsid w:val="EFFF91F9"/>
    <w:rsid w:val="F0BE6F5B"/>
    <w:rsid w:val="F1D4EAFC"/>
    <w:rsid w:val="F1FF23BF"/>
    <w:rsid w:val="F1FF9EEB"/>
    <w:rsid w:val="F2777B76"/>
    <w:rsid w:val="F2B554E2"/>
    <w:rsid w:val="F2BFC6AC"/>
    <w:rsid w:val="F2CBD30C"/>
    <w:rsid w:val="F2F6859E"/>
    <w:rsid w:val="F2F7CA9C"/>
    <w:rsid w:val="F2FF3954"/>
    <w:rsid w:val="F3457E9B"/>
    <w:rsid w:val="F36F2858"/>
    <w:rsid w:val="F37EE358"/>
    <w:rsid w:val="F3A1AD33"/>
    <w:rsid w:val="F3BFA33B"/>
    <w:rsid w:val="F3CD0F2F"/>
    <w:rsid w:val="F3DE50DB"/>
    <w:rsid w:val="F3DF6580"/>
    <w:rsid w:val="F3EBA70F"/>
    <w:rsid w:val="F3FF10BD"/>
    <w:rsid w:val="F3FFE872"/>
    <w:rsid w:val="F439D9CA"/>
    <w:rsid w:val="F46FDC34"/>
    <w:rsid w:val="F4D7EB21"/>
    <w:rsid w:val="F5775579"/>
    <w:rsid w:val="F577D4FA"/>
    <w:rsid w:val="F57F0F98"/>
    <w:rsid w:val="F5B12ED0"/>
    <w:rsid w:val="F5B70A4D"/>
    <w:rsid w:val="F5BB86C1"/>
    <w:rsid w:val="F5BF5F17"/>
    <w:rsid w:val="F5D63673"/>
    <w:rsid w:val="F5EFE4A4"/>
    <w:rsid w:val="F5FFDEDA"/>
    <w:rsid w:val="F61F313E"/>
    <w:rsid w:val="F66D3715"/>
    <w:rsid w:val="F67D993E"/>
    <w:rsid w:val="F67FD8FB"/>
    <w:rsid w:val="F6BC0772"/>
    <w:rsid w:val="F6BCF7F8"/>
    <w:rsid w:val="F6BFB52C"/>
    <w:rsid w:val="F6CF7BEC"/>
    <w:rsid w:val="F6E7EC1D"/>
    <w:rsid w:val="F6EFD689"/>
    <w:rsid w:val="F6F97A5A"/>
    <w:rsid w:val="F6FBC9F5"/>
    <w:rsid w:val="F6FF6711"/>
    <w:rsid w:val="F757F098"/>
    <w:rsid w:val="F75BF0FE"/>
    <w:rsid w:val="F7697349"/>
    <w:rsid w:val="F777F78B"/>
    <w:rsid w:val="F77B1B8C"/>
    <w:rsid w:val="F77ED9C0"/>
    <w:rsid w:val="F77F1B3A"/>
    <w:rsid w:val="F799195A"/>
    <w:rsid w:val="F79FF265"/>
    <w:rsid w:val="F7AB7540"/>
    <w:rsid w:val="F7AE927A"/>
    <w:rsid w:val="F7D11085"/>
    <w:rsid w:val="F7DE51FD"/>
    <w:rsid w:val="F7DF1977"/>
    <w:rsid w:val="F7DF2D85"/>
    <w:rsid w:val="F7DF4617"/>
    <w:rsid w:val="F7EDF411"/>
    <w:rsid w:val="F7F706F1"/>
    <w:rsid w:val="F7F76CF7"/>
    <w:rsid w:val="F7F7B719"/>
    <w:rsid w:val="F7F92E2A"/>
    <w:rsid w:val="F7FDAA61"/>
    <w:rsid w:val="F7FE5038"/>
    <w:rsid w:val="F7FEF3F5"/>
    <w:rsid w:val="F7FFFC9C"/>
    <w:rsid w:val="F8738C09"/>
    <w:rsid w:val="F89DD45C"/>
    <w:rsid w:val="F8E53CD0"/>
    <w:rsid w:val="F8F75009"/>
    <w:rsid w:val="F8F7AEA1"/>
    <w:rsid w:val="F92FA197"/>
    <w:rsid w:val="F97F988F"/>
    <w:rsid w:val="F99B889F"/>
    <w:rsid w:val="F9A7D5D5"/>
    <w:rsid w:val="F9B7A2E3"/>
    <w:rsid w:val="F9DFEBC8"/>
    <w:rsid w:val="F9EF1AE5"/>
    <w:rsid w:val="F9F72385"/>
    <w:rsid w:val="F9FB0C0A"/>
    <w:rsid w:val="F9FD6452"/>
    <w:rsid w:val="F9FE59E1"/>
    <w:rsid w:val="F9FFE506"/>
    <w:rsid w:val="FA553F3D"/>
    <w:rsid w:val="FA77D028"/>
    <w:rsid w:val="FA7D6DAA"/>
    <w:rsid w:val="FA7D8F6F"/>
    <w:rsid w:val="FA9F7E7F"/>
    <w:rsid w:val="FAA6ABBB"/>
    <w:rsid w:val="FABF1CAC"/>
    <w:rsid w:val="FABF3501"/>
    <w:rsid w:val="FAF1A200"/>
    <w:rsid w:val="FAFEA23A"/>
    <w:rsid w:val="FB272DD5"/>
    <w:rsid w:val="FB3FA3D1"/>
    <w:rsid w:val="FB5DB352"/>
    <w:rsid w:val="FB5FA625"/>
    <w:rsid w:val="FB6FA29C"/>
    <w:rsid w:val="FB6FD045"/>
    <w:rsid w:val="FB730E6B"/>
    <w:rsid w:val="FB774111"/>
    <w:rsid w:val="FB7785FE"/>
    <w:rsid w:val="FB7D92C4"/>
    <w:rsid w:val="FB9D45B1"/>
    <w:rsid w:val="FB9EFE74"/>
    <w:rsid w:val="FB9FA87D"/>
    <w:rsid w:val="FBAF51CE"/>
    <w:rsid w:val="FBAF8597"/>
    <w:rsid w:val="FBBEE6BE"/>
    <w:rsid w:val="FBBFCEFB"/>
    <w:rsid w:val="FBC32627"/>
    <w:rsid w:val="FBCF276B"/>
    <w:rsid w:val="FBCFBF81"/>
    <w:rsid w:val="FBD4904D"/>
    <w:rsid w:val="FBDD94FB"/>
    <w:rsid w:val="FBDF52CB"/>
    <w:rsid w:val="FBE35A23"/>
    <w:rsid w:val="FBE82075"/>
    <w:rsid w:val="FBEDAE24"/>
    <w:rsid w:val="FBEF664F"/>
    <w:rsid w:val="FBF245DA"/>
    <w:rsid w:val="FBF300B2"/>
    <w:rsid w:val="FBF7ED85"/>
    <w:rsid w:val="FBFBD07D"/>
    <w:rsid w:val="FBFDD8EC"/>
    <w:rsid w:val="FBFE530A"/>
    <w:rsid w:val="FBFF5CFD"/>
    <w:rsid w:val="FC679EED"/>
    <w:rsid w:val="FC6F55C4"/>
    <w:rsid w:val="FC9F0248"/>
    <w:rsid w:val="FCBADC34"/>
    <w:rsid w:val="FCBD125D"/>
    <w:rsid w:val="FCF5E8D8"/>
    <w:rsid w:val="FCFD72D7"/>
    <w:rsid w:val="FCFF02B9"/>
    <w:rsid w:val="FD178401"/>
    <w:rsid w:val="FD2F0D96"/>
    <w:rsid w:val="FD2FB3AB"/>
    <w:rsid w:val="FD3E0276"/>
    <w:rsid w:val="FD3FD88A"/>
    <w:rsid w:val="FD4EC24F"/>
    <w:rsid w:val="FD5F6517"/>
    <w:rsid w:val="FD69ACCC"/>
    <w:rsid w:val="FD7152C3"/>
    <w:rsid w:val="FD71A5DE"/>
    <w:rsid w:val="FD7B469B"/>
    <w:rsid w:val="FD7D6F5B"/>
    <w:rsid w:val="FD7F5427"/>
    <w:rsid w:val="FDAE9292"/>
    <w:rsid w:val="FDB20C62"/>
    <w:rsid w:val="FDB3FB2D"/>
    <w:rsid w:val="FDB58CC0"/>
    <w:rsid w:val="FDB65C94"/>
    <w:rsid w:val="FDBFFB3E"/>
    <w:rsid w:val="FDC1817F"/>
    <w:rsid w:val="FDC20F36"/>
    <w:rsid w:val="FDCCAB33"/>
    <w:rsid w:val="FDCE9671"/>
    <w:rsid w:val="FDCFD4CD"/>
    <w:rsid w:val="FDDC43D6"/>
    <w:rsid w:val="FDDD5DC7"/>
    <w:rsid w:val="FDDD90F1"/>
    <w:rsid w:val="FDDEA106"/>
    <w:rsid w:val="FDE783A0"/>
    <w:rsid w:val="FDEC5E21"/>
    <w:rsid w:val="FDED7B48"/>
    <w:rsid w:val="FDEFDA06"/>
    <w:rsid w:val="FDF42FDB"/>
    <w:rsid w:val="FDF72975"/>
    <w:rsid w:val="FDF86401"/>
    <w:rsid w:val="FDF974EA"/>
    <w:rsid w:val="FDFABE02"/>
    <w:rsid w:val="FDFBED65"/>
    <w:rsid w:val="FDFCB9F9"/>
    <w:rsid w:val="FDFF05FA"/>
    <w:rsid w:val="FE3790DA"/>
    <w:rsid w:val="FE3BB763"/>
    <w:rsid w:val="FE57F615"/>
    <w:rsid w:val="FE5D2747"/>
    <w:rsid w:val="FE775743"/>
    <w:rsid w:val="FE792415"/>
    <w:rsid w:val="FE7B26F2"/>
    <w:rsid w:val="FE7B6C48"/>
    <w:rsid w:val="FE7BF62C"/>
    <w:rsid w:val="FE7F1E33"/>
    <w:rsid w:val="FE7F31AE"/>
    <w:rsid w:val="FE7F78D3"/>
    <w:rsid w:val="FE8F954D"/>
    <w:rsid w:val="FE9F7A4A"/>
    <w:rsid w:val="FEA7453C"/>
    <w:rsid w:val="FEAF4284"/>
    <w:rsid w:val="FEB9EDF1"/>
    <w:rsid w:val="FEBB8223"/>
    <w:rsid w:val="FED6FB32"/>
    <w:rsid w:val="FEDF3673"/>
    <w:rsid w:val="FEED7992"/>
    <w:rsid w:val="FEED9C26"/>
    <w:rsid w:val="FEEF3B66"/>
    <w:rsid w:val="FEEF969E"/>
    <w:rsid w:val="FEEFA99E"/>
    <w:rsid w:val="FEF2E050"/>
    <w:rsid w:val="FEF4BF5D"/>
    <w:rsid w:val="FEF5F89B"/>
    <w:rsid w:val="FEF66F8E"/>
    <w:rsid w:val="FEF6B1A5"/>
    <w:rsid w:val="FEFB914B"/>
    <w:rsid w:val="FEFC4345"/>
    <w:rsid w:val="FEFCFEA4"/>
    <w:rsid w:val="FEFD64DC"/>
    <w:rsid w:val="FEFF5A10"/>
    <w:rsid w:val="FEFFA78C"/>
    <w:rsid w:val="FF0F51D2"/>
    <w:rsid w:val="FF139F27"/>
    <w:rsid w:val="FF1E2C55"/>
    <w:rsid w:val="FF295E53"/>
    <w:rsid w:val="FF3F239C"/>
    <w:rsid w:val="FF4B2B29"/>
    <w:rsid w:val="FF553E09"/>
    <w:rsid w:val="FF5F1853"/>
    <w:rsid w:val="FF5F75C7"/>
    <w:rsid w:val="FF671CC0"/>
    <w:rsid w:val="FF6ED6FA"/>
    <w:rsid w:val="FF6F7A1F"/>
    <w:rsid w:val="FF6FB105"/>
    <w:rsid w:val="FF71A6C0"/>
    <w:rsid w:val="FF7719E8"/>
    <w:rsid w:val="FF773393"/>
    <w:rsid w:val="FF776E61"/>
    <w:rsid w:val="FF7BB623"/>
    <w:rsid w:val="FF7BEF8C"/>
    <w:rsid w:val="FF7D39D0"/>
    <w:rsid w:val="FF7D75BD"/>
    <w:rsid w:val="FF7E2560"/>
    <w:rsid w:val="FF7EBFEE"/>
    <w:rsid w:val="FF7FBCBB"/>
    <w:rsid w:val="FF7FDC0C"/>
    <w:rsid w:val="FF8F3F7B"/>
    <w:rsid w:val="FF969AB9"/>
    <w:rsid w:val="FF9DFCE7"/>
    <w:rsid w:val="FF9F001E"/>
    <w:rsid w:val="FF9F54E6"/>
    <w:rsid w:val="FF9FBD31"/>
    <w:rsid w:val="FFA514D2"/>
    <w:rsid w:val="FFA6F268"/>
    <w:rsid w:val="FFABB302"/>
    <w:rsid w:val="FFAF4F01"/>
    <w:rsid w:val="FFAFBDE7"/>
    <w:rsid w:val="FFAFEFF8"/>
    <w:rsid w:val="FFB37809"/>
    <w:rsid w:val="FFB56232"/>
    <w:rsid w:val="FFB56F5B"/>
    <w:rsid w:val="FFB71C02"/>
    <w:rsid w:val="FFB7554C"/>
    <w:rsid w:val="FFB79515"/>
    <w:rsid w:val="FFB7B96A"/>
    <w:rsid w:val="FFB7BA08"/>
    <w:rsid w:val="FFB8373A"/>
    <w:rsid w:val="FFB8EB21"/>
    <w:rsid w:val="FFBB0C2D"/>
    <w:rsid w:val="FFBB549B"/>
    <w:rsid w:val="FFBD3DA3"/>
    <w:rsid w:val="FFBE03A3"/>
    <w:rsid w:val="FFBF8C4C"/>
    <w:rsid w:val="FFBFAADA"/>
    <w:rsid w:val="FFC71780"/>
    <w:rsid w:val="FFCC5FD0"/>
    <w:rsid w:val="FFCCE51C"/>
    <w:rsid w:val="FFCE4743"/>
    <w:rsid w:val="FFCF937C"/>
    <w:rsid w:val="FFCF973E"/>
    <w:rsid w:val="FFCFA25E"/>
    <w:rsid w:val="FFD35988"/>
    <w:rsid w:val="FFD3BA2F"/>
    <w:rsid w:val="FFD7DDC4"/>
    <w:rsid w:val="FFD8B71D"/>
    <w:rsid w:val="FFDCE459"/>
    <w:rsid w:val="FFDE233D"/>
    <w:rsid w:val="FFDEA2B3"/>
    <w:rsid w:val="FFDEB5E8"/>
    <w:rsid w:val="FFDF64AA"/>
    <w:rsid w:val="FFDFC5A4"/>
    <w:rsid w:val="FFDFF13C"/>
    <w:rsid w:val="FFE54F9D"/>
    <w:rsid w:val="FFE799FD"/>
    <w:rsid w:val="FFEA0B01"/>
    <w:rsid w:val="FFEB786F"/>
    <w:rsid w:val="FFEF0D13"/>
    <w:rsid w:val="FFEF8A3C"/>
    <w:rsid w:val="FFEFEEC5"/>
    <w:rsid w:val="FFF39EF8"/>
    <w:rsid w:val="FFF6C3D9"/>
    <w:rsid w:val="FFF6D06A"/>
    <w:rsid w:val="FFF72A10"/>
    <w:rsid w:val="FFF77C1E"/>
    <w:rsid w:val="FFF88634"/>
    <w:rsid w:val="FFFB40E3"/>
    <w:rsid w:val="FFFB4C65"/>
    <w:rsid w:val="FFFC81F7"/>
    <w:rsid w:val="FFFCE040"/>
    <w:rsid w:val="FFFD0C8B"/>
    <w:rsid w:val="FFFD0E80"/>
    <w:rsid w:val="FFFDC7C3"/>
    <w:rsid w:val="FFFDCFE5"/>
    <w:rsid w:val="FFFE1461"/>
    <w:rsid w:val="FFFE788B"/>
    <w:rsid w:val="FFFF0838"/>
    <w:rsid w:val="FFFF10FB"/>
    <w:rsid w:val="FFFF2390"/>
    <w:rsid w:val="FFFF2AEB"/>
    <w:rsid w:val="FFFF2ECE"/>
    <w:rsid w:val="FFFF463B"/>
    <w:rsid w:val="FFFF4719"/>
    <w:rsid w:val="FFFF4B26"/>
    <w:rsid w:val="FFFF50CB"/>
    <w:rsid w:val="FFFF6C2F"/>
    <w:rsid w:val="FFFF7110"/>
    <w:rsid w:val="FFFF94F3"/>
    <w:rsid w:val="FFFFA468"/>
    <w:rsid w:val="FFFFBD21"/>
    <w:rsid w:val="FFFFCD45"/>
    <w:rsid w:val="FFFFEEFE"/>
    <w:rsid w:val="FFFFFA53"/>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napToGrid w:val="0"/>
      <w:spacing w:line="560" w:lineRule="exact"/>
      <w:ind w:firstLine="632" w:firstLineChars="200"/>
      <w:jc w:val="both"/>
    </w:pPr>
    <w:rPr>
      <w:rFonts w:ascii="仿宋_GB2312" w:hAnsi="仿宋" w:eastAsia="仿宋_GB2312" w:cs="仿宋"/>
      <w:kern w:val="2"/>
      <w:sz w:val="28"/>
      <w:szCs w:val="28"/>
      <w:lang w:val="en-US" w:eastAsia="zh-CN" w:bidi="ar-SA"/>
    </w:rPr>
  </w:style>
  <w:style w:type="paragraph" w:styleId="3">
    <w:name w:val="heading 1"/>
    <w:basedOn w:val="1"/>
    <w:next w:val="1"/>
    <w:link w:val="38"/>
    <w:qFormat/>
    <w:uiPriority w:val="0"/>
    <w:pPr>
      <w:keepNext/>
      <w:keepLines/>
      <w:spacing w:before="340" w:after="330" w:line="578" w:lineRule="auto"/>
      <w:outlineLvl w:val="0"/>
    </w:pPr>
    <w:rPr>
      <w:rFonts w:ascii="Times New Roman" w:hAnsi="Times New Roman" w:cs="Times New Roman"/>
      <w:b/>
      <w:bCs/>
      <w:kern w:val="44"/>
      <w:sz w:val="44"/>
      <w:szCs w:val="44"/>
    </w:rPr>
  </w:style>
  <w:style w:type="paragraph" w:styleId="4">
    <w:name w:val="heading 2"/>
    <w:basedOn w:val="1"/>
    <w:next w:val="1"/>
    <w:link w:val="39"/>
    <w:unhideWhenUsed/>
    <w:qFormat/>
    <w:uiPriority w:val="0"/>
    <w:pPr>
      <w:keepNext/>
      <w:keepLines/>
      <w:spacing w:before="260" w:after="260" w:line="416" w:lineRule="auto"/>
      <w:outlineLvl w:val="1"/>
    </w:pPr>
    <w:rPr>
      <w:rFonts w:ascii="Cambria" w:hAnsi="Cambria" w:eastAsia="宋体" w:cs="Times New Roman"/>
      <w:b/>
      <w:bCs/>
      <w:sz w:val="32"/>
      <w:szCs w:val="32"/>
    </w:rPr>
  </w:style>
  <w:style w:type="paragraph" w:styleId="5">
    <w:name w:val="heading 3"/>
    <w:basedOn w:val="1"/>
    <w:next w:val="1"/>
    <w:link w:val="37"/>
    <w:unhideWhenUsed/>
    <w:qFormat/>
    <w:uiPriority w:val="0"/>
    <w:pPr>
      <w:keepNext/>
      <w:keepLines/>
      <w:spacing w:before="260" w:after="260" w:line="416" w:lineRule="auto"/>
      <w:outlineLvl w:val="2"/>
    </w:pPr>
    <w:rPr>
      <w:b/>
      <w:bCs/>
      <w:sz w:val="32"/>
      <w:szCs w:val="32"/>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2">
    <w:name w:val="Body Text"/>
    <w:basedOn w:val="1"/>
    <w:unhideWhenUsed/>
    <w:qFormat/>
    <w:uiPriority w:val="99"/>
    <w:pPr>
      <w:spacing w:line="580" w:lineRule="exact"/>
      <w:ind w:firstLine="640"/>
    </w:pPr>
  </w:style>
  <w:style w:type="paragraph" w:styleId="6">
    <w:name w:val="caption"/>
    <w:basedOn w:val="1"/>
    <w:next w:val="1"/>
    <w:qFormat/>
    <w:uiPriority w:val="0"/>
    <w:rPr>
      <w:rFonts w:ascii="Arial" w:hAnsi="Arial" w:eastAsia="黑体" w:cs="Arial"/>
      <w:sz w:val="20"/>
      <w:szCs w:val="20"/>
    </w:rPr>
  </w:style>
  <w:style w:type="paragraph" w:styleId="7">
    <w:name w:val="Document Map"/>
    <w:basedOn w:val="1"/>
    <w:link w:val="42"/>
    <w:qFormat/>
    <w:uiPriority w:val="0"/>
    <w:rPr>
      <w:rFonts w:ascii="宋体" w:hAnsi="Times New Roman" w:eastAsia="宋体" w:cs="Times New Roman"/>
      <w:sz w:val="18"/>
      <w:szCs w:val="18"/>
    </w:rPr>
  </w:style>
  <w:style w:type="paragraph" w:styleId="8">
    <w:name w:val="annotation text"/>
    <w:basedOn w:val="1"/>
    <w:link w:val="45"/>
    <w:qFormat/>
    <w:uiPriority w:val="0"/>
    <w:pPr>
      <w:jc w:val="left"/>
    </w:pPr>
    <w:rPr>
      <w:rFonts w:ascii="Times New Roman" w:hAnsi="Times New Roman" w:cs="Times New Roman"/>
      <w:sz w:val="32"/>
      <w:szCs w:val="24"/>
    </w:rPr>
  </w:style>
  <w:style w:type="paragraph" w:styleId="9">
    <w:name w:val="Body Text Indent"/>
    <w:basedOn w:val="1"/>
    <w:link w:val="51"/>
    <w:qFormat/>
    <w:uiPriority w:val="0"/>
    <w:pPr>
      <w:ind w:firstLine="720"/>
    </w:pPr>
    <w:rPr>
      <w:rFonts w:ascii="Times New Roman" w:hAnsi="Times New Roman" w:cs="Times New Roman"/>
      <w:b/>
      <w:bCs/>
      <w:sz w:val="32"/>
      <w:szCs w:val="24"/>
    </w:rPr>
  </w:style>
  <w:style w:type="paragraph" w:styleId="10">
    <w:name w:val="toc 3"/>
    <w:basedOn w:val="1"/>
    <w:next w:val="1"/>
    <w:qFormat/>
    <w:uiPriority w:val="0"/>
    <w:pPr>
      <w:widowControl/>
      <w:overflowPunct w:val="0"/>
      <w:autoSpaceDE w:val="0"/>
      <w:autoSpaceDN w:val="0"/>
      <w:adjustRightInd w:val="0"/>
      <w:spacing w:after="240"/>
      <w:ind w:left="840" w:leftChars="400"/>
      <w:textAlignment w:val="baseline"/>
    </w:pPr>
    <w:rPr>
      <w:rFonts w:ascii="Times New Roman" w:hAnsi="Times New Roman" w:cs="Times New Roman"/>
      <w:kern w:val="0"/>
      <w:sz w:val="24"/>
      <w:szCs w:val="20"/>
    </w:rPr>
  </w:style>
  <w:style w:type="paragraph" w:styleId="11">
    <w:name w:val="Plain Text"/>
    <w:basedOn w:val="1"/>
    <w:link w:val="40"/>
    <w:qFormat/>
    <w:uiPriority w:val="0"/>
    <w:rPr>
      <w:rFonts w:ascii="宋体" w:hAnsi="Courier New" w:eastAsia="宋体" w:cs="Times New Roman"/>
      <w:szCs w:val="21"/>
    </w:rPr>
  </w:style>
  <w:style w:type="paragraph" w:styleId="12">
    <w:name w:val="Date"/>
    <w:basedOn w:val="1"/>
    <w:next w:val="1"/>
    <w:link w:val="53"/>
    <w:qFormat/>
    <w:uiPriority w:val="0"/>
    <w:pPr>
      <w:ind w:left="100" w:leftChars="2500"/>
    </w:pPr>
    <w:rPr>
      <w:rFonts w:hAnsi="Times New Roman" w:cs="Times New Roman"/>
      <w:sz w:val="32"/>
      <w:szCs w:val="24"/>
    </w:rPr>
  </w:style>
  <w:style w:type="paragraph" w:styleId="13">
    <w:name w:val="Body Text Indent 2"/>
    <w:basedOn w:val="1"/>
    <w:link w:val="52"/>
    <w:qFormat/>
    <w:uiPriority w:val="0"/>
    <w:pPr>
      <w:spacing w:line="640" w:lineRule="exact"/>
      <w:ind w:firstLine="720"/>
    </w:pPr>
    <w:rPr>
      <w:rFonts w:hAnsi="Times New Roman" w:cs="Times New Roman"/>
      <w:b/>
      <w:bCs/>
      <w:sz w:val="36"/>
      <w:szCs w:val="24"/>
    </w:rPr>
  </w:style>
  <w:style w:type="paragraph" w:styleId="14">
    <w:name w:val="Balloon Text"/>
    <w:basedOn w:val="1"/>
    <w:link w:val="35"/>
    <w:semiHidden/>
    <w:unhideWhenUsed/>
    <w:qFormat/>
    <w:uiPriority w:val="0"/>
    <w:rPr>
      <w:sz w:val="18"/>
      <w:szCs w:val="18"/>
    </w:rPr>
  </w:style>
  <w:style w:type="paragraph" w:styleId="15">
    <w:name w:val="footer"/>
    <w:basedOn w:val="1"/>
    <w:link w:val="34"/>
    <w:unhideWhenUsed/>
    <w:qFormat/>
    <w:uiPriority w:val="99"/>
    <w:pPr>
      <w:tabs>
        <w:tab w:val="center" w:pos="4153"/>
        <w:tab w:val="right" w:pos="8306"/>
      </w:tabs>
      <w:jc w:val="left"/>
    </w:pPr>
    <w:rPr>
      <w:sz w:val="18"/>
      <w:szCs w:val="18"/>
    </w:rPr>
  </w:style>
  <w:style w:type="paragraph" w:styleId="16">
    <w:name w:val="header"/>
    <w:basedOn w:val="1"/>
    <w:link w:val="33"/>
    <w:unhideWhenUsed/>
    <w:qFormat/>
    <w:uiPriority w:val="0"/>
    <w:pPr>
      <w:pBdr>
        <w:bottom w:val="single" w:color="auto" w:sz="6" w:space="1"/>
      </w:pBdr>
      <w:tabs>
        <w:tab w:val="center" w:pos="4153"/>
        <w:tab w:val="right" w:pos="8306"/>
      </w:tabs>
      <w:jc w:val="center"/>
    </w:pPr>
    <w:rPr>
      <w:sz w:val="18"/>
      <w:szCs w:val="18"/>
    </w:rPr>
  </w:style>
  <w:style w:type="paragraph" w:styleId="17">
    <w:name w:val="toc 1"/>
    <w:basedOn w:val="1"/>
    <w:next w:val="1"/>
    <w:qFormat/>
    <w:uiPriority w:val="39"/>
    <w:pPr>
      <w:widowControl/>
      <w:overflowPunct w:val="0"/>
      <w:autoSpaceDE w:val="0"/>
      <w:autoSpaceDN w:val="0"/>
      <w:adjustRightInd w:val="0"/>
      <w:spacing w:after="240"/>
      <w:textAlignment w:val="baseline"/>
    </w:pPr>
    <w:rPr>
      <w:rFonts w:ascii="Times New Roman" w:hAnsi="Times New Roman" w:eastAsia="黑体" w:cs="Times New Roman"/>
      <w:kern w:val="0"/>
      <w:sz w:val="24"/>
      <w:szCs w:val="20"/>
    </w:rPr>
  </w:style>
  <w:style w:type="paragraph" w:styleId="18">
    <w:name w:val="footnote text"/>
    <w:basedOn w:val="1"/>
    <w:link w:val="48"/>
    <w:qFormat/>
    <w:uiPriority w:val="0"/>
    <w:pPr>
      <w:overflowPunct w:val="0"/>
      <w:autoSpaceDE w:val="0"/>
      <w:autoSpaceDN w:val="0"/>
      <w:adjustRightInd w:val="0"/>
      <w:jc w:val="left"/>
      <w:textAlignment w:val="baseline"/>
    </w:pPr>
    <w:rPr>
      <w:rFonts w:ascii="CG Times (WN)" w:hAnsi="CG Times (WN)" w:eastAsia="宋体" w:cs="Times New Roman"/>
      <w:kern w:val="0"/>
      <w:sz w:val="20"/>
      <w:szCs w:val="20"/>
    </w:rPr>
  </w:style>
  <w:style w:type="paragraph" w:styleId="19">
    <w:name w:val="Body Text Indent 3"/>
    <w:basedOn w:val="1"/>
    <w:link w:val="50"/>
    <w:qFormat/>
    <w:uiPriority w:val="0"/>
    <w:pPr>
      <w:ind w:firstLine="640"/>
    </w:pPr>
    <w:rPr>
      <w:rFonts w:ascii="Times New Roman" w:hAnsi="Times New Roman" w:cs="Times New Roman"/>
      <w:sz w:val="32"/>
      <w:szCs w:val="24"/>
    </w:rPr>
  </w:style>
  <w:style w:type="paragraph" w:styleId="20">
    <w:name w:val="toc 2"/>
    <w:basedOn w:val="1"/>
    <w:next w:val="1"/>
    <w:qFormat/>
    <w:uiPriority w:val="39"/>
    <w:pPr>
      <w:widowControl/>
      <w:overflowPunct w:val="0"/>
      <w:autoSpaceDE w:val="0"/>
      <w:autoSpaceDN w:val="0"/>
      <w:adjustRightInd w:val="0"/>
      <w:spacing w:after="240"/>
      <w:ind w:left="420" w:leftChars="200"/>
      <w:textAlignment w:val="baseline"/>
    </w:pPr>
    <w:rPr>
      <w:rFonts w:ascii="Times New Roman" w:hAnsi="Times New Roman" w:eastAsia="楷体_GB2312" w:cs="Times New Roman"/>
      <w:kern w:val="0"/>
      <w:sz w:val="24"/>
      <w:szCs w:val="20"/>
    </w:rPr>
  </w:style>
  <w:style w:type="paragraph" w:styleId="21">
    <w:name w:val="Body Text 2"/>
    <w:basedOn w:val="1"/>
    <w:link w:val="49"/>
    <w:qFormat/>
    <w:uiPriority w:val="0"/>
    <w:pPr>
      <w:spacing w:after="120" w:line="480" w:lineRule="auto"/>
    </w:pPr>
    <w:rPr>
      <w:rFonts w:ascii="Times New Roman" w:hAnsi="Times New Roman" w:cs="Times New Roman"/>
      <w:sz w:val="24"/>
      <w:szCs w:val="20"/>
    </w:rPr>
  </w:style>
  <w:style w:type="paragraph" w:styleId="22">
    <w:name w:val="Normal (Web)"/>
    <w:basedOn w:val="1"/>
    <w:unhideWhenUsed/>
    <w:qFormat/>
    <w:uiPriority w:val="0"/>
    <w:pPr>
      <w:widowControl/>
      <w:spacing w:before="100" w:beforeAutospacing="1" w:after="100" w:afterAutospacing="1"/>
      <w:jc w:val="left"/>
    </w:pPr>
    <w:rPr>
      <w:rFonts w:ascii="宋体" w:hAnsi="宋体" w:eastAsia="宋体" w:cs="宋体"/>
      <w:kern w:val="0"/>
      <w:sz w:val="24"/>
      <w:szCs w:val="24"/>
    </w:rPr>
  </w:style>
  <w:style w:type="paragraph" w:styleId="23">
    <w:name w:val="Title"/>
    <w:basedOn w:val="1"/>
    <w:next w:val="1"/>
    <w:link w:val="43"/>
    <w:qFormat/>
    <w:uiPriority w:val="0"/>
    <w:pPr>
      <w:spacing w:before="240" w:after="60"/>
      <w:jc w:val="center"/>
      <w:outlineLvl w:val="0"/>
    </w:pPr>
    <w:rPr>
      <w:rFonts w:ascii="Cambria" w:hAnsi="Cambria" w:eastAsia="宋体" w:cs="Times New Roman"/>
      <w:b/>
      <w:bCs/>
      <w:sz w:val="32"/>
      <w:szCs w:val="32"/>
    </w:rPr>
  </w:style>
  <w:style w:type="paragraph" w:styleId="24">
    <w:name w:val="annotation subject"/>
    <w:basedOn w:val="8"/>
    <w:next w:val="8"/>
    <w:link w:val="47"/>
    <w:qFormat/>
    <w:uiPriority w:val="0"/>
    <w:rPr>
      <w:b/>
      <w:bCs/>
    </w:rPr>
  </w:style>
  <w:style w:type="table" w:styleId="26">
    <w:name w:val="Table Grid"/>
    <w:basedOn w:val="25"/>
    <w:qFormat/>
    <w:uiPriority w:val="0"/>
    <w:pPr>
      <w:tabs>
        <w:tab w:val="left" w:pos="360"/>
        <w:tab w:val="left" w:pos="720"/>
      </w:tabs>
      <w:overflowPunct w:val="0"/>
      <w:autoSpaceDE w:val="0"/>
      <w:autoSpaceDN w:val="0"/>
      <w:adjustRightInd w:val="0"/>
      <w:spacing w:after="240"/>
      <w:jc w:val="both"/>
      <w:textAlignment w:val="baseline"/>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0"/>
    <w:rPr>
      <w:b/>
      <w:bCs/>
    </w:rPr>
  </w:style>
  <w:style w:type="character" w:styleId="29">
    <w:name w:val="page number"/>
    <w:qFormat/>
    <w:uiPriority w:val="0"/>
  </w:style>
  <w:style w:type="character" w:styleId="30">
    <w:name w:val="Hyperlink"/>
    <w:basedOn w:val="27"/>
    <w:qFormat/>
    <w:uiPriority w:val="99"/>
    <w:rPr>
      <w:color w:val="0000FF"/>
      <w:u w:val="single"/>
    </w:rPr>
  </w:style>
  <w:style w:type="character" w:styleId="31">
    <w:name w:val="annotation reference"/>
    <w:basedOn w:val="27"/>
    <w:qFormat/>
    <w:uiPriority w:val="0"/>
    <w:rPr>
      <w:sz w:val="21"/>
      <w:szCs w:val="21"/>
    </w:rPr>
  </w:style>
  <w:style w:type="character" w:styleId="32">
    <w:name w:val="footnote reference"/>
    <w:basedOn w:val="27"/>
    <w:qFormat/>
    <w:uiPriority w:val="0"/>
    <w:rPr>
      <w:position w:val="6"/>
      <w:sz w:val="16"/>
    </w:rPr>
  </w:style>
  <w:style w:type="character" w:customStyle="1" w:styleId="33">
    <w:name w:val="页眉 字符"/>
    <w:basedOn w:val="27"/>
    <w:link w:val="16"/>
    <w:qFormat/>
    <w:uiPriority w:val="0"/>
    <w:rPr>
      <w:sz w:val="18"/>
      <w:szCs w:val="18"/>
    </w:rPr>
  </w:style>
  <w:style w:type="character" w:customStyle="1" w:styleId="34">
    <w:name w:val="页脚 字符"/>
    <w:basedOn w:val="27"/>
    <w:link w:val="15"/>
    <w:qFormat/>
    <w:uiPriority w:val="99"/>
    <w:rPr>
      <w:sz w:val="18"/>
      <w:szCs w:val="18"/>
    </w:rPr>
  </w:style>
  <w:style w:type="character" w:customStyle="1" w:styleId="35">
    <w:name w:val="批注框文本 字符"/>
    <w:basedOn w:val="27"/>
    <w:link w:val="14"/>
    <w:semiHidden/>
    <w:qFormat/>
    <w:uiPriority w:val="99"/>
    <w:rPr>
      <w:sz w:val="18"/>
      <w:szCs w:val="18"/>
    </w:rPr>
  </w:style>
  <w:style w:type="paragraph" w:customStyle="1" w:styleId="36">
    <w:name w:val="样式3"/>
    <w:basedOn w:val="5"/>
    <w:qFormat/>
    <w:uiPriority w:val="0"/>
    <w:rPr>
      <w:rFonts w:ascii="Times New Roman" w:hAnsi="Times New Roman" w:eastAsia="宋体" w:cs="Times New Roman"/>
    </w:rPr>
  </w:style>
  <w:style w:type="character" w:customStyle="1" w:styleId="37">
    <w:name w:val="标题 3 字符"/>
    <w:basedOn w:val="27"/>
    <w:link w:val="5"/>
    <w:semiHidden/>
    <w:qFormat/>
    <w:uiPriority w:val="0"/>
    <w:rPr>
      <w:b/>
      <w:bCs/>
      <w:sz w:val="32"/>
      <w:szCs w:val="32"/>
    </w:rPr>
  </w:style>
  <w:style w:type="character" w:customStyle="1" w:styleId="38">
    <w:name w:val="标题 1 字符"/>
    <w:basedOn w:val="27"/>
    <w:link w:val="3"/>
    <w:qFormat/>
    <w:uiPriority w:val="0"/>
    <w:rPr>
      <w:rFonts w:ascii="Times New Roman" w:hAnsi="Times New Roman" w:eastAsia="仿宋_GB2312" w:cs="Times New Roman"/>
      <w:b/>
      <w:bCs/>
      <w:kern w:val="44"/>
      <w:sz w:val="44"/>
      <w:szCs w:val="44"/>
    </w:rPr>
  </w:style>
  <w:style w:type="character" w:customStyle="1" w:styleId="39">
    <w:name w:val="标题 2 字符"/>
    <w:basedOn w:val="27"/>
    <w:link w:val="4"/>
    <w:qFormat/>
    <w:uiPriority w:val="0"/>
    <w:rPr>
      <w:rFonts w:ascii="Cambria" w:hAnsi="Cambria" w:eastAsia="宋体" w:cs="Times New Roman"/>
      <w:b/>
      <w:bCs/>
      <w:sz w:val="32"/>
      <w:szCs w:val="32"/>
    </w:rPr>
  </w:style>
  <w:style w:type="character" w:customStyle="1" w:styleId="40">
    <w:name w:val="纯文本 字符"/>
    <w:basedOn w:val="27"/>
    <w:link w:val="11"/>
    <w:qFormat/>
    <w:uiPriority w:val="0"/>
    <w:rPr>
      <w:rFonts w:ascii="宋体" w:hAnsi="Courier New" w:eastAsia="宋体" w:cs="Times New Roman"/>
      <w:szCs w:val="21"/>
    </w:rPr>
  </w:style>
  <w:style w:type="paragraph" w:styleId="41">
    <w:name w:val="List Paragraph"/>
    <w:basedOn w:val="1"/>
    <w:qFormat/>
    <w:uiPriority w:val="34"/>
    <w:pPr>
      <w:ind w:firstLine="420"/>
    </w:pPr>
    <w:rPr>
      <w:rFonts w:ascii="Calibri" w:hAnsi="Calibri" w:eastAsia="宋体" w:cs="Times New Roman"/>
    </w:rPr>
  </w:style>
  <w:style w:type="character" w:customStyle="1" w:styleId="42">
    <w:name w:val="文档结构图 字符"/>
    <w:basedOn w:val="27"/>
    <w:link w:val="7"/>
    <w:qFormat/>
    <w:uiPriority w:val="0"/>
    <w:rPr>
      <w:rFonts w:ascii="宋体" w:hAnsi="Times New Roman" w:eastAsia="宋体" w:cs="Times New Roman"/>
      <w:sz w:val="18"/>
      <w:szCs w:val="18"/>
    </w:rPr>
  </w:style>
  <w:style w:type="character" w:customStyle="1" w:styleId="43">
    <w:name w:val="标题 字符"/>
    <w:basedOn w:val="27"/>
    <w:link w:val="23"/>
    <w:qFormat/>
    <w:uiPriority w:val="0"/>
    <w:rPr>
      <w:rFonts w:ascii="Cambria" w:hAnsi="Cambria" w:eastAsia="宋体" w:cs="Times New Roman"/>
      <w:b/>
      <w:bCs/>
      <w:sz w:val="32"/>
      <w:szCs w:val="32"/>
    </w:rPr>
  </w:style>
  <w:style w:type="paragraph" w:customStyle="1" w:styleId="44">
    <w:name w:val="Char Char Char Char Char Char Char Char Char Char Char Char Char"/>
    <w:basedOn w:val="1"/>
    <w:qFormat/>
    <w:uiPriority w:val="0"/>
    <w:rPr>
      <w:rFonts w:ascii="Tahoma" w:hAnsi="Tahoma" w:eastAsia="宋体" w:cs="Times New Roman"/>
      <w:szCs w:val="24"/>
    </w:rPr>
  </w:style>
  <w:style w:type="character" w:customStyle="1" w:styleId="45">
    <w:name w:val="批注文字 字符"/>
    <w:basedOn w:val="27"/>
    <w:link w:val="8"/>
    <w:qFormat/>
    <w:uiPriority w:val="0"/>
    <w:rPr>
      <w:rFonts w:ascii="Times New Roman" w:hAnsi="Times New Roman" w:eastAsia="仿宋_GB2312" w:cs="Times New Roman"/>
      <w:sz w:val="32"/>
      <w:szCs w:val="24"/>
    </w:rPr>
  </w:style>
  <w:style w:type="character" w:customStyle="1" w:styleId="46">
    <w:name w:val="批注主题 Char"/>
    <w:basedOn w:val="45"/>
    <w:semiHidden/>
    <w:qFormat/>
    <w:uiPriority w:val="99"/>
    <w:rPr>
      <w:rFonts w:ascii="Times New Roman" w:hAnsi="Times New Roman" w:eastAsia="仿宋_GB2312" w:cs="Times New Roman"/>
      <w:b/>
      <w:bCs/>
      <w:sz w:val="32"/>
      <w:szCs w:val="24"/>
    </w:rPr>
  </w:style>
  <w:style w:type="character" w:customStyle="1" w:styleId="47">
    <w:name w:val="批注主题 字符"/>
    <w:link w:val="24"/>
    <w:qFormat/>
    <w:uiPriority w:val="0"/>
    <w:rPr>
      <w:rFonts w:ascii="Times New Roman" w:hAnsi="Times New Roman" w:eastAsia="仿宋_GB2312" w:cs="Times New Roman"/>
      <w:b/>
      <w:bCs/>
      <w:sz w:val="32"/>
      <w:szCs w:val="24"/>
    </w:rPr>
  </w:style>
  <w:style w:type="character" w:customStyle="1" w:styleId="48">
    <w:name w:val="脚注文本 字符"/>
    <w:basedOn w:val="27"/>
    <w:link w:val="18"/>
    <w:qFormat/>
    <w:uiPriority w:val="0"/>
    <w:rPr>
      <w:rFonts w:ascii="CG Times (WN)" w:hAnsi="CG Times (WN)" w:eastAsia="宋体" w:cs="Times New Roman"/>
      <w:kern w:val="0"/>
      <w:sz w:val="20"/>
      <w:szCs w:val="20"/>
    </w:rPr>
  </w:style>
  <w:style w:type="character" w:customStyle="1" w:styleId="49">
    <w:name w:val="正文文本 2 字符"/>
    <w:basedOn w:val="27"/>
    <w:link w:val="21"/>
    <w:qFormat/>
    <w:uiPriority w:val="0"/>
    <w:rPr>
      <w:rFonts w:ascii="Times New Roman" w:hAnsi="Times New Roman" w:eastAsia="仿宋_GB2312" w:cs="Times New Roman"/>
      <w:sz w:val="24"/>
      <w:szCs w:val="20"/>
    </w:rPr>
  </w:style>
  <w:style w:type="character" w:customStyle="1" w:styleId="50">
    <w:name w:val="正文文本缩进 3 字符"/>
    <w:basedOn w:val="27"/>
    <w:link w:val="19"/>
    <w:qFormat/>
    <w:uiPriority w:val="0"/>
    <w:rPr>
      <w:rFonts w:ascii="Times New Roman" w:hAnsi="Times New Roman" w:eastAsia="仿宋_GB2312" w:cs="Times New Roman"/>
      <w:sz w:val="32"/>
      <w:szCs w:val="24"/>
    </w:rPr>
  </w:style>
  <w:style w:type="character" w:customStyle="1" w:styleId="51">
    <w:name w:val="正文文本缩进 字符"/>
    <w:basedOn w:val="27"/>
    <w:link w:val="9"/>
    <w:qFormat/>
    <w:uiPriority w:val="0"/>
    <w:rPr>
      <w:rFonts w:ascii="Times New Roman" w:hAnsi="Times New Roman" w:eastAsia="仿宋_GB2312" w:cs="Times New Roman"/>
      <w:b/>
      <w:bCs/>
      <w:sz w:val="32"/>
      <w:szCs w:val="24"/>
    </w:rPr>
  </w:style>
  <w:style w:type="character" w:customStyle="1" w:styleId="52">
    <w:name w:val="正文文本缩进 2 字符"/>
    <w:basedOn w:val="27"/>
    <w:link w:val="13"/>
    <w:qFormat/>
    <w:uiPriority w:val="0"/>
    <w:rPr>
      <w:rFonts w:ascii="仿宋_GB2312" w:hAnsi="Times New Roman" w:eastAsia="仿宋_GB2312" w:cs="Times New Roman"/>
      <w:b/>
      <w:bCs/>
      <w:sz w:val="36"/>
      <w:szCs w:val="24"/>
    </w:rPr>
  </w:style>
  <w:style w:type="character" w:customStyle="1" w:styleId="53">
    <w:name w:val="日期 字符"/>
    <w:basedOn w:val="27"/>
    <w:link w:val="12"/>
    <w:qFormat/>
    <w:uiPriority w:val="0"/>
    <w:rPr>
      <w:rFonts w:ascii="仿宋_GB2312" w:hAnsi="Times New Roman" w:eastAsia="仿宋_GB2312" w:cs="Times New Roman"/>
      <w:sz w:val="32"/>
      <w:szCs w:val="24"/>
    </w:rPr>
  </w:style>
  <w:style w:type="paragraph" w:customStyle="1" w:styleId="54">
    <w:name w:val="han"/>
    <w:basedOn w:val="1"/>
    <w:qFormat/>
    <w:uiPriority w:val="0"/>
    <w:rPr>
      <w:rFonts w:ascii="宋体" w:hAnsi="宋体"/>
      <w:sz w:val="24"/>
    </w:rPr>
  </w:style>
  <w:style w:type="paragraph" w:customStyle="1" w:styleId="55">
    <w:name w:val="修订1"/>
    <w:hidden/>
    <w:unhideWhenUsed/>
    <w:uiPriority w:val="99"/>
    <w:rPr>
      <w:rFonts w:ascii="仿宋_GB2312" w:hAnsi="仿宋" w:eastAsia="仿宋_GB2312" w:cs="仿宋"/>
      <w:kern w:val="2"/>
      <w:sz w:val="28"/>
      <w:szCs w:val="2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79</Pages>
  <Words>2047</Words>
  <Characters>11674</Characters>
  <Lines>97</Lines>
  <Paragraphs>27</Paragraphs>
  <TotalTime>0</TotalTime>
  <ScaleCrop>false</ScaleCrop>
  <LinksUpToDate>false</LinksUpToDate>
  <CharactersWithSpaces>13694</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2025-05-04T08:57:00Z</dcterms:created>
  <dc:creator>Thinkpad</dc:creator>
  <cp:lastModifiedBy>IN</cp:lastModifiedBy>
  <cp:lastPrinted>2021-12-08T09:02:00Z</cp:lastPrinted>
  <dcterms:modified xsi:type="dcterms:W3CDTF">2025-11-15T16:52:37Z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KSOTemplateDocerSaveRecord">
    <vt:lpwstr>eyJoZGlkIjoiZmYzYThhY2Q0ZGQ2ZGM4NzgxOTM0NjUxMzNjODUwYjUiLCJ1c2VySWQiOiIxMjUyOTI5MzYyIn0=</vt:lpwstr>
  </property>
  <property fmtid="{D5CDD505-2E9C-101B-9397-08002B2CF9AE}" pid="4" name="ICV">
    <vt:lpwstr>7DB0B4BD34FD96E22720F368ADB84690_43</vt:lpwstr>
  </property>
</Properties>
</file>