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ind w:firstLine="872"/>
        <w:jc w:val="left"/>
        <w:rPr>
          <w:rFonts w:ascii="方正小标宋简体" w:hAnsi="黑体" w:eastAsia="方正小标宋简体"/>
          <w:sz w:val="44"/>
          <w:szCs w:val="44"/>
        </w:rPr>
      </w:pPr>
    </w:p>
    <w:p>
      <w:pPr>
        <w:widowControl/>
        <w:ind w:firstLine="872"/>
        <w:jc w:val="left"/>
        <w:rPr>
          <w:rFonts w:ascii="方正小标宋简体" w:hAnsi="黑体" w:eastAsia="方正小标宋简体"/>
          <w:sz w:val="44"/>
          <w:szCs w:val="44"/>
        </w:rPr>
      </w:pPr>
    </w:p>
    <w:p>
      <w:pPr>
        <w:widowControl/>
        <w:ind w:firstLine="872"/>
        <w:jc w:val="left"/>
        <w:rPr>
          <w:rFonts w:ascii="方正小标宋简体" w:hAnsi="黑体" w:eastAsia="方正小标宋简体"/>
          <w:sz w:val="44"/>
          <w:szCs w:val="44"/>
        </w:rPr>
      </w:pPr>
    </w:p>
    <w:p>
      <w:pPr>
        <w:widowControl/>
        <w:spacing w:line="700" w:lineRule="exact"/>
        <w:ind w:firstLine="872"/>
        <w:jc w:val="center"/>
        <w:rPr>
          <w:rFonts w:hint="default" w:ascii="方正小标宋简体" w:hAnsi="黑体" w:eastAsia="方正小标宋简体"/>
          <w:sz w:val="44"/>
          <w:szCs w:val="44"/>
          <w:lang w:val="en-US" w:eastAsia="zh-CN"/>
        </w:rPr>
      </w:pPr>
      <w:r>
        <w:rPr>
          <w:rFonts w:hint="eastAsia" w:ascii="方正小标宋简体" w:hAnsi="黑体" w:eastAsia="方正小标宋简体"/>
          <w:sz w:val="44"/>
          <w:szCs w:val="44"/>
        </w:rPr>
        <w:t>跨平台智能算法模型转化工具</w:t>
      </w:r>
      <w:r>
        <w:rPr>
          <w:rFonts w:hint="eastAsia" w:ascii="方正小标宋简体" w:hAnsi="黑体" w:eastAsia="方正小标宋简体"/>
          <w:sz w:val="44"/>
          <w:szCs w:val="44"/>
          <w:lang w:val="en-US" w:eastAsia="zh-CN"/>
        </w:rPr>
        <w:t>需求规格说明书</w:t>
      </w:r>
    </w:p>
    <w:p>
      <w:pPr>
        <w:widowControl/>
        <w:jc w:val="left"/>
        <w:rPr>
          <w:sz w:val="32"/>
          <w:szCs w:val="32"/>
        </w:rPr>
      </w:pPr>
    </w:p>
    <w:p>
      <w:pPr>
        <w:widowControl/>
        <w:jc w:val="left"/>
        <w:rPr>
          <w:sz w:val="32"/>
          <w:szCs w:val="32"/>
        </w:rPr>
      </w:pPr>
    </w:p>
    <w:p>
      <w:pPr>
        <w:widowControl/>
        <w:jc w:val="left"/>
        <w:rPr>
          <w:sz w:val="32"/>
          <w:szCs w:val="32"/>
        </w:rPr>
      </w:pPr>
    </w:p>
    <w:p>
      <w:pPr>
        <w:widowControl/>
        <w:jc w:val="left"/>
        <w:rPr>
          <w:sz w:val="32"/>
          <w:szCs w:val="32"/>
        </w:rPr>
      </w:pPr>
    </w:p>
    <w:p>
      <w:pPr>
        <w:pStyle w:val="2"/>
        <w:rPr>
          <w:sz w:val="32"/>
          <w:szCs w:val="32"/>
        </w:rPr>
      </w:pPr>
    </w:p>
    <w:p>
      <w:pPr>
        <w:pStyle w:val="2"/>
        <w:rPr>
          <w:sz w:val="32"/>
          <w:szCs w:val="32"/>
        </w:rPr>
      </w:pPr>
    </w:p>
    <w:p>
      <w:pPr>
        <w:pStyle w:val="2"/>
        <w:rPr>
          <w:sz w:val="32"/>
          <w:szCs w:val="32"/>
        </w:rPr>
      </w:pPr>
    </w:p>
    <w:p>
      <w:pPr>
        <w:widowControl/>
        <w:ind w:firstLine="0" w:firstLineChars="0"/>
        <w:jc w:val="left"/>
        <w:rPr>
          <w:sz w:val="32"/>
          <w:szCs w:val="32"/>
        </w:rPr>
      </w:pPr>
    </w:p>
    <w:p>
      <w:pPr>
        <w:pStyle w:val="2"/>
        <w:ind w:firstLine="0" w:firstLineChars="0"/>
        <w:rPr>
          <w:sz w:val="32"/>
          <w:szCs w:val="32"/>
        </w:rPr>
      </w:pPr>
    </w:p>
    <w:p>
      <w:pPr>
        <w:widowControl/>
        <w:ind w:firstLine="0" w:firstLineChars="0"/>
        <w:jc w:val="left"/>
        <w:rPr>
          <w:sz w:val="32"/>
          <w:szCs w:val="32"/>
        </w:rPr>
      </w:pPr>
    </w:p>
    <w:p>
      <w:pPr>
        <w:widowControl/>
        <w:ind w:firstLine="712"/>
        <w:jc w:val="center"/>
        <w:rPr>
          <w:rFonts w:hint="eastAsia" w:ascii="楷体_GB2312" w:eastAsia="楷体_GB2312"/>
          <w:sz w:val="36"/>
          <w:szCs w:val="36"/>
        </w:rPr>
      </w:pPr>
      <w:r>
        <w:rPr>
          <w:rFonts w:hint="eastAsia" w:ascii="楷体_GB2312" w:eastAsia="楷体_GB2312"/>
          <w:sz w:val="36"/>
          <w:szCs w:val="36"/>
          <w:lang w:val="en-US" w:eastAsia="zh-CN"/>
        </w:rPr>
        <w:t>西南交通大学</w:t>
      </w:r>
      <w:r>
        <w:rPr>
          <w:rFonts w:hint="eastAsia" w:ascii="楷体_GB2312" w:eastAsia="楷体_GB2312"/>
          <w:sz w:val="36"/>
          <w:szCs w:val="36"/>
        </w:rPr>
        <w:t>制</w:t>
      </w:r>
    </w:p>
    <w:p>
      <w:pPr>
        <w:pStyle w:val="2"/>
      </w:pPr>
    </w:p>
    <w:p>
      <w:pPr>
        <w:pStyle w:val="2"/>
        <w:jc w:val="center"/>
        <w:rPr>
          <w:rFonts w:hint="default" w:ascii="楷体_GB2312" w:hAnsi="仿宋" w:eastAsia="楷体_GB2312" w:cs="仿宋"/>
          <w:kern w:val="2"/>
          <w:sz w:val="36"/>
          <w:szCs w:val="36"/>
          <w:lang w:val="en-US" w:eastAsia="zh-CN" w:bidi="ar-SA"/>
        </w:rPr>
        <w:sectPr>
          <w:headerReference r:id="rId6" w:type="first"/>
          <w:footerReference r:id="rId9" w:type="first"/>
          <w:footerReference r:id="rId7" w:type="default"/>
          <w:headerReference r:id="rId5" w:type="even"/>
          <w:footerReference r:id="rId8" w:type="even"/>
          <w:pgSz w:w="11907" w:h="16840"/>
          <w:pgMar w:top="2098" w:right="1474" w:bottom="1814" w:left="1587" w:header="851" w:footer="1607" w:gutter="0"/>
          <w:cols w:space="720" w:num="1"/>
          <w:docGrid w:type="linesAndChars" w:linePitch="586" w:charSpace="-842"/>
        </w:sectPr>
      </w:pPr>
      <w:r>
        <w:rPr>
          <w:rFonts w:hint="eastAsia" w:ascii="楷体_GB2312" w:hAnsi="仿宋" w:eastAsia="楷体_GB2312" w:cs="仿宋"/>
          <w:kern w:val="2"/>
          <w:sz w:val="36"/>
          <w:szCs w:val="36"/>
          <w:lang w:val="en-US" w:eastAsia="zh-CN" w:bidi="ar-SA"/>
        </w:rPr>
        <w:t>2025年</w:t>
      </w:r>
      <w:r>
        <w:rPr>
          <w:rFonts w:hint="eastAsia" w:ascii="楷体_GB2312" w:eastAsia="楷体_GB2312" w:cs="仿宋"/>
          <w:kern w:val="2"/>
          <w:sz w:val="36"/>
          <w:szCs w:val="36"/>
          <w:lang w:val="en-US" w:eastAsia="zh-CN" w:bidi="ar-SA"/>
        </w:rPr>
        <w:t>10</w:t>
      </w:r>
      <w:r>
        <w:rPr>
          <w:rFonts w:hint="eastAsia" w:ascii="楷体_GB2312" w:hAnsi="仿宋" w:eastAsia="楷体_GB2312" w:cs="仿宋"/>
          <w:kern w:val="2"/>
          <w:sz w:val="36"/>
          <w:szCs w:val="36"/>
          <w:lang w:val="en-US" w:eastAsia="zh-CN" w:bidi="ar-SA"/>
        </w:rPr>
        <w:t>月</w:t>
      </w:r>
      <w:r>
        <w:rPr>
          <w:rFonts w:hint="eastAsia" w:ascii="楷体_GB2312" w:eastAsia="楷体_GB2312" w:cs="仿宋"/>
          <w:kern w:val="2"/>
          <w:sz w:val="36"/>
          <w:szCs w:val="36"/>
          <w:lang w:val="en-US" w:eastAsia="zh-CN" w:bidi="ar-SA"/>
        </w:rPr>
        <w:t>17</w:t>
      </w:r>
      <w:r>
        <w:rPr>
          <w:rFonts w:hint="eastAsia" w:ascii="楷体_GB2312" w:hAnsi="仿宋" w:eastAsia="楷体_GB2312" w:cs="仿宋"/>
          <w:kern w:val="2"/>
          <w:sz w:val="36"/>
          <w:szCs w:val="36"/>
          <w:lang w:val="en-US" w:eastAsia="zh-CN" w:bidi="ar-SA"/>
        </w:rPr>
        <w:t>日</w:t>
      </w:r>
    </w:p>
    <w:p>
      <w:pPr>
        <w:spacing w:line="360" w:lineRule="auto"/>
        <w:ind w:firstLine="0" w:firstLineChars="0"/>
        <w:jc w:val="center"/>
        <w:rPr>
          <w:b/>
          <w:bCs/>
        </w:rPr>
      </w:pPr>
      <w:r>
        <w:rPr>
          <w:rFonts w:hint="eastAsia" w:hAnsi="宋体"/>
          <w:b/>
          <w:bCs/>
        </w:rPr>
        <w:t>目录</w:t>
      </w:r>
    </w:p>
    <w:p>
      <w:pPr>
        <w:pStyle w:val="17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TOC \o "1-3" \f \h \u </w:instrText>
      </w:r>
      <w:r>
        <w:fldChar w:fldCharType="separate"/>
      </w:r>
      <w:r>
        <w:fldChar w:fldCharType="begin"/>
      </w:r>
      <w:r>
        <w:instrText xml:space="preserve"> HYPERLINK \l _Toc1912906650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1.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文档引言</w:t>
      </w:r>
      <w:r>
        <w:tab/>
      </w:r>
      <w:r>
        <w:fldChar w:fldCharType="begin"/>
      </w:r>
      <w:r>
        <w:instrText xml:space="preserve"> PAGEREF _Toc1912906650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2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_Toc244387313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1.1.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文档目的</w:t>
      </w:r>
      <w:r>
        <w:tab/>
      </w:r>
      <w:r>
        <w:fldChar w:fldCharType="begin"/>
      </w:r>
      <w:r>
        <w:instrText xml:space="preserve"> PAGEREF _Toc244387313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2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_Toc1428836527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1.2.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文档范围</w:t>
      </w:r>
      <w:r>
        <w:tab/>
      </w:r>
      <w:r>
        <w:fldChar w:fldCharType="begin"/>
      </w:r>
      <w:r>
        <w:instrText xml:space="preserve"> PAGEREF _Toc1428836527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2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_Toc1293368535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1.3.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术语与定义</w:t>
      </w:r>
      <w:r>
        <w:tab/>
      </w:r>
      <w:r>
        <w:fldChar w:fldCharType="begin"/>
      </w:r>
      <w:r>
        <w:instrText xml:space="preserve"> PAGEREF _Toc1293368535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2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_Toc815492811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1.4.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参考文档</w:t>
      </w:r>
      <w:r>
        <w:tab/>
      </w:r>
      <w:r>
        <w:fldChar w:fldCharType="begin"/>
      </w:r>
      <w:r>
        <w:instrText xml:space="preserve"> PAGEREF _Toc815492811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7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_Toc747039323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2.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项目概述</w:t>
      </w:r>
      <w:r>
        <w:tab/>
      </w:r>
      <w:r>
        <w:fldChar w:fldCharType="begin"/>
      </w:r>
      <w:r>
        <w:instrText xml:space="preserve"> PAGEREF _Toc747039323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_Toc1300501299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2.1.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项目背景</w:t>
      </w:r>
      <w:r>
        <w:tab/>
      </w:r>
      <w:r>
        <w:fldChar w:fldCharType="begin"/>
      </w:r>
      <w:r>
        <w:instrText xml:space="preserve"> PAGEREF _Toc1300501299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_Toc436773127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2.2.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项目目标</w:t>
      </w:r>
      <w:r>
        <w:tab/>
      </w:r>
      <w:r>
        <w:fldChar w:fldCharType="begin"/>
      </w:r>
      <w:r>
        <w:instrText xml:space="preserve"> PAGEREF _Toc436773127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_Toc746840043 </w:instrText>
      </w:r>
      <w:r>
        <w:fldChar w:fldCharType="separate"/>
      </w:r>
      <w:r>
        <w:rPr>
          <w:rFonts w:hint="default"/>
        </w:rPr>
        <w:t xml:space="preserve">2.3.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项目范围</w:t>
      </w:r>
      <w:r>
        <w:tab/>
      </w:r>
      <w:r>
        <w:fldChar w:fldCharType="begin"/>
      </w:r>
      <w:r>
        <w:instrText xml:space="preserve"> PAGEREF _Toc746840043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_Toc98685986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2.4.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核心价值</w:t>
      </w:r>
      <w:r>
        <w:tab/>
      </w:r>
      <w:r>
        <w:fldChar w:fldCharType="begin"/>
      </w:r>
      <w:r>
        <w:instrText xml:space="preserve"> PAGEREF _Toc98685986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7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_Toc757991218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3.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功能需求</w:t>
      </w:r>
      <w:r>
        <w:tab/>
      </w:r>
      <w:r>
        <w:fldChar w:fldCharType="begin"/>
      </w:r>
      <w:r>
        <w:instrText xml:space="preserve"> PAGEREF _Toc757991218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_Toc685406922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3.1.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模型管理模块</w:t>
      </w:r>
      <w:r>
        <w:tab/>
      </w:r>
      <w:r>
        <w:fldChar w:fldCharType="begin"/>
      </w:r>
      <w:r>
        <w:instrText xml:space="preserve"> PAGEREF _Toc685406922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_Toc531855546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3.1.1.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模型接入</w:t>
      </w:r>
      <w:r>
        <w:tab/>
      </w:r>
      <w:r>
        <w:fldChar w:fldCharType="begin"/>
      </w:r>
      <w:r>
        <w:instrText xml:space="preserve"> PAGEREF _Toc531855546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_Toc1069222808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3.1.2.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模型信息维护</w:t>
      </w:r>
      <w:r>
        <w:tab/>
      </w:r>
      <w:r>
        <w:fldChar w:fldCharType="begin"/>
      </w:r>
      <w:r>
        <w:instrText xml:space="preserve"> PAGEREF _Toc1069222808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_Toc284575960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3.1.3.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模型版本控制</w:t>
      </w:r>
      <w:r>
        <w:tab/>
      </w:r>
      <w:r>
        <w:fldChar w:fldCharType="begin"/>
      </w:r>
      <w:r>
        <w:instrText xml:space="preserve"> PAGEREF _Toc284575960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_Toc422077851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3.1.4.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模型存储与检索</w:t>
      </w:r>
      <w:r>
        <w:tab/>
      </w:r>
      <w:r>
        <w:fldChar w:fldCharType="begin"/>
      </w:r>
      <w:r>
        <w:instrText xml:space="preserve"> PAGEREF _Toc422077851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_Toc723955716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3.2.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跨平台格式转化模块</w:t>
      </w:r>
      <w:r>
        <w:tab/>
      </w:r>
      <w:r>
        <w:fldChar w:fldCharType="begin"/>
      </w:r>
      <w:r>
        <w:instrText xml:space="preserve"> PAGEREF _Toc723955716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_Toc2028858557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3.2.1.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多源模型兼容</w:t>
      </w:r>
      <w:r>
        <w:tab/>
      </w:r>
      <w:r>
        <w:fldChar w:fldCharType="begin"/>
      </w:r>
      <w:r>
        <w:instrText xml:space="preserve"> PAGEREF _Toc2028858557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_Toc1280420433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3.2.2.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多平台格式输出</w:t>
      </w:r>
      <w:r>
        <w:tab/>
      </w:r>
      <w:r>
        <w:fldChar w:fldCharType="begin"/>
      </w:r>
      <w:r>
        <w:instrText xml:space="preserve"> PAGEREF _Toc1280420433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_Toc92590844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3.2.3.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转换参数配置</w:t>
      </w:r>
      <w:r>
        <w:tab/>
      </w:r>
      <w:r>
        <w:fldChar w:fldCharType="begin"/>
      </w:r>
      <w:r>
        <w:instrText xml:space="preserve"> PAGEREF _Toc92590844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_Toc1396154680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3.2.4.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转换任务管控</w:t>
      </w:r>
      <w:r>
        <w:tab/>
      </w:r>
      <w:r>
        <w:fldChar w:fldCharType="begin"/>
      </w:r>
      <w:r>
        <w:instrText xml:space="preserve"> PAGEREF _Toc1396154680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_Toc1765379638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3.2.5.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转换日志追溯</w:t>
      </w:r>
      <w:r>
        <w:tab/>
      </w:r>
      <w:r>
        <w:fldChar w:fldCharType="begin"/>
      </w:r>
      <w:r>
        <w:instrText xml:space="preserve"> PAGEREF _Toc1765379638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2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_Toc1101508914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3.3.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模型可视化模块</w:t>
      </w:r>
      <w:r>
        <w:tab/>
      </w:r>
      <w:r>
        <w:fldChar w:fldCharType="begin"/>
      </w:r>
      <w:r>
        <w:instrText xml:space="preserve"> PAGEREF _Toc1101508914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_Toc1751280458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3.3.1.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多格式模型解析</w:t>
      </w:r>
      <w:r>
        <w:tab/>
      </w:r>
      <w:r>
        <w:fldChar w:fldCharType="begin"/>
      </w:r>
      <w:r>
        <w:instrText xml:space="preserve"> PAGEREF _Toc1751280458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_Toc359791824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3.3.2.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差异化场景展示</w:t>
      </w:r>
      <w:r>
        <w:tab/>
      </w:r>
      <w:r>
        <w:fldChar w:fldCharType="begin"/>
      </w:r>
      <w:r>
        <w:instrText xml:space="preserve"> PAGEREF _Toc359791824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1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_Toc1854719663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3.3.3.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交互式参数探索</w:t>
      </w:r>
      <w:r>
        <w:tab/>
      </w:r>
      <w:r>
        <w:fldChar w:fldCharType="begin"/>
      </w:r>
      <w:r>
        <w:instrText xml:space="preserve"> PAGEREF _Toc1854719663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1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_Toc1548239836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3.3.4.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结果导出与联动</w:t>
      </w:r>
      <w:r>
        <w:tab/>
      </w:r>
      <w:r>
        <w:fldChar w:fldCharType="begin"/>
      </w:r>
      <w:r>
        <w:instrText xml:space="preserve"> PAGEREF _Toc1548239836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2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_Toc207572953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3.4.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跨平台推理测试模块</w:t>
      </w:r>
      <w:r>
        <w:tab/>
      </w:r>
      <w:r>
        <w:fldChar w:fldCharType="begin"/>
      </w:r>
      <w:r>
        <w:instrText xml:space="preserve"> PAGEREF _Toc207572953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1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_Toc1165178343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3.4.1.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测试用例管理</w:t>
      </w:r>
      <w:r>
        <w:tab/>
      </w:r>
      <w:r>
        <w:fldChar w:fldCharType="begin"/>
      </w:r>
      <w:r>
        <w:instrText xml:space="preserve"> PAGEREF _Toc1165178343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1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_Toc249033808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3.4.2.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多平台推理执行</w:t>
      </w:r>
      <w:r>
        <w:tab/>
      </w:r>
      <w:r>
        <w:fldChar w:fldCharType="begin"/>
      </w:r>
      <w:r>
        <w:instrText xml:space="preserve"> PAGEREF _Toc249033808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1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_Toc65583053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3.4.3.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多维度指标评估</w:t>
      </w:r>
      <w:r>
        <w:tab/>
      </w:r>
      <w:r>
        <w:fldChar w:fldCharType="begin"/>
      </w:r>
      <w:r>
        <w:instrText xml:space="preserve"> PAGEREF _Toc65583053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1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_Toc595260860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3.4.4.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测试报告生成</w:t>
      </w:r>
      <w:r>
        <w:tab/>
      </w:r>
      <w:r>
        <w:fldChar w:fldCharType="begin"/>
      </w:r>
      <w:r>
        <w:instrText xml:space="preserve"> PAGEREF _Toc595260860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2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_Toc1570446294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3.5.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任务监控模块</w:t>
      </w:r>
      <w:r>
        <w:tab/>
      </w:r>
      <w:r>
        <w:fldChar w:fldCharType="begin"/>
      </w:r>
      <w:r>
        <w:instrText xml:space="preserve"> PAGEREF _Toc1570446294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1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_Toc1916841628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3.5.1.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任务可视化展示</w:t>
      </w:r>
      <w:r>
        <w:tab/>
      </w:r>
      <w:r>
        <w:fldChar w:fldCharType="begin"/>
      </w:r>
      <w:r>
        <w:instrText xml:space="preserve"> PAGEREF _Toc1916841628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1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_Toc1955053149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3.5.2.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任务状态追踪</w:t>
      </w:r>
      <w:r>
        <w:tab/>
      </w:r>
      <w:r>
        <w:fldChar w:fldCharType="begin"/>
      </w:r>
      <w:r>
        <w:instrText xml:space="preserve"> PAGEREF _Toc1955053149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1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_Toc2078476143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3.5.3.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异常告警处理</w:t>
      </w:r>
      <w:r>
        <w:tab/>
      </w:r>
      <w:r>
        <w:fldChar w:fldCharType="begin"/>
      </w:r>
      <w:r>
        <w:instrText xml:space="preserve"> PAGEREF _Toc2078476143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pPr>
        <w:pStyle w:val="1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_Toc1979533299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3.5.4.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任务操作管理</w:t>
      </w:r>
      <w:r>
        <w:tab/>
      </w:r>
      <w:r>
        <w:fldChar w:fldCharType="begin"/>
      </w:r>
      <w:r>
        <w:instrText xml:space="preserve"> PAGEREF _Toc1979533299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pPr>
        <w:pStyle w:val="17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_Toc1199496969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4.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性能需求</w:t>
      </w:r>
      <w:r>
        <w:tab/>
      </w:r>
      <w:r>
        <w:fldChar w:fldCharType="begin"/>
      </w:r>
      <w:r>
        <w:instrText xml:space="preserve"> PAGEREF _Toc1199496969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pStyle w:val="2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_Toc1516563594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4.1.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模型处理性能</w:t>
      </w:r>
      <w:r>
        <w:tab/>
      </w:r>
      <w:r>
        <w:fldChar w:fldCharType="begin"/>
      </w:r>
      <w:r>
        <w:instrText xml:space="preserve"> PAGEREF _Toc1516563594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pStyle w:val="2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_Toc400918115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4.2.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系统运行性能</w:t>
      </w:r>
      <w:r>
        <w:tab/>
      </w:r>
      <w:r>
        <w:fldChar w:fldCharType="begin"/>
      </w:r>
      <w:r>
        <w:instrText xml:space="preserve"> PAGEREF _Toc400918115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pStyle w:val="2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_Toc1574558166 </w:instrText>
      </w:r>
      <w:r>
        <w:fldChar w:fldCharType="separate"/>
      </w:r>
      <w:r>
        <w:rPr>
          <w:rFonts w:hint="default"/>
        </w:rPr>
        <w:t xml:space="preserve">4.3.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硬件适配性能</w:t>
      </w:r>
      <w:r>
        <w:tab/>
      </w:r>
      <w:r>
        <w:fldChar w:fldCharType="begin"/>
      </w:r>
      <w:r>
        <w:instrText xml:space="preserve"> PAGEREF _Toc1574558166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>
      <w:pPr>
        <w:pStyle w:val="17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_Toc158113981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5.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运行环境需求</w:t>
      </w:r>
      <w:r>
        <w:tab/>
      </w:r>
      <w:r>
        <w:fldChar w:fldCharType="begin"/>
      </w:r>
      <w:r>
        <w:instrText xml:space="preserve"> PAGEREF _Toc158113981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>
      <w:pPr>
        <w:pStyle w:val="2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_Toc984407328 </w:instrText>
      </w:r>
      <w:r>
        <w:fldChar w:fldCharType="separate"/>
      </w:r>
      <w:r>
        <w:rPr>
          <w:rFonts w:hint="default"/>
        </w:rPr>
        <w:t xml:space="preserve">5.1.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硬件环境</w:t>
      </w:r>
      <w:r>
        <w:tab/>
      </w:r>
      <w:r>
        <w:fldChar w:fldCharType="begin"/>
      </w:r>
      <w:r>
        <w:instrText xml:space="preserve"> PAGEREF _Toc984407328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>
      <w:pPr>
        <w:pStyle w:val="2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_Toc719945208 </w:instrText>
      </w:r>
      <w:r>
        <w:fldChar w:fldCharType="separate"/>
      </w:r>
      <w:r>
        <w:rPr>
          <w:rFonts w:hint="default"/>
        </w:rPr>
        <w:t xml:space="preserve">5.2.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软件环境</w:t>
      </w:r>
      <w:r>
        <w:tab/>
      </w:r>
      <w:r>
        <w:fldChar w:fldCharType="begin"/>
      </w:r>
      <w:r>
        <w:instrText xml:space="preserve"> PAGEREF _Toc719945208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>
      <w:pPr>
        <w:pStyle w:val="17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_Toc1196243658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6.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数据需求</w:t>
      </w:r>
      <w:r>
        <w:tab/>
      </w:r>
      <w:r>
        <w:fldChar w:fldCharType="begin"/>
      </w:r>
      <w:r>
        <w:instrText xml:space="preserve"> PAGEREF _Toc1196243658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>
      <w:pPr>
        <w:pStyle w:val="2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_Toc525256792 </w:instrText>
      </w:r>
      <w:r>
        <w:fldChar w:fldCharType="separate"/>
      </w:r>
      <w:r>
        <w:rPr>
          <w:rFonts w:hint="default"/>
        </w:rPr>
        <w:t xml:space="preserve">6.1.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数据类型与来源</w:t>
      </w:r>
      <w:r>
        <w:tab/>
      </w:r>
      <w:r>
        <w:fldChar w:fldCharType="begin"/>
      </w:r>
      <w:r>
        <w:instrText xml:space="preserve"> PAGEREF _Toc525256792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>
      <w:pPr>
        <w:pStyle w:val="2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_Toc1833113974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6.2.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数据存储要求</w:t>
      </w:r>
      <w:r>
        <w:tab/>
      </w:r>
      <w:r>
        <w:fldChar w:fldCharType="begin"/>
      </w:r>
      <w:r>
        <w:instrText xml:space="preserve"> PAGEREF _Toc1833113974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>
      <w:pPr>
        <w:pStyle w:val="2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_Toc1346161156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6.3.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数据安全需求</w:t>
      </w:r>
      <w:r>
        <w:tab/>
      </w:r>
      <w:r>
        <w:fldChar w:fldCharType="begin"/>
      </w:r>
      <w:r>
        <w:instrText xml:space="preserve"> PAGEREF _Toc1346161156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>
      <w:pPr>
        <w:pStyle w:val="17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_Toc1190327747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7.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接口需求</w:t>
      </w:r>
      <w:r>
        <w:tab/>
      </w:r>
      <w:r>
        <w:fldChar w:fldCharType="begin"/>
      </w:r>
      <w:r>
        <w:instrText xml:space="preserve"> PAGEREF _Toc1190327747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>
      <w:pPr>
        <w:pStyle w:val="2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_Toc2028272024 </w:instrText>
      </w:r>
      <w:r>
        <w:fldChar w:fldCharType="separate"/>
      </w:r>
      <w:r>
        <w:rPr>
          <w:rFonts w:hint="default"/>
        </w:rPr>
        <w:t xml:space="preserve">7.1.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内部接口</w:t>
      </w:r>
      <w:r>
        <w:tab/>
      </w:r>
      <w:r>
        <w:fldChar w:fldCharType="begin"/>
      </w:r>
      <w:r>
        <w:instrText xml:space="preserve"> PAGEREF _Toc2028272024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>
      <w:pPr>
        <w:pStyle w:val="2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_Toc12494890 </w:instrText>
      </w:r>
      <w:r>
        <w:fldChar w:fldCharType="separate"/>
      </w:r>
      <w:r>
        <w:rPr>
          <w:rFonts w:hint="default"/>
        </w:rPr>
        <w:t xml:space="preserve">7.2.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外部接口</w:t>
      </w:r>
      <w:r>
        <w:tab/>
      </w:r>
      <w:r>
        <w:fldChar w:fldCharType="begin"/>
      </w:r>
      <w:r>
        <w:instrText xml:space="preserve"> PAGEREF _Toc12494890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>
      <w:pPr>
        <w:pStyle w:val="17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_Toc1695702471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8.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非功能需求</w:t>
      </w:r>
      <w:r>
        <w:tab/>
      </w:r>
      <w:r>
        <w:fldChar w:fldCharType="begin"/>
      </w:r>
      <w:r>
        <w:instrText xml:space="preserve"> PAGEREF _Toc1695702471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>
      <w:pPr>
        <w:pStyle w:val="2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_Toc415950760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8.1.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可靠性</w:t>
      </w:r>
      <w:r>
        <w:tab/>
      </w:r>
      <w:r>
        <w:fldChar w:fldCharType="begin"/>
      </w:r>
      <w:r>
        <w:instrText xml:space="preserve"> PAGEREF _Toc415950760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>
      <w:pPr>
        <w:pStyle w:val="2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_Toc825152335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8.2.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易用性</w:t>
      </w:r>
      <w:r>
        <w:tab/>
      </w:r>
      <w:r>
        <w:fldChar w:fldCharType="begin"/>
      </w:r>
      <w:r>
        <w:instrText xml:space="preserve"> PAGEREF _Toc825152335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>
      <w:pPr>
        <w:pStyle w:val="2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_Toc2033385666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8.3.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可扩展性</w:t>
      </w:r>
      <w:r>
        <w:tab/>
      </w:r>
      <w:r>
        <w:fldChar w:fldCharType="begin"/>
      </w:r>
      <w:r>
        <w:instrText xml:space="preserve"> PAGEREF _Toc2033385666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>
      <w:pPr>
        <w:pStyle w:val="2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_Toc58130104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8.4.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安全性</w:t>
      </w:r>
      <w:r>
        <w:tab/>
      </w:r>
      <w:r>
        <w:fldChar w:fldCharType="begin"/>
      </w:r>
      <w:r>
        <w:instrText xml:space="preserve"> PAGEREF _Toc58130104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>
      <w:pPr>
        <w:pStyle w:val="2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_Toc2035082190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8.5.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可维护性</w:t>
      </w:r>
      <w:r>
        <w:tab/>
      </w:r>
      <w:r>
        <w:fldChar w:fldCharType="begin"/>
      </w:r>
      <w:r>
        <w:instrText xml:space="preserve"> PAGEREF _Toc2035082190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>
      <w:pPr>
        <w:pStyle w:val="17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_Toc654321561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9.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验收标准</w:t>
      </w:r>
      <w:r>
        <w:tab/>
      </w:r>
      <w:r>
        <w:fldChar w:fldCharType="begin"/>
      </w:r>
      <w:r>
        <w:instrText xml:space="preserve"> PAGEREF _Toc654321561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>
      <w:pPr>
        <w:pStyle w:val="2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_Toc2066203087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9.1.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功能验收</w:t>
      </w:r>
      <w:r>
        <w:tab/>
      </w:r>
      <w:r>
        <w:fldChar w:fldCharType="begin"/>
      </w:r>
      <w:r>
        <w:instrText xml:space="preserve"> PAGEREF _Toc2066203087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>
      <w:pPr>
        <w:pStyle w:val="2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_Toc1864711219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9.2.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性能验收</w:t>
      </w:r>
      <w:r>
        <w:tab/>
      </w:r>
      <w:r>
        <w:fldChar w:fldCharType="begin"/>
      </w:r>
      <w:r>
        <w:instrText xml:space="preserve"> PAGEREF _Toc1864711219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>
      <w:pPr>
        <w:pStyle w:val="2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_Toc1972597062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9.3.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文档验收</w:t>
      </w:r>
      <w:r>
        <w:tab/>
      </w:r>
      <w:r>
        <w:fldChar w:fldCharType="begin"/>
      </w:r>
      <w:r>
        <w:instrText xml:space="preserve"> PAGEREF _Toc1972597062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>
      <w:pPr>
        <w:pStyle w:val="17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_Toc586278648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10.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项目约束</w:t>
      </w:r>
      <w:r>
        <w:tab/>
      </w:r>
      <w:r>
        <w:fldChar w:fldCharType="begin"/>
      </w:r>
      <w:r>
        <w:instrText xml:space="preserve"> PAGEREF _Toc586278648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>
      <w:pPr>
        <w:pStyle w:val="2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_Toc930264500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10.1.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时间约束</w:t>
      </w:r>
      <w:r>
        <w:tab/>
      </w:r>
      <w:r>
        <w:fldChar w:fldCharType="begin"/>
      </w:r>
      <w:r>
        <w:instrText xml:space="preserve"> PAGEREF _Toc930264500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>
      <w:pPr>
        <w:pStyle w:val="2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_Toc1274501340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10.2.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资源约束</w:t>
      </w:r>
      <w:r>
        <w:tab/>
      </w:r>
      <w:r>
        <w:fldChar w:fldCharType="begin"/>
      </w:r>
      <w:r>
        <w:instrText xml:space="preserve"> PAGEREF _Toc1274501340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>
      <w:pPr>
        <w:pStyle w:val="20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_Toc1542126202 </w:instrText>
      </w:r>
      <w:r>
        <w:fldChar w:fldCharType="separate"/>
      </w:r>
      <w:r>
        <w:rPr>
          <w:rFonts w:hint="default" w:ascii="楷体_GB2312" w:hAnsi="楷体_GB2312" w:eastAsia="楷体_GB2312" w:cs="楷体_GB2312"/>
          <w:szCs w:val="32"/>
          <w:lang w:val="en-US" w:eastAsia="zh-CN"/>
        </w:rPr>
        <w:t xml:space="preserve">10.3. </w:t>
      </w:r>
      <w:r>
        <w:rPr>
          <w:rFonts w:hint="eastAsia" w:ascii="楷体_GB2312" w:hAnsi="楷体_GB2312" w:eastAsia="楷体_GB2312" w:cs="楷体_GB2312"/>
          <w:szCs w:val="32"/>
          <w:lang w:val="en-US" w:eastAsia="zh-CN"/>
        </w:rPr>
        <w:t>技术约束</w:t>
      </w:r>
      <w:r>
        <w:tab/>
      </w:r>
      <w:r>
        <w:fldChar w:fldCharType="begin"/>
      </w:r>
      <w:r>
        <w:instrText xml:space="preserve"> PAGEREF _Toc1542126202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>
      <w:pPr>
        <w:pStyle w:val="17"/>
        <w:keepNext w:val="0"/>
        <w:keepLines w:val="0"/>
        <w:pageBreakBefore w:val="0"/>
        <w:tabs>
          <w:tab w:val="right" w:leader="dot" w:pos="8846"/>
        </w:tabs>
        <w:kinsoku/>
        <w:wordWrap/>
        <w:topLinePunct w:val="0"/>
        <w:bidi w:val="0"/>
        <w:snapToGrid w:val="0"/>
        <w:spacing w:after="0" w:line="480" w:lineRule="exact"/>
      </w:pPr>
      <w:r>
        <w:fldChar w:fldCharType="begin"/>
      </w:r>
      <w:r>
        <w:instrText xml:space="preserve"> HYPERLINK \l _Toc534941371 </w:instrText>
      </w:r>
      <w:r>
        <w:fldChar w:fldCharType="separate"/>
      </w:r>
      <w:r>
        <w:fldChar w:fldCharType="end"/>
      </w:r>
    </w:p>
    <w:p>
      <w:pPr>
        <w:keepNext w:val="0"/>
        <w:keepLines w:val="0"/>
        <w:pageBreakBefore w:val="0"/>
        <w:kinsoku/>
        <w:wordWrap/>
        <w:topLinePunct w:val="0"/>
        <w:bidi w:val="0"/>
        <w:snapToGrid w:val="0"/>
        <w:spacing w:line="480" w:lineRule="exact"/>
        <w:rPr>
          <w:b/>
          <w:szCs w:val="32"/>
        </w:rPr>
      </w:pPr>
      <w:r>
        <w:fldChar w:fldCharType="end"/>
      </w:r>
    </w:p>
    <w:p>
      <w:pPr>
        <w:widowControl/>
        <w:ind w:firstLine="712"/>
        <w:jc w:val="center"/>
        <w:rPr>
          <w:rFonts w:ascii="楷体_GB2312" w:eastAsia="楷体_GB2312"/>
          <w:sz w:val="36"/>
          <w:szCs w:val="36"/>
        </w:rPr>
      </w:pPr>
    </w:p>
    <w:p>
      <w:pPr>
        <w:widowControl/>
        <w:rPr>
          <w:sz w:val="32"/>
          <w:szCs w:val="32"/>
        </w:rPr>
        <w:sectPr>
          <w:pgSz w:w="11907" w:h="16840"/>
          <w:pgMar w:top="2098" w:right="1474" w:bottom="1814" w:left="1587" w:header="851" w:footer="1607" w:gutter="0"/>
          <w:cols w:space="720" w:num="1"/>
          <w:docGrid w:type="linesAndChars" w:linePitch="586" w:charSpace="-842"/>
        </w:sectPr>
      </w:pPr>
    </w:p>
    <w:p>
      <w:pPr>
        <w:numPr>
          <w:ilvl w:val="0"/>
          <w:numId w:val="1"/>
        </w:numPr>
        <w:tabs>
          <w:tab w:val="left" w:pos="0"/>
        </w:tabs>
        <w:ind w:left="425" w:leftChars="0" w:hanging="425" w:firstLineChars="0"/>
        <w:outlineLvl w:val="0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0" w:name="_Toc1912906650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文档引言</w:t>
      </w:r>
      <w:bookmarkEnd w:id="0"/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1" w:name="_Toc244387313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文档目的</w:t>
      </w:r>
      <w:bookmarkEnd w:id="1"/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本需求规格说明书旨在明确“跨平台智能算法模型转化工具”的核心需求，包括功能目标、性能指标、运行环境、验收标准等内容，为项目开发、测试、交付提供统一依据，确保工具满足中国船舶集团有限公司第七一六研究所（以下简称“甲方”）试验场内场调试机场景下的智能模型跨平台部署与管理需求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2" w:name="_Toc1428836527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文档范围</w:t>
      </w:r>
      <w:bookmarkEnd w:id="2"/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本说明书覆盖工具从“模型接入-格式转化-可视化分析-推理验证-任务监控”的全流程需求，包括功能需求、性能需求、运行环境需求、数据需求、接口需求、非功能需求及验收标准，不涉及第三方硬件设备的底层驱动开发（需甲方提供硬件基础环境支持）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3" w:name="_Toc1293368535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术语与定义</w:t>
      </w:r>
      <w:bookmarkEnd w:id="3"/>
    </w:p>
    <w:p>
      <w:pPr>
        <w:pStyle w:val="2"/>
        <w:ind w:firstLine="552"/>
        <w:rPr>
          <w:rFonts w:hint="eastAsia"/>
        </w:rPr>
      </w:pPr>
    </w:p>
    <w:tbl>
      <w:tblPr>
        <w:tblStyle w:val="25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79"/>
        <w:gridCol w:w="6267"/>
      </w:tblGrid>
      <w:tr>
        <w:tc>
          <w:tcPr>
            <w:tcW w:w="2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rFonts w:hint="eastAsia" w:ascii="楷体" w:hAnsi="楷体" w:eastAsia="楷体" w:cs="楷体"/>
                <w:b/>
              </w:rPr>
              <w:t>术语/缩写</w:t>
            </w:r>
          </w:p>
        </w:tc>
        <w:tc>
          <w:tcPr>
            <w:tcW w:w="6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rFonts w:hint="eastAsia" w:ascii="楷体" w:hAnsi="楷体" w:eastAsia="楷体" w:cs="楷体"/>
                <w:b/>
              </w:rPr>
              <w:t>定义说明</w:t>
            </w:r>
          </w:p>
        </w:tc>
      </w:tr>
      <w:tr>
        <w:tc>
          <w:tcPr>
            <w:tcW w:w="2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  <w:jc w:val="center"/>
            </w:pPr>
            <w:r>
              <w:t>ONNX</w:t>
            </w:r>
          </w:p>
        </w:tc>
        <w:tc>
          <w:tcPr>
            <w:tcW w:w="6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</w:pPr>
            <w:r>
              <w:t>开放神经网络交换格式，作为模型跨平台转换的中间格式</w:t>
            </w:r>
          </w:p>
        </w:tc>
      </w:tr>
      <w:tr>
        <w:tc>
          <w:tcPr>
            <w:tcW w:w="2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  <w:jc w:val="center"/>
            </w:pPr>
            <w:r>
              <w:t>OM</w:t>
            </w:r>
          </w:p>
        </w:tc>
        <w:tc>
          <w:tcPr>
            <w:tcW w:w="6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</w:pPr>
            <w:r>
              <w:t>华为昇腾平台专用模型格式，基于CANN架构编译生成</w:t>
            </w:r>
          </w:p>
        </w:tc>
      </w:tr>
      <w:tr>
        <w:tc>
          <w:tcPr>
            <w:tcW w:w="2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  <w:jc w:val="center"/>
            </w:pPr>
            <w:r>
              <w:t>RKNN</w:t>
            </w:r>
          </w:p>
        </w:tc>
        <w:tc>
          <w:tcPr>
            <w:tcW w:w="6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</w:pPr>
            <w:r>
              <w:t>瑞芯微平台专用模型格式，支持NPU硬件加速</w:t>
            </w:r>
          </w:p>
        </w:tc>
      </w:tr>
      <w:tr>
        <w:tc>
          <w:tcPr>
            <w:tcW w:w="2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  <w:jc w:val="center"/>
            </w:pPr>
            <w:r>
              <w:t>TensorRT Engine</w:t>
            </w:r>
          </w:p>
        </w:tc>
        <w:tc>
          <w:tcPr>
            <w:tcW w:w="6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</w:pPr>
            <w:r>
              <w:t>英伟达平台专用模型格式，优化CUDA内核调用</w:t>
            </w:r>
          </w:p>
        </w:tc>
      </w:tr>
      <w:tr>
        <w:tc>
          <w:tcPr>
            <w:tcW w:w="2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  <w:jc w:val="center"/>
            </w:pPr>
            <w:r>
              <w:t>CNModel</w:t>
            </w:r>
          </w:p>
        </w:tc>
        <w:tc>
          <w:tcPr>
            <w:tcW w:w="6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</w:pPr>
            <w:r>
              <w:t>寒武纪平台专用模型格式，匹配Neuware架构</w:t>
            </w:r>
          </w:p>
        </w:tc>
      </w:tr>
      <w:tr>
        <w:tc>
          <w:tcPr>
            <w:tcW w:w="2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  <w:jc w:val="center"/>
            </w:pPr>
            <w:r>
              <w:t>FP32/FP16/INT8</w:t>
            </w:r>
          </w:p>
        </w:tc>
        <w:tc>
          <w:tcPr>
            <w:tcW w:w="6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</w:pPr>
            <w:r>
              <w:t>模型精度模式，分别对应高精度、平衡精度与性能、高性能低功耗</w:t>
            </w:r>
          </w:p>
        </w:tc>
      </w:tr>
      <w:tr>
        <w:tc>
          <w:tcPr>
            <w:tcW w:w="2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  <w:jc w:val="center"/>
            </w:pPr>
            <w:r>
              <w:t>mAP</w:t>
            </w:r>
          </w:p>
        </w:tc>
        <w:tc>
          <w:tcPr>
            <w:tcW w:w="6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</w:pPr>
            <w:r>
              <w:t>目标检测模型精度评价指标，均值平均精度</w:t>
            </w:r>
          </w:p>
        </w:tc>
      </w:tr>
      <w:tr>
        <w:tc>
          <w:tcPr>
            <w:tcW w:w="2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  <w:jc w:val="center"/>
            </w:pPr>
            <w:r>
              <w:t>Top-1 Accuracy</w:t>
            </w:r>
          </w:p>
        </w:tc>
        <w:tc>
          <w:tcPr>
            <w:tcW w:w="6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</w:pPr>
            <w:r>
              <w:t>目标分类模型精度评价指标，top-1预测正确的比例</w:t>
            </w:r>
          </w:p>
        </w:tc>
      </w:tr>
      <w:tr>
        <w:tc>
          <w:tcPr>
            <w:tcW w:w="2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  <w:jc w:val="center"/>
            </w:pPr>
            <w:r>
              <w:t>GLUE Score</w:t>
            </w:r>
          </w:p>
        </w:tc>
        <w:tc>
          <w:tcPr>
            <w:tcW w:w="6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</w:pPr>
            <w:r>
              <w:t>自然语言模型精度评价指标，含多子任务得分</w:t>
            </w:r>
          </w:p>
        </w:tc>
      </w:tr>
    </w:tbl>
    <w:p>
      <w:pPr>
        <w:pStyle w:val="2"/>
        <w:ind w:firstLine="552"/>
        <w:rPr>
          <w:rFonts w:hint="eastAsia"/>
        </w:rPr>
      </w:pPr>
    </w:p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4" w:name="_Toc815492811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参考文档</w:t>
      </w:r>
      <w:bookmarkEnd w:id="4"/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《跨平台智能算法模型转化工具采购项目报价书》（西南交通大学，2025年9月）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《跨平台智能算法模型转化工具技术方案》（西南交通大学，2025年10月）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华为昇腾CANN 7.0 SDK开发文档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4. 瑞芯微RKNN Toolkit 2.5用户手册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5. 英伟达TensorRT 8.6技术手册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6. 寒武纪MagicMind 1.8开发指南</w:t>
      </w:r>
    </w:p>
    <w:p>
      <w:pPr>
        <w:pStyle w:val="2"/>
        <w:ind w:firstLine="552"/>
        <w:rPr>
          <w:rFonts w:hint="eastAsia"/>
        </w:rPr>
      </w:pPr>
    </w:p>
    <w:p>
      <w:pPr>
        <w:pStyle w:val="2"/>
        <w:ind w:firstLine="552"/>
        <w:rPr>
          <w:rFonts w:hint="eastAsia"/>
        </w:rPr>
      </w:pPr>
    </w:p>
    <w:p>
      <w:pPr>
        <w:numPr>
          <w:ilvl w:val="0"/>
          <w:numId w:val="1"/>
        </w:numPr>
        <w:tabs>
          <w:tab w:val="left" w:pos="0"/>
        </w:tabs>
        <w:ind w:left="425" w:leftChars="0" w:hanging="425" w:firstLineChars="0"/>
        <w:outlineLvl w:val="0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5" w:name="_Toc747039323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项目概述</w:t>
      </w:r>
      <w:bookmarkEnd w:id="5"/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6" w:name="_Toc1300501299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项目背景</w:t>
      </w:r>
      <w:bookmarkEnd w:id="6"/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甲方试验场内场调试机需支持多类型智能模型（如目标检测、自然语言大模型）的部署测试，但不同硬件平台（华为、瑞芯微、英伟达、寒武纪）存在模型格式不兼容问题，且模型“黑箱”属性导致调试效率低。本工具需以软件形式内嵌于调试机，解决跨平台格式转化与模型可视化问题，支撑智能模型全流程管理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7" w:name="_Toc436773127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项目目标</w:t>
      </w:r>
      <w:bookmarkEnd w:id="7"/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兼容性目标：支持不少于20类主流智能体模型（目标检测、分类、跟踪、自然语言大模型）的跨平台格式转化，覆盖华为、瑞芯微、英伟达、寒武纪4类硬件平台。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功能目标：实现模型全生命周期管理（上传、版本控制、检索）、跨平台格式转化、模型可视化、推理测试与任务监控，形成“一站式”工具链。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性能目标：确保转换后模型功能正常（推理成功率≥99.5%）、性能达标（推理延迟符合平台阈值）、精度稳定（精度损失默认≤5%）。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4. 易用性目标：基于B/S架构，支持主流浏览器访问，提供可视化交互界面，降低操作门槛。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/>
        </w:rPr>
      </w:pPr>
      <w:bookmarkStart w:id="8" w:name="_Toc746840043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项目范围</w:t>
      </w:r>
      <w:bookmarkEnd w:id="8"/>
    </w:p>
    <w:p>
      <w:pPr>
        <w:rPr>
          <w:rFonts w:hint="eastAsia"/>
        </w:rPr>
      </w:pPr>
      <w:r>
        <w:rPr>
          <w:rFonts w:hint="eastAsia"/>
        </w:rPr>
        <w:t xml:space="preserve"> |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4"/>
        <w:gridCol w:w="3977"/>
        <w:gridCol w:w="3021"/>
      </w:tblGrid>
      <w:tr>
        <w:tc>
          <w:tcPr>
            <w:tcW w:w="2064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范围类别</w:t>
            </w:r>
          </w:p>
        </w:tc>
        <w:tc>
          <w:tcPr>
            <w:tcW w:w="3977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-1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包含内容 </w:t>
            </w:r>
          </w:p>
        </w:tc>
        <w:tc>
          <w:tcPr>
            <w:tcW w:w="302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排除内容</w:t>
            </w:r>
          </w:p>
        </w:tc>
      </w:tr>
      <w:tr>
        <w:tc>
          <w:tcPr>
            <w:tcW w:w="2064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功能范围</w:t>
            </w:r>
          </w:p>
        </w:tc>
        <w:tc>
          <w:tcPr>
            <w:tcW w:w="3977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-1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模型管理、跨平台格式转化、模型可视化、跨平台推理测试、任务监控</w:t>
            </w:r>
          </w:p>
        </w:tc>
        <w:tc>
          <w:tcPr>
            <w:tcW w:w="302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第三方硬件设备采购与底层驱动开发、试验场网络架构搭建</w:t>
            </w:r>
          </w:p>
        </w:tc>
      </w:tr>
      <w:tr>
        <w:tc>
          <w:tcPr>
            <w:tcW w:w="2064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模型范围</w:t>
            </w:r>
          </w:p>
        </w:tc>
        <w:tc>
          <w:tcPr>
            <w:tcW w:w="3977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-1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20类主流模型（如YOLO、Faster R-CNN、ResNet50、BERT-base等） </w:t>
            </w:r>
          </w:p>
        </w:tc>
        <w:tc>
          <w:tcPr>
            <w:tcW w:w="302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自定义非标模型（需额外适配） </w:t>
            </w:r>
          </w:p>
        </w:tc>
      </w:tr>
      <w:tr>
        <w:tc>
          <w:tcPr>
            <w:tcW w:w="2064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平台范围</w:t>
            </w:r>
          </w:p>
        </w:tc>
        <w:tc>
          <w:tcPr>
            <w:tcW w:w="3977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华为昇腾（Atlas 800/200I）、瑞芯微（RK3588/RK3599）、英伟达（RTX 4090/Jetson AGX Orin）、寒武纪（思元370/590）</w:t>
            </w:r>
          </w:p>
        </w:tc>
        <w:tc>
          <w:tcPr>
            <w:tcW w:w="302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其他未明确的硬件平台（如高通、地平线）</w:t>
            </w:r>
          </w:p>
        </w:tc>
      </w:tr>
      <w:tr>
        <w:tc>
          <w:tcPr>
            <w:tcW w:w="2064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环境范围</w:t>
            </w:r>
          </w:p>
        </w:tc>
        <w:tc>
          <w:tcPr>
            <w:tcW w:w="3977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试验场内网环境、指定操作系统（Linux Ubuntu 20.04+、麒麟v10、Windows Server 2019+）</w:t>
            </w:r>
          </w:p>
        </w:tc>
        <w:tc>
          <w:tcPr>
            <w:tcW w:w="302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公网环境部署、非指定操作系统适配</w:t>
            </w:r>
          </w:p>
        </w:tc>
      </w:tr>
      <w:tr>
        <w:tc>
          <w:tcPr>
            <w:tcW w:w="2064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jc w:val="center"/>
              <w:textAlignment w:val="baseline"/>
              <w:rPr>
                <w:rFonts w:hint="default" w:eastAsia="仿宋_GB2312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源码和运行时范围</w:t>
            </w:r>
          </w:p>
        </w:tc>
        <w:tc>
          <w:tcPr>
            <w:tcW w:w="3977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default" w:eastAsia="仿宋_GB2312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所有前后端源码，AI相关源码支持硬件的相关平台，运行时支持至少一种平台环境</w:t>
            </w:r>
          </w:p>
        </w:tc>
        <w:tc>
          <w:tcPr>
            <w:tcW w:w="302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default" w:eastAsia="仿宋_GB2312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运行时环境不需要支持硬件的所有平台</w:t>
            </w:r>
          </w:p>
        </w:tc>
      </w:tr>
    </w:tbl>
    <w:p>
      <w:pPr>
        <w:pStyle w:val="2"/>
        <w:ind w:firstLine="552"/>
        <w:rPr>
          <w:rFonts w:hint="eastAsia"/>
        </w:rPr>
      </w:pPr>
    </w:p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9" w:name="_Toc98685986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核心价值</w:t>
      </w:r>
      <w:bookmarkEnd w:id="9"/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降本增效：打破硬件壁垒，实现“一次开发，多端部署”，减少重复开发成本；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可视化透明：将模型“黑箱”转化为直观拓扑图，辅助调试与优化；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可靠性保障：通过自动化校验与多维度测试，确保模型转换质量；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4. 可扩展性强：插件化设计支持后续扩展模型类型与硬件平台。</w:t>
      </w:r>
    </w:p>
    <w:p>
      <w:pPr>
        <w:pStyle w:val="2"/>
        <w:ind w:firstLine="552"/>
        <w:rPr>
          <w:rFonts w:hint="eastAsia"/>
        </w:rPr>
      </w:pPr>
    </w:p>
    <w:p>
      <w:pPr>
        <w:pStyle w:val="2"/>
        <w:ind w:firstLine="552"/>
        <w:rPr>
          <w:rFonts w:hint="eastAsia"/>
        </w:rPr>
      </w:pPr>
    </w:p>
    <w:p>
      <w:pPr>
        <w:numPr>
          <w:ilvl w:val="0"/>
          <w:numId w:val="1"/>
        </w:numPr>
        <w:tabs>
          <w:tab w:val="left" w:pos="0"/>
        </w:tabs>
        <w:ind w:left="425" w:leftChars="0" w:hanging="425" w:firstLineChars="0"/>
        <w:outlineLvl w:val="0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10" w:name="_Toc757991218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功能需求</w:t>
      </w:r>
      <w:bookmarkEnd w:id="10"/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11" w:name="_Toc685406922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模型管理模块</w:t>
      </w:r>
      <w:bookmarkEnd w:id="11"/>
    </w:p>
    <w:p>
      <w:pPr>
        <w:numPr>
          <w:ilvl w:val="2"/>
          <w:numId w:val="1"/>
        </w:numPr>
        <w:tabs>
          <w:tab w:val="left" w:pos="0"/>
        </w:tabs>
        <w:ind w:left="1508" w:leftChars="0" w:hanging="708" w:firstLineChars="0"/>
        <w:outlineLvl w:val="2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12" w:name="_Toc531855546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模型接入</w:t>
      </w:r>
      <w:bookmarkEnd w:id="12"/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多渠道上传：支持本地拖拽/点击上传、试验场内网文件服务器导入（路径映射读取）；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格式兼容：适配PyTorch（.pth/.pt）、TensorFlow（.pb/.saved_model/.h5）、ONNX（.onnx）、TensorFlow Lite（.tflite）等原生格式；</w:t>
      </w:r>
    </w:p>
    <w:p>
      <w:pPr>
        <w:pStyle w:val="2"/>
        <w:ind w:firstLine="552"/>
        <w:rPr>
          <w:rFonts w:hint="eastAsia" w:eastAsia="仿宋_GB2312"/>
          <w:lang w:eastAsia="zh-CN"/>
        </w:rPr>
      </w:pPr>
      <w:r>
        <w:rPr>
          <w:rFonts w:hint="eastAsia"/>
        </w:rPr>
        <w:t>3. 上传限制：单次支持最多10个文件批量上传，单个文件最大2GB；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4. 格式校验：自动检测文件格式</w:t>
      </w:r>
      <w:r>
        <w:rPr>
          <w:rFonts w:hint="eastAsia"/>
          <w:lang w:val="en-US" w:eastAsia="zh-CN"/>
        </w:rPr>
        <w:t>并进行格式约束</w:t>
      </w:r>
      <w:r>
        <w:rPr>
          <w:rFonts w:hint="eastAsia"/>
        </w:rPr>
        <w:t>（如“仅支持.pth/.pb/.onnx等格式”）。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2"/>
          <w:numId w:val="1"/>
        </w:numPr>
        <w:tabs>
          <w:tab w:val="left" w:pos="0"/>
        </w:tabs>
        <w:ind w:left="1508" w:leftChars="0" w:hanging="708" w:firstLineChars="0"/>
        <w:outlineLvl w:val="2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13" w:name="_Toc1069222808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模型信息维护</w:t>
      </w:r>
      <w:bookmarkEnd w:id="13"/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  <w:lang w:val="en-US" w:eastAsia="zh-CN"/>
        </w:rPr>
        <w:t>自动</w:t>
      </w:r>
      <w:r>
        <w:rPr>
          <w:rFonts w:hint="eastAsia"/>
        </w:rPr>
        <w:t>解析：上传后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配置模型路径到解析任务，</w:t>
      </w:r>
      <w:r>
        <w:rPr>
          <w:rFonts w:hint="eastAsia"/>
        </w:rPr>
        <w:t>自动提取模型基础信息（名称、大小、源框架、输入输出维度、算子数量）；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手动补充：支持用户补充业务属性（模型类型、训练数据集、精度指标、适用场景、备注）；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编辑</w:t>
      </w:r>
      <w:r>
        <w:rPr>
          <w:rFonts w:hint="eastAsia"/>
          <w:lang w:val="en-US" w:eastAsia="zh-CN"/>
        </w:rPr>
        <w:t>功能</w:t>
      </w:r>
      <w:r>
        <w:rPr>
          <w:rFonts w:hint="eastAsia"/>
        </w:rPr>
        <w:t>：支持修改属性（如“适用场景”）；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4. 修改追溯：生成修改日志（记录</w:t>
      </w:r>
      <w:r>
        <w:rPr>
          <w:rFonts w:hint="eastAsia"/>
          <w:lang w:val="en-US" w:eastAsia="zh-CN"/>
        </w:rPr>
        <w:t>修改</w:t>
      </w:r>
      <w:r>
        <w:rPr>
          <w:rFonts w:hint="eastAsia"/>
        </w:rPr>
        <w:t>时间</w:t>
      </w:r>
      <w:r>
        <w:rPr>
          <w:rFonts w:hint="eastAsia"/>
          <w:lang w:val="en-US" w:eastAsia="zh-CN"/>
        </w:rPr>
        <w:t>和内容等</w:t>
      </w:r>
      <w:r>
        <w:rPr>
          <w:rFonts w:hint="eastAsia"/>
        </w:rPr>
        <w:t>），便于审计。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2"/>
          <w:numId w:val="1"/>
        </w:numPr>
        <w:tabs>
          <w:tab w:val="left" w:pos="0"/>
        </w:tabs>
        <w:ind w:left="1508" w:leftChars="0" w:hanging="708" w:firstLineChars="0"/>
        <w:outlineLvl w:val="2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14" w:name="_Toc284575960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模型版本控制</w:t>
      </w:r>
      <w:bookmarkEnd w:id="14"/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版本识别：通过“模型名称+MD5值”判定重复模型，自动生成连续版本号（如V1.0→V2.0）；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版本关联：新模型版本关联历史版本（显示“基于V1.0更新”），保留各版本元数据与文件；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 版本清理：默认保留最近10个版本，历史版本可手动归档至MinIO冷存储。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2"/>
          <w:numId w:val="1"/>
        </w:numPr>
        <w:tabs>
          <w:tab w:val="left" w:pos="0"/>
        </w:tabs>
        <w:ind w:left="1508" w:leftChars="0" w:hanging="708" w:firstLineChars="0"/>
        <w:outlineLvl w:val="2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15" w:name="_Toc422077851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模型存储与检索</w:t>
      </w:r>
      <w:bookmarkEnd w:id="15"/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结构化存储：模型文件存储于MinIO“raw-model”桶（路径：用户ID/上传日期/模型名称-版本），元数据存储于MySQL“model_meta”表；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重复复用：重复上传模型（MD5已存在）时，复用已有文件仅更新元数据，节省存储；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多维度检索：支持精准检索（模型名称/ID）、模糊检索（关键词如“yolo”）、高级筛选（模型类型+源框架+上传时间，如“目标检测+PyTorch+2024年5月后”）；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4. 快捷收藏：支持“收藏”常用模型，置顶展示于“我的收藏”列表，缩短查找时间（平均≤5秒）。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16" w:name="_Toc723955716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S跨平台格式转化模块</w:t>
      </w:r>
      <w:bookmarkEnd w:id="16"/>
    </w:p>
    <w:p>
      <w:pPr>
        <w:numPr>
          <w:ilvl w:val="2"/>
          <w:numId w:val="1"/>
        </w:numPr>
        <w:tabs>
          <w:tab w:val="left" w:pos="0"/>
        </w:tabs>
        <w:ind w:left="1508" w:leftChars="0" w:hanging="708" w:firstLineChars="0"/>
        <w:outlineLvl w:val="2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17" w:name="_Toc2028858557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多源模型兼容</w:t>
      </w:r>
      <w:bookmarkEnd w:id="17"/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模型覆盖：支持20类主流模型，具体包括：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目标检测：YOLO（.pt）、Faster R-CNN（.pth/.pb）、SSD（.h5）；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目标分类：ResNet50/101</w:t>
      </w:r>
      <w:bookmarkStart w:id="65" w:name="_GoBack"/>
      <w:bookmarkEnd w:id="65"/>
      <w:r>
        <w:rPr>
          <w:rFonts w:hint="eastAsia"/>
        </w:rPr>
        <w:t>（.pth）、EfficientNet-B0/B4（.h5）、MobileNetV3（.tflite）；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目标跟踪：SORT（.pt）、DeepSORT（.pb）、ByteTrack（.onnx）；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自然语言大模型：BERT-base（.bin）、RoBERTa（.pt）、GPT-2（.tf）、T5-small（.h5）；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自动识别：通过“文件后缀+模型结构特征”双重判定模型类型，自动关联对应转换模板，无需手动选择。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2"/>
          <w:numId w:val="1"/>
        </w:numPr>
        <w:tabs>
          <w:tab w:val="left" w:pos="0"/>
        </w:tabs>
        <w:ind w:left="1508" w:leftChars="0" w:hanging="708" w:firstLineChars="0"/>
        <w:outlineLvl w:val="2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18" w:name="_Toc1280420433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多平台格式输出</w:t>
      </w:r>
      <w:bookmarkEnd w:id="18"/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平台适配：针对4类平台输出原生格式，确保直接部署：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华为昇腾：OM格式（适配Atlas 800/200I，基于CANN架构）；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瑞芯微：RKNN格式（适配RK3588/RK3599，支持NPU加速）；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英伟达：TensorRT Engine格式（适配RTX 4090/Jetson AGX Orin，优化CUDA）；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寒武纪：CNModel格式（适配思元370/590，匹配Neuware架构）；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批量转换：支持同一模型同时转换至多平台格式（批量创建任务，可串行执行，没有并行必要）。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2"/>
          <w:numId w:val="1"/>
        </w:numPr>
        <w:tabs>
          <w:tab w:val="left" w:pos="0"/>
        </w:tabs>
        <w:ind w:left="1508" w:leftChars="0" w:hanging="708" w:firstLineChars="0"/>
        <w:outlineLvl w:val="2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19" w:name="_Toc92590844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转换参数配置</w:t>
      </w:r>
      <w:bookmarkEnd w:id="19"/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精度模式：支持FP32（高精度）、FP16（平衡）、INT8（高性能）；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输入形状：支持固定形状（如640×640）、动态形状（范围如320×320~1280×1280，步长16），适配NLP模型可变序列长度；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优化策略：提供“性能优先”（算子融合、常量折叠）、“精度优先”（禁用激进量化、保留关键层FP32）、“兼容优先”（替换稀有算子）三种策略；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2"/>
          <w:numId w:val="1"/>
        </w:numPr>
        <w:tabs>
          <w:tab w:val="left" w:pos="0"/>
        </w:tabs>
        <w:ind w:left="1508" w:leftChars="0" w:hanging="708" w:firstLineChars="0"/>
        <w:outlineLvl w:val="2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20" w:name="_Toc1396154680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转换任务管控</w:t>
      </w:r>
      <w:bookmarkEnd w:id="20"/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任务标识：提交任务时生成唯一UUID（任务ID），关联模型ID、目标平台、参数配置；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状态监控：实时展示任务状态（等待中/处理中/成功/失败）、当前阶段（如“ONNX格式转换中”）；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任务操作：处理中任务支持暂停（保留进度）、取消（释放资源）；失败任务显示原因摘要（如“算子不兼容”）及修复建议，支持一键重试；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4. 自动校验：转换完成后触发三重校验：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格式完整性：调用平台工具验证（如华为atc--check_model）；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结构一致性：对比转换前后输入输出维度、算子数量（允许±5%偏差）；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基础功能：在目标平台执行10轮推理，检查输出合法性（如检测框坐标在0-1范围）。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2"/>
          <w:numId w:val="1"/>
        </w:numPr>
        <w:tabs>
          <w:tab w:val="left" w:pos="0"/>
        </w:tabs>
        <w:ind w:left="1508" w:leftChars="0" w:hanging="708" w:firstLineChars="0"/>
        <w:outlineLvl w:val="2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21" w:name="_Toc1765379638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转换日志追溯</w:t>
      </w:r>
      <w:bookmarkEnd w:id="21"/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日志内容：记录任务基础信息（ID、提交人、时间）、参数配置、转换步骤（操作、耗时、工具版本）、校验结果；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日志操作：支持按任务ID查询、关键词搜索（如“算子不兼容”）；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保留时间：默认保留30天，可手动延长至90天，与模型版本周期一致。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22" w:name="_Toc1101508914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模型可视化模块</w:t>
      </w:r>
      <w:bookmarkEnd w:id="22"/>
    </w:p>
    <w:p>
      <w:pPr>
        <w:numPr>
          <w:ilvl w:val="2"/>
          <w:numId w:val="1"/>
        </w:numPr>
        <w:tabs>
          <w:tab w:val="left" w:pos="0"/>
        </w:tabs>
        <w:ind w:left="1508" w:leftChars="0" w:hanging="708" w:firstLineChars="0"/>
        <w:outlineLvl w:val="2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23" w:name="_Toc1751280458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多格式模型解析</w:t>
      </w:r>
      <w:bookmarkEnd w:id="23"/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解析范围：支持20类模型原生格式的结构解析，解析成功率≥99.5%；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解析内容：提取层信息（名称、类型、输入输出维度、计算量）、节点关系（数据流向、依赖关系）、参数细节（卷积核大小、激活函数、权重范围）；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NLP模型额外解析：Transformer层注意力头数量、隐藏层维度、序列长度；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目标检测模型额外解析：Anchor尺寸、检测层数量、类别数。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2"/>
          <w:numId w:val="1"/>
        </w:numPr>
        <w:tabs>
          <w:tab w:val="left" w:pos="0"/>
        </w:tabs>
        <w:ind w:left="1508" w:leftChars="0" w:hanging="708" w:firstLineChars="0"/>
        <w:outlineLvl w:val="2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24" w:name="_Toc359791824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差异化场景展示</w:t>
      </w:r>
      <w:bookmarkEnd w:id="24"/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计算机视觉模型：采用“分层折叠式”布局，按backbone（蓝色）、neck（绿色）、head（橙色）分组，标注各层输出特征图尺寸，支持模块独立折叠/展开；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自然语言大模型：采用“横向链式”布局，按Transformer层顺序排列，用环形图展示多头注意力模块（不同颜色标识注意力头），悬浮窗显示注意力权重热力图；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目标跟踪模型：新增“流程可视化”，展示“检测器输出bbox→卡尔曼滤波→匈牙利匹配→轨迹更新”流程，支持模拟视频帧动态演示轨迹生成。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2"/>
          <w:numId w:val="1"/>
        </w:numPr>
        <w:tabs>
          <w:tab w:val="left" w:pos="0"/>
        </w:tabs>
        <w:ind w:left="1508" w:leftChars="0" w:hanging="708" w:firstLineChars="0"/>
        <w:outlineLvl w:val="2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25" w:name="_Toc1854719663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交互式参数探索</w:t>
      </w:r>
      <w:bookmarkEnd w:id="25"/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层节点交互：鼠标拖拽调整节点位置、双击查看详细参数（权重直方图、偏置范围）、框选多节点对比参数（如卷积核大小差异）；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结构导航：支持鼠标滚轮缩放（10%~500%）、输入层名称定位跳转（如“conv2d_1”）、功能筛选（如“仅显示卷积层”“隐藏BN层”）；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大模型适配：1000层以上模型支持“缩略图导航”（右侧显示整体拓扑，红色框标识当前视图），避免操作迷失。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2"/>
          <w:numId w:val="1"/>
        </w:numPr>
        <w:tabs>
          <w:tab w:val="left" w:pos="0"/>
        </w:tabs>
        <w:ind w:left="1508" w:leftChars="0" w:hanging="708" w:firstLineChars="0"/>
        <w:outlineLvl w:val="2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26" w:name="_Toc1548239836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结果导出与联动</w:t>
      </w:r>
      <w:bookmarkEnd w:id="26"/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导出格式：支持导出拓扑图（PNG/SVG，SVG无限缩放）、参数表（Excel）、注意力热力图（PNG/PDF）、跟踪视频（MP4，25fps）；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报告生成：自动生成可视化报告（HTML/PDF），含模型基础信息、结构分析、参数统计（总层数、计算量）、优化建议（如“检测头参数过大，建议轻量化”）；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跨环节联动：与转换模块联动，同时加载“转换前ONNX模型”与“转换后模型（反编译ONNX）”，红色标识结构差异（如算子替换），辅助精度损失定位。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27" w:name="_Toc207572953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跨平台推理测试模块</w:t>
      </w:r>
      <w:bookmarkEnd w:id="27"/>
    </w:p>
    <w:p>
      <w:pPr>
        <w:numPr>
          <w:ilvl w:val="2"/>
          <w:numId w:val="1"/>
        </w:numPr>
        <w:tabs>
          <w:tab w:val="left" w:pos="0"/>
        </w:tabs>
        <w:ind w:left="1508" w:leftChars="0" w:hanging="708" w:firstLineChars="0"/>
        <w:outlineLvl w:val="2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28" w:name="_Toc1165178343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测试用例管理</w:t>
      </w:r>
      <w:bookmarkEnd w:id="28"/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数据适配：兼容多类型测试数据：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图像：JPG/PNG/BMP（分辨率320×320~1280×1280，批量上限1000张）；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文本：TXT（单条输入或批量数据集，需按“输入文本+预期结果”格式，如GLUE）；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视频：MP4/AVI（支持帧提取与关键帧标记）；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格式校验：自动检测数据合法性（如图像RGB三通道、文本UTF-8编码），不兼容数据提供转换工具（如灰度图转RGB、ANSI转UTF-8）；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用例管理：按“模型类型+测试场景”打标签（如“目标检测-COCO-精度测试”），支持版本控制（更新数据集生成新版本），用例复用率≥80%；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4. 自动生成：无现成数据时，支持生成合成数据：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目标检测：生成含随机目标（汽车/行人）的图像（可配置目标数量2~5个/张）；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自然语言：基于模板生成文本（如“[主题]的[属性]是[值]”）；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生成效率：100条数据耗时≤1分钟。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2"/>
          <w:numId w:val="1"/>
        </w:numPr>
        <w:tabs>
          <w:tab w:val="left" w:pos="0"/>
        </w:tabs>
        <w:ind w:left="1508" w:leftChars="0" w:hanging="708" w:firstLineChars="0"/>
        <w:outlineLvl w:val="2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29" w:name="_Toc249033808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多平台推理执行</w:t>
      </w:r>
      <w:bookmarkEnd w:id="29"/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节点选择：支持单平台单节点、单平台多节点、多平台多节点选择，自动检查节点状态（在线/离线）与负载（CPU≤70%、显存≤60%），过载时提示更换；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任务分配：批量任务（如1000张图像）按“负载均衡”拆分至多节点并行执行，效率提升3~5倍；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推理参数：配置推理精度模式（与转换一致）、batch size（1/2/4/8/16，取决于节点内存）、结果保存策略（全量/仅异常）、日志级别（WARN/ERROR）；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4. 实时监控：展示任务进度（如“80/100张完成”）、节点执行状态（如“节点1剩余30s”）、实时指标（推理延迟、吞吐量），支持暂停/取消（响应时间≤100ms）。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2"/>
          <w:numId w:val="1"/>
        </w:numPr>
        <w:tabs>
          <w:tab w:val="left" w:pos="0"/>
        </w:tabs>
        <w:ind w:left="1508" w:leftChars="0" w:hanging="708" w:firstLineChars="0"/>
        <w:outlineLvl w:val="2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30" w:name="_Toc65583053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多维度指标评估</w:t>
      </w:r>
      <w:bookmarkEnd w:id="30"/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功能验证指标：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推理成功率：≥99.5%（成功推理用例数/总用例数）；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模型加载成功率：100%（成功加载节点数/总节点数）；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无异常输出率：≥99%（输出合法用例数/总用例数）；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失败追溯：记录失败原因（如“显存溢出”“算子执行错误”）与错误日志；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性能测试指标：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推理延迟：取100轮平均值（排除首轮加载），不同平台阈值：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  - 英伟达RTX 4090（目标检测）：≤300ms；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  - 瑞芯微RK3588（目标检测）：≤300ms；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吞吐量（QPS）：计算公式“batch size/平均延迟×1000”；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资源占用：CPU≤80%、显存/NPU内存≤70%、边缘节点功耗（RK3588/Jetson）≤15W；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精度对比指标：以英伟达RTX 4090（FP32）为基准，精度损失阈值：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目标检测：mAP/Precision/Recall损失≤10%；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目标分类：Top-1/Top-5 Accuracy损失≤10%；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目标跟踪：MOTA损失≤10%、ID Switch≤10次/100帧；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自然语言：GLUE Score损失≤5%、BLEU Score损失≤10%；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异常处理：损失超阈值时分析原因（如“INT8量化导致小目标精度下降”），提供优化建议（如“降低量化精度至FP16”）。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2"/>
          <w:numId w:val="1"/>
        </w:numPr>
        <w:tabs>
          <w:tab w:val="left" w:pos="0"/>
        </w:tabs>
        <w:ind w:left="1508" w:leftChars="0" w:hanging="708" w:firstLineChars="0"/>
        <w:outlineLvl w:val="2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31" w:name="_Toc595260860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测试报告生成</w:t>
      </w:r>
      <w:bookmarkEnd w:id="31"/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报告内容：含测试概况（模型、平台、时间、人员、用例数）、功能结果（达标情况）、性能图表（延迟对比图、资源热力图）、精度对比表（基准值/测试值/损失率，异常标红）、问题汇总（失败用例、原因、建议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报告格式：支持HTML（交互查看）、PDF（存档）、Excel（数据导出）；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追溯关联：报告关联模型版本、转换任务ID、测试用例版本，支持按模型/任务ID查询历史报告（保留90天），对比不同版本测试结果。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32" w:name="_Toc1570446294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任务监控模块</w:t>
      </w:r>
      <w:bookmarkEnd w:id="32"/>
    </w:p>
    <w:p>
      <w:pPr>
        <w:numPr>
          <w:ilvl w:val="2"/>
          <w:numId w:val="1"/>
        </w:numPr>
        <w:tabs>
          <w:tab w:val="left" w:pos="0"/>
        </w:tabs>
        <w:ind w:left="1508" w:leftChars="0" w:hanging="708" w:firstLineChars="0"/>
        <w:outlineLvl w:val="2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33" w:name="_Toc1916841628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任务可视化展示</w:t>
      </w:r>
      <w:bookmarkEnd w:id="33"/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任务列表：统一展示模型上传、转换、推理测试任务，包含任务ID、名称、类型、提交人、时间、状态、关联资源（模型ID/平台）；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筛选排序：支持按任务类型（如“格式转换”）、状态（等待中/处理中/成功/失败）、时间范围（今日/近7天/自定义）、提交人筛选；支持按提交时间（降序/升序）、进度（升序）排序；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加载性能：单页加载耗时≤300ms，支持分页（10/20/50条/页）。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2"/>
          <w:numId w:val="1"/>
        </w:numPr>
        <w:tabs>
          <w:tab w:val="left" w:pos="0"/>
        </w:tabs>
        <w:ind w:left="1508" w:leftChars="0" w:hanging="708" w:firstLineChars="0"/>
        <w:outlineLvl w:val="2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34" w:name="_Toc1955053149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任务状态追踪</w:t>
      </w:r>
      <w:bookmarkEnd w:id="34"/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进度展示：处理中任务显示“当前阶段”（如“ONNX转换中”）；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详情面板：点击任务展开详情，包含任务参数（转换平台/精度、推理用例数）、执行日志（关键操作、耗时）、资源占用（CPU/内存/显存实时利用率）；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日志检索：日志支持关键词搜索（如“错误”）、时间范围筛选，提升问题定位效率。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2"/>
          <w:numId w:val="1"/>
        </w:numPr>
        <w:tabs>
          <w:tab w:val="left" w:pos="0"/>
        </w:tabs>
        <w:ind w:left="1508" w:leftChars="0" w:hanging="708" w:firstLineChars="0"/>
        <w:outlineLvl w:val="2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35" w:name="_Toc2078476143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异常告警处理</w:t>
      </w:r>
      <w:bookmarkEnd w:id="35"/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告警触发：任务异常（转换失败、推理超时、硬件离线）时，触发双端告警：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前端：红色弹窗提示（任务ID、异常类型、简要原因）；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任务列表：异常任务标红，标注“异常”标签；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响应时效：告警响应时间≤100ms；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快速处理：弹窗提供“查看详情”（跳转至任务面板）、“重试任务”（失败任务一键重试）入口。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2"/>
          <w:numId w:val="1"/>
        </w:numPr>
        <w:tabs>
          <w:tab w:val="left" w:pos="0"/>
        </w:tabs>
        <w:ind w:left="1508" w:leftChars="0" w:hanging="708" w:firstLineChars="0"/>
        <w:outlineLvl w:val="2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36" w:name="_Toc1979533299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任务操作管理</w:t>
      </w:r>
      <w:bookmarkEnd w:id="36"/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全生命周期操作：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处理中：暂停（保留进度）、取消（释放资源）；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成功：查看结果（跳转下载页/报告页）、重新执行（复用参数生成新任务）；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失败：查看日志（定位原因）、参数修改后重试（保留原配置）；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批量操作：支持选中多个任务批量取消、批量导出日志，提升管理效率。</w:t>
      </w:r>
    </w:p>
    <w:p>
      <w:pPr>
        <w:pStyle w:val="2"/>
        <w:ind w:firstLine="552"/>
        <w:rPr>
          <w:rFonts w:hint="eastAsia"/>
        </w:rPr>
      </w:pPr>
    </w:p>
    <w:p>
      <w:pPr>
        <w:pStyle w:val="2"/>
        <w:ind w:firstLine="552"/>
        <w:rPr>
          <w:rFonts w:hint="eastAsia"/>
        </w:rPr>
      </w:pPr>
    </w:p>
    <w:p>
      <w:pPr>
        <w:numPr>
          <w:ilvl w:val="0"/>
          <w:numId w:val="1"/>
        </w:numPr>
        <w:tabs>
          <w:tab w:val="left" w:pos="0"/>
        </w:tabs>
        <w:ind w:left="425" w:leftChars="0" w:hanging="425" w:firstLineChars="0"/>
        <w:outlineLvl w:val="0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37" w:name="_Toc1199496969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性能需求</w:t>
      </w:r>
      <w:bookmarkEnd w:id="37"/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38" w:name="_Toc1516563594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模型处理性能</w:t>
      </w:r>
      <w:bookmarkEnd w:id="38"/>
    </w:p>
    <w:p>
      <w:pPr>
        <w:pStyle w:val="2"/>
        <w:ind w:firstLine="552"/>
        <w:rPr>
          <w:rFonts w:hint="eastAsia"/>
        </w:rPr>
      </w:pP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2"/>
        <w:gridCol w:w="4119"/>
        <w:gridCol w:w="3021"/>
      </w:tblGrid>
      <w:tr>
        <w:tc>
          <w:tcPr>
            <w:tcW w:w="1922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性能项</w:t>
            </w:r>
          </w:p>
        </w:tc>
        <w:tc>
          <w:tcPr>
            <w:tcW w:w="4119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指标要求</w:t>
            </w:r>
          </w:p>
        </w:tc>
        <w:tc>
          <w:tcPr>
            <w:tcW w:w="3021" w:type="dxa"/>
          </w:tcPr>
          <w:p>
            <w:pPr>
              <w:pStyle w:val="2"/>
              <w:tabs>
                <w:tab w:val="left" w:pos="360"/>
                <w:tab w:val="left" w:pos="551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备注</w:t>
            </w:r>
          </w:p>
        </w:tc>
      </w:tr>
      <w:tr>
        <w:tc>
          <w:tcPr>
            <w:tcW w:w="1922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模型解析成功率</w:t>
            </w:r>
          </w:p>
        </w:tc>
        <w:tc>
          <w:tcPr>
            <w:tcW w:w="4119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≥99.5%（覆盖20类目标模型）</w:t>
            </w:r>
          </w:p>
        </w:tc>
        <w:tc>
          <w:tcPr>
            <w:tcW w:w="3021" w:type="dxa"/>
          </w:tcPr>
          <w:p>
            <w:pPr>
              <w:pStyle w:val="2"/>
              <w:tabs>
                <w:tab w:val="left" w:pos="360"/>
                <w:tab w:val="left" w:pos="551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基于Netron+ONNX Runtime解析</w:t>
            </w:r>
          </w:p>
        </w:tc>
      </w:tr>
      <w:tr>
        <w:tc>
          <w:tcPr>
            <w:tcW w:w="1922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模型解析耗时</w:t>
            </w:r>
          </w:p>
        </w:tc>
        <w:tc>
          <w:tcPr>
            <w:tcW w:w="4119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≤3</w:t>
            </w:r>
            <w:r>
              <w:rPr>
                <w:rFonts w:hint="eastAsia"/>
                <w:vertAlign w:val="baseline"/>
                <w:lang w:val="en-US" w:eastAsia="zh-CN"/>
              </w:rPr>
              <w:t>0</w:t>
            </w:r>
            <w:r>
              <w:rPr>
                <w:rFonts w:hint="eastAsia"/>
                <w:vertAlign w:val="baseline"/>
              </w:rPr>
              <w:t>秒（1GB模型）</w:t>
            </w:r>
          </w:p>
        </w:tc>
        <w:tc>
          <w:tcPr>
            <w:tcW w:w="3021" w:type="dxa"/>
          </w:tcPr>
          <w:p>
            <w:pPr>
              <w:pStyle w:val="2"/>
              <w:tabs>
                <w:tab w:val="left" w:pos="360"/>
                <w:tab w:val="left" w:pos="551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异步处理，避免阻塞</w:t>
            </w:r>
          </w:p>
        </w:tc>
      </w:tr>
      <w:tr>
        <w:tc>
          <w:tcPr>
            <w:tcW w:w="1922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转换任务成功率 </w:t>
            </w:r>
          </w:p>
        </w:tc>
        <w:tc>
          <w:tcPr>
            <w:tcW w:w="4119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≥98%（排除硬件故障/文件损坏）</w:t>
            </w:r>
          </w:p>
        </w:tc>
        <w:tc>
          <w:tcPr>
            <w:tcW w:w="3021" w:type="dxa"/>
          </w:tcPr>
          <w:p>
            <w:pPr>
              <w:pStyle w:val="2"/>
              <w:tabs>
                <w:tab w:val="left" w:pos="360"/>
                <w:tab w:val="left" w:pos="551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支持3次自动重试</w:t>
            </w:r>
          </w:p>
        </w:tc>
      </w:tr>
      <w:tr>
        <w:tc>
          <w:tcPr>
            <w:tcW w:w="1922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转换耗时</w:t>
            </w:r>
          </w:p>
        </w:tc>
        <w:tc>
          <w:tcPr>
            <w:tcW w:w="4119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1GB模型转换至单平台≤</w:t>
            </w:r>
            <w:r>
              <w:rPr>
                <w:rFonts w:hint="eastAsia"/>
                <w:vertAlign w:val="baseline"/>
                <w:lang w:val="en-US" w:eastAsia="zh-CN"/>
              </w:rPr>
              <w:t>30</w:t>
            </w:r>
            <w:r>
              <w:rPr>
                <w:rFonts w:hint="eastAsia"/>
                <w:vertAlign w:val="baseline"/>
              </w:rPr>
              <w:t>分钟</w:t>
            </w:r>
          </w:p>
        </w:tc>
        <w:tc>
          <w:tcPr>
            <w:tcW w:w="3021" w:type="dxa"/>
          </w:tcPr>
          <w:p>
            <w:pPr>
              <w:pStyle w:val="2"/>
              <w:tabs>
                <w:tab w:val="left" w:pos="360"/>
                <w:tab w:val="left" w:pos="551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基于4类平台硬件配置</w:t>
            </w:r>
          </w:p>
        </w:tc>
      </w:tr>
      <w:tr>
        <w:tc>
          <w:tcPr>
            <w:tcW w:w="1922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可视化响应时间</w:t>
            </w:r>
          </w:p>
        </w:tc>
        <w:tc>
          <w:tcPr>
            <w:tcW w:w="4119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</w:rPr>
              <w:t>初始渲染≤1</w:t>
            </w:r>
            <w:r>
              <w:rPr>
                <w:rFonts w:hint="eastAsia"/>
                <w:vertAlign w:val="baseline"/>
                <w:lang w:val="en-US" w:eastAsia="zh-CN"/>
              </w:rPr>
              <w:t>0</w:t>
            </w:r>
            <w:r>
              <w:rPr>
                <w:rFonts w:hint="eastAsia"/>
                <w:vertAlign w:val="baseline"/>
              </w:rPr>
              <w:t>秒（200层以内模型）、交互响应≤</w:t>
            </w:r>
            <w:r>
              <w:rPr>
                <w:rFonts w:hint="eastAsia"/>
                <w:vertAlign w:val="baseline"/>
                <w:lang w:val="en-US" w:eastAsia="zh-CN"/>
              </w:rPr>
              <w:t>3秒</w:t>
            </w:r>
          </w:p>
        </w:tc>
        <w:tc>
          <w:tcPr>
            <w:tcW w:w="3021" w:type="dxa"/>
          </w:tcPr>
          <w:p>
            <w:pPr>
              <w:pStyle w:val="2"/>
              <w:tabs>
                <w:tab w:val="left" w:pos="360"/>
                <w:tab w:val="left" w:pos="551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分层加载+WebWorker优化</w:t>
            </w:r>
          </w:p>
        </w:tc>
      </w:tr>
    </w:tbl>
    <w:p>
      <w:pPr>
        <w:pStyle w:val="2"/>
        <w:ind w:firstLine="552"/>
        <w:rPr>
          <w:rFonts w:hint="eastAsia"/>
        </w:rPr>
      </w:pPr>
    </w:p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39" w:name="_Toc400918115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系统运行性能</w:t>
      </w:r>
      <w:bookmarkEnd w:id="39"/>
    </w:p>
    <w:p>
      <w:pPr>
        <w:pStyle w:val="2"/>
        <w:rPr>
          <w:rFonts w:hint="eastAsia"/>
        </w:rPr>
      </w:pP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0"/>
        <w:gridCol w:w="3021"/>
        <w:gridCol w:w="3021"/>
      </w:tblGrid>
      <w:tr>
        <w:tc>
          <w:tcPr>
            <w:tcW w:w="3020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default" w:eastAsia="仿宋_GB2312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性能项</w:t>
            </w:r>
          </w:p>
        </w:tc>
        <w:tc>
          <w:tcPr>
            <w:tcW w:w="302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指标要求</w:t>
            </w:r>
          </w:p>
        </w:tc>
        <w:tc>
          <w:tcPr>
            <w:tcW w:w="302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备注</w:t>
            </w:r>
          </w:p>
        </w:tc>
      </w:tr>
      <w:tr>
        <w:tc>
          <w:tcPr>
            <w:tcW w:w="3020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接口响应时间</w:t>
            </w:r>
          </w:p>
        </w:tc>
        <w:tc>
          <w:tcPr>
            <w:tcW w:w="302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API接口≤</w:t>
            </w:r>
            <w:r>
              <w:rPr>
                <w:rFonts w:hint="eastAsia"/>
                <w:vertAlign w:val="baseline"/>
                <w:lang w:val="en-US" w:eastAsia="zh-CN"/>
              </w:rPr>
              <w:t>3秒</w:t>
            </w:r>
            <w:r>
              <w:rPr>
                <w:rFonts w:hint="eastAsia"/>
                <w:vertAlign w:val="baseline"/>
              </w:rPr>
              <w:t>、数据库查询≤5</w:t>
            </w:r>
            <w:r>
              <w:rPr>
                <w:rFonts w:hint="eastAsia"/>
                <w:vertAlign w:val="baseline"/>
                <w:lang w:val="en-US" w:eastAsia="zh-CN"/>
              </w:rPr>
              <w:t>0</w:t>
            </w:r>
            <w:r>
              <w:rPr>
                <w:rFonts w:hint="eastAsia"/>
                <w:vertAlign w:val="baseline"/>
              </w:rPr>
              <w:t xml:space="preserve">0ms </w:t>
            </w:r>
          </w:p>
        </w:tc>
        <w:tc>
          <w:tcPr>
            <w:tcW w:w="302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基于Redis缓存优化</w:t>
            </w:r>
          </w:p>
        </w:tc>
      </w:tr>
      <w:tr>
        <w:tc>
          <w:tcPr>
            <w:tcW w:w="3020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并发处理能力</w:t>
            </w:r>
          </w:p>
        </w:tc>
        <w:tc>
          <w:tcPr>
            <w:tcW w:w="302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支持10+用户并发操作、1000+任务队列</w:t>
            </w:r>
          </w:p>
        </w:tc>
        <w:tc>
          <w:tcPr>
            <w:tcW w:w="302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基于RabbitMQ+Kubernetes调度</w:t>
            </w:r>
          </w:p>
        </w:tc>
      </w:tr>
      <w:tr>
        <w:tc>
          <w:tcPr>
            <w:tcW w:w="3020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数据传输速度</w:t>
            </w:r>
          </w:p>
        </w:tc>
        <w:tc>
          <w:tcPr>
            <w:tcW w:w="302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模型文件上传/下载≥</w:t>
            </w:r>
            <w:r>
              <w:rPr>
                <w:rFonts w:hint="eastAsia"/>
                <w:vertAlign w:val="baseline"/>
                <w:lang w:val="en-US" w:eastAsia="zh-CN"/>
              </w:rPr>
              <w:t>3</w:t>
            </w:r>
            <w:r>
              <w:rPr>
                <w:rFonts w:hint="eastAsia"/>
                <w:vertAlign w:val="baseline"/>
              </w:rPr>
              <w:t>0MB/s</w:t>
            </w:r>
          </w:p>
        </w:tc>
        <w:tc>
          <w:tcPr>
            <w:tcW w:w="302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试验场10Gbps内网环境</w:t>
            </w:r>
          </w:p>
        </w:tc>
      </w:tr>
      <w:tr>
        <w:tc>
          <w:tcPr>
            <w:tcW w:w="3020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缓存命中率</w:t>
            </w:r>
          </w:p>
        </w:tc>
        <w:tc>
          <w:tcPr>
            <w:tcW w:w="302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≥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</w:rPr>
              <w:t>0%（高频访问模型元数据/任务状态）</w:t>
            </w:r>
          </w:p>
        </w:tc>
        <w:tc>
          <w:tcPr>
            <w:tcW w:w="302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Redis缓存有效期24小时（默认）</w:t>
            </w:r>
          </w:p>
        </w:tc>
      </w:tr>
    </w:tbl>
    <w:p>
      <w:pPr>
        <w:pStyle w:val="2"/>
        <w:ind w:firstLine="552"/>
        <w:rPr>
          <w:rFonts w:hint="eastAsia"/>
        </w:rPr>
      </w:pPr>
    </w:p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/>
        </w:rPr>
      </w:pPr>
      <w:bookmarkStart w:id="40" w:name="_Toc1574558166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硬件适配性能</w:t>
      </w:r>
      <w:bookmarkEnd w:id="40"/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0"/>
        <w:gridCol w:w="3021"/>
        <w:gridCol w:w="3021"/>
      </w:tblGrid>
      <w:tr>
        <w:tc>
          <w:tcPr>
            <w:tcW w:w="3020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default" w:eastAsia="仿宋_GB2312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硬件平台</w:t>
            </w:r>
          </w:p>
        </w:tc>
        <w:tc>
          <w:tcPr>
            <w:tcW w:w="302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性能指标要求</w:t>
            </w:r>
          </w:p>
        </w:tc>
        <w:tc>
          <w:tcPr>
            <w:tcW w:w="302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备注</w:t>
            </w:r>
          </w:p>
        </w:tc>
      </w:tr>
      <w:tr>
        <w:tc>
          <w:tcPr>
            <w:tcW w:w="3020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华为昇腾Atlas 800 </w:t>
            </w:r>
          </w:p>
        </w:tc>
        <w:tc>
          <w:tcPr>
            <w:tcW w:w="302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YOLOv8（640×640）推理延迟≤</w:t>
            </w:r>
            <w:r>
              <w:rPr>
                <w:rFonts w:hint="eastAsia"/>
                <w:vertAlign w:val="baseline"/>
                <w:lang w:val="en-US" w:eastAsia="zh-CN"/>
              </w:rPr>
              <w:t>3</w:t>
            </w:r>
            <w:r>
              <w:rPr>
                <w:rFonts w:hint="eastAsia"/>
                <w:vertAlign w:val="baseline"/>
              </w:rPr>
              <w:t>00ms、mAP损失≤</w:t>
            </w:r>
            <w:r>
              <w:rPr>
                <w:rFonts w:hint="eastAsia"/>
                <w:vertAlign w:val="baseline"/>
                <w:lang w:val="en-US" w:eastAsia="zh-CN"/>
              </w:rPr>
              <w:t>8</w:t>
            </w:r>
            <w:r>
              <w:rPr>
                <w:rFonts w:hint="eastAsia"/>
                <w:vertAlign w:val="baseline"/>
              </w:rPr>
              <w:t>%</w:t>
            </w:r>
          </w:p>
        </w:tc>
        <w:tc>
          <w:tcPr>
            <w:tcW w:w="302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启用算子融合优化</w:t>
            </w:r>
          </w:p>
        </w:tc>
      </w:tr>
      <w:tr>
        <w:tc>
          <w:tcPr>
            <w:tcW w:w="3020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瑞芯微RK3588</w:t>
            </w:r>
          </w:p>
        </w:tc>
        <w:tc>
          <w:tcPr>
            <w:tcW w:w="302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YOLOv8（640×640，INT8）推理延迟≤300ms、mAP损失≤8%</w:t>
            </w:r>
          </w:p>
        </w:tc>
        <w:tc>
          <w:tcPr>
            <w:tcW w:w="302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卷积拆分算法优化</w:t>
            </w:r>
          </w:p>
        </w:tc>
      </w:tr>
      <w:tr>
        <w:tc>
          <w:tcPr>
            <w:tcW w:w="3020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英伟达RTX 4090</w:t>
            </w:r>
          </w:p>
        </w:tc>
        <w:tc>
          <w:tcPr>
            <w:tcW w:w="302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YOLOv8（640×640）推理延迟≤</w:t>
            </w:r>
            <w:r>
              <w:rPr>
                <w:rFonts w:hint="eastAsia"/>
                <w:vertAlign w:val="baseline"/>
                <w:lang w:val="en-US" w:eastAsia="zh-CN"/>
              </w:rPr>
              <w:t>200</w:t>
            </w:r>
            <w:r>
              <w:rPr>
                <w:rFonts w:hint="eastAsia"/>
                <w:vertAlign w:val="baseline"/>
              </w:rPr>
              <w:t>ms、mAP损失≤</w:t>
            </w:r>
            <w:r>
              <w:rPr>
                <w:rFonts w:hint="eastAsia"/>
                <w:vertAlign w:val="baseline"/>
                <w:lang w:val="en-US" w:eastAsia="zh-CN"/>
              </w:rPr>
              <w:t>8</w:t>
            </w:r>
            <w:r>
              <w:rPr>
                <w:rFonts w:hint="eastAsia"/>
                <w:vertAlign w:val="baseline"/>
              </w:rPr>
              <w:t>%</w:t>
            </w:r>
          </w:p>
        </w:tc>
        <w:tc>
          <w:tcPr>
            <w:tcW w:w="302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TensorRT Plugin融合检测头</w:t>
            </w:r>
          </w:p>
        </w:tc>
      </w:tr>
      <w:tr>
        <w:tc>
          <w:tcPr>
            <w:tcW w:w="3020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寒武纪思元370</w:t>
            </w:r>
          </w:p>
        </w:tc>
        <w:tc>
          <w:tcPr>
            <w:tcW w:w="302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BERT-base推理延迟≤100ms、GLUE Score损失≤</w:t>
            </w:r>
            <w:r>
              <w:rPr>
                <w:rFonts w:hint="eastAsia"/>
                <w:vertAlign w:val="baseline"/>
                <w:lang w:val="en-US" w:eastAsia="zh-CN"/>
              </w:rPr>
              <w:t>8</w:t>
            </w:r>
            <w:r>
              <w:rPr>
                <w:rFonts w:hint="eastAsia"/>
                <w:vertAlign w:val="baseline"/>
              </w:rPr>
              <w:t>%</w:t>
            </w:r>
          </w:p>
        </w:tc>
        <w:tc>
          <w:tcPr>
            <w:tcW w:w="302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模型分片加载</w:t>
            </w:r>
          </w:p>
        </w:tc>
      </w:tr>
    </w:tbl>
    <w:p>
      <w:pPr>
        <w:pStyle w:val="2"/>
        <w:ind w:left="0" w:leftChars="0" w:firstLine="0" w:firstLineChars="0"/>
        <w:rPr>
          <w:rFonts w:hint="eastAsia"/>
        </w:rPr>
      </w:pPr>
    </w:p>
    <w:p>
      <w:pPr>
        <w:numPr>
          <w:ilvl w:val="0"/>
          <w:numId w:val="1"/>
        </w:numPr>
        <w:tabs>
          <w:tab w:val="left" w:pos="0"/>
        </w:tabs>
        <w:ind w:left="425" w:leftChars="0" w:hanging="425" w:firstLineChars="0"/>
        <w:outlineLvl w:val="0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41" w:name="_Toc158113981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运行环境需求</w:t>
      </w:r>
      <w:bookmarkEnd w:id="41"/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/>
        </w:rPr>
      </w:pPr>
      <w:bookmarkStart w:id="42" w:name="_Toc984407328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硬件环境</w:t>
      </w:r>
      <w:bookmarkEnd w:id="42"/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9"/>
        <w:gridCol w:w="2820"/>
        <w:gridCol w:w="2265"/>
        <w:gridCol w:w="2265"/>
      </w:tblGrid>
      <w:tr>
        <w:tc>
          <w:tcPr>
            <w:tcW w:w="1709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default" w:eastAsia="仿宋_GB2312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硬件类型</w:t>
            </w:r>
          </w:p>
        </w:tc>
        <w:tc>
          <w:tcPr>
            <w:tcW w:w="2820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配置要求</w:t>
            </w:r>
          </w:p>
        </w:tc>
        <w:tc>
          <w:tcPr>
            <w:tcW w:w="226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数量</w:t>
            </w:r>
          </w:p>
        </w:tc>
        <w:tc>
          <w:tcPr>
            <w:tcW w:w="226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 w:eastAsia="仿宋_GB2312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用途</w:t>
            </w:r>
          </w:p>
        </w:tc>
      </w:tr>
      <w:tr>
        <w:tc>
          <w:tcPr>
            <w:tcW w:w="1709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华为昇腾</w:t>
            </w:r>
          </w:p>
        </w:tc>
        <w:tc>
          <w:tcPr>
            <w:tcW w:w="2820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Atlas 800（Ascend 910 NPU，32GB显存）、Atlas 200I（Ascend 310 NPU，4GB显存）</w:t>
            </w:r>
          </w:p>
        </w:tc>
        <w:tc>
          <w:tcPr>
            <w:tcW w:w="226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default" w:eastAsia="仿宋_GB2312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任选1台即可</w:t>
            </w:r>
          </w:p>
        </w:tc>
        <w:tc>
          <w:tcPr>
            <w:tcW w:w="226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模型转换与推理测试</w:t>
            </w:r>
          </w:p>
        </w:tc>
      </w:tr>
      <w:tr>
        <w:tc>
          <w:tcPr>
            <w:tcW w:w="1709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瑞芯微</w:t>
            </w:r>
          </w:p>
        </w:tc>
        <w:tc>
          <w:tcPr>
            <w:tcW w:w="2820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RK3588开发板（6TOPS NPU，8GB内存）、RK3599开发板（10TOPS NPU，16GB内存）</w:t>
            </w:r>
          </w:p>
        </w:tc>
        <w:tc>
          <w:tcPr>
            <w:tcW w:w="226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任选1台即可</w:t>
            </w:r>
          </w:p>
        </w:tc>
        <w:tc>
          <w:tcPr>
            <w:tcW w:w="226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模型转换与推理测试</w:t>
            </w:r>
          </w:p>
        </w:tc>
      </w:tr>
      <w:tr>
        <w:tc>
          <w:tcPr>
            <w:tcW w:w="1709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英伟达</w:t>
            </w:r>
          </w:p>
        </w:tc>
        <w:tc>
          <w:tcPr>
            <w:tcW w:w="2820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RTX 4090（24GB显存）、Jetson AGX Orin（32GB显存） </w:t>
            </w:r>
          </w:p>
        </w:tc>
        <w:tc>
          <w:tcPr>
            <w:tcW w:w="226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任选1台即可</w:t>
            </w:r>
          </w:p>
        </w:tc>
        <w:tc>
          <w:tcPr>
            <w:tcW w:w="226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模型转换与推理测试（基准平台）</w:t>
            </w:r>
          </w:p>
        </w:tc>
      </w:tr>
      <w:tr>
        <w:tc>
          <w:tcPr>
            <w:tcW w:w="1709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寒武纪</w:t>
            </w:r>
          </w:p>
        </w:tc>
        <w:tc>
          <w:tcPr>
            <w:tcW w:w="2820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思元370服务器（2颗NPU，16GB/颗）、思元590服务器（4颗NPU，32GB/颗）</w:t>
            </w:r>
          </w:p>
        </w:tc>
        <w:tc>
          <w:tcPr>
            <w:tcW w:w="226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任选1台即可</w:t>
            </w:r>
          </w:p>
        </w:tc>
        <w:tc>
          <w:tcPr>
            <w:tcW w:w="226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模型转换与推理测试 </w:t>
            </w:r>
          </w:p>
        </w:tc>
      </w:tr>
      <w:tr>
        <w:tc>
          <w:tcPr>
            <w:tcW w:w="1709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支撑设备</w:t>
            </w:r>
          </w:p>
        </w:tc>
        <w:tc>
          <w:tcPr>
            <w:tcW w:w="2820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0Gbps以太网交换机（华为CloudEngine S5735）、存储服务器（MinIO单节点，可扩展至3节点）</w:t>
            </w:r>
          </w:p>
        </w:tc>
        <w:tc>
          <w:tcPr>
            <w:tcW w:w="226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各1台</w:t>
            </w:r>
          </w:p>
        </w:tc>
        <w:tc>
          <w:tcPr>
            <w:tcW w:w="226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节点通信、数据存储 </w:t>
            </w:r>
          </w:p>
        </w:tc>
      </w:tr>
      <w:tr>
        <w:tc>
          <w:tcPr>
            <w:tcW w:w="1709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调试机</w:t>
            </w:r>
          </w:p>
        </w:tc>
        <w:tc>
          <w:tcPr>
            <w:tcW w:w="2820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英特尔/鲲鹏CPU、支持1920×1080分辨率显示器</w:t>
            </w:r>
          </w:p>
        </w:tc>
        <w:tc>
          <w:tcPr>
            <w:tcW w:w="226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按甲方实际配置</w:t>
            </w:r>
          </w:p>
        </w:tc>
        <w:tc>
          <w:tcPr>
            <w:tcW w:w="226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工具部署与操作</w:t>
            </w:r>
          </w:p>
        </w:tc>
      </w:tr>
    </w:tbl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/>
        </w:rPr>
      </w:pPr>
      <w:bookmarkStart w:id="43" w:name="_Toc719945208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软件环境</w:t>
      </w:r>
      <w:bookmarkEnd w:id="43"/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8"/>
        <w:gridCol w:w="4453"/>
        <w:gridCol w:w="2801"/>
      </w:tblGrid>
      <w:tr>
        <w:tc>
          <w:tcPr>
            <w:tcW w:w="1950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default" w:eastAsia="仿宋_GB2312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软件类别</w:t>
            </w:r>
          </w:p>
        </w:tc>
        <w:tc>
          <w:tcPr>
            <w:tcW w:w="409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版本要求</w:t>
            </w:r>
          </w:p>
        </w:tc>
        <w:tc>
          <w:tcPr>
            <w:tcW w:w="302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用途</w:t>
            </w:r>
          </w:p>
        </w:tc>
      </w:tr>
      <w:tr>
        <w:tc>
          <w:tcPr>
            <w:tcW w:w="1950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操作系统</w:t>
            </w:r>
          </w:p>
        </w:tc>
        <w:tc>
          <w:tcPr>
            <w:tcW w:w="409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Linux（Ubuntu 20.04及以上）、麒麟v10、Windows Server 2019及以上 </w:t>
            </w:r>
          </w:p>
        </w:tc>
        <w:tc>
          <w:tcPr>
            <w:tcW w:w="302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工具运行基础环境</w:t>
            </w:r>
          </w:p>
        </w:tc>
      </w:tr>
      <w:tr>
        <w:tc>
          <w:tcPr>
            <w:tcW w:w="1950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开发工具链</w:t>
            </w:r>
          </w:p>
        </w:tc>
        <w:tc>
          <w:tcPr>
            <w:tcW w:w="409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华为CANN 7.0、瑞芯微RKNN Toolkit 2.5、英伟达CUDA 12.0+TensorRT 8.6、寒武纪MagicMind 1.8 </w:t>
            </w:r>
          </w:p>
        </w:tc>
        <w:tc>
          <w:tcPr>
            <w:tcW w:w="302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平台专用模型转换</w:t>
            </w:r>
          </w:p>
        </w:tc>
      </w:tr>
      <w:tr>
        <w:tc>
          <w:tcPr>
            <w:tcW w:w="1950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框架与库</w:t>
            </w:r>
          </w:p>
        </w:tc>
        <w:tc>
          <w:tcPr>
            <w:tcW w:w="409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PyTorch 2.0、TensorFlow 2.12、ONNX Runtime 1.15、Vue3、TypeScript 4.9、Element Plus、ECharts </w:t>
            </w:r>
          </w:p>
        </w:tc>
        <w:tc>
          <w:tcPr>
            <w:tcW w:w="302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模型解析、前端开发、可视化</w:t>
            </w:r>
          </w:p>
        </w:tc>
      </w:tr>
      <w:tr>
        <w:tc>
          <w:tcPr>
            <w:tcW w:w="1950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中间件</w:t>
            </w:r>
          </w:p>
        </w:tc>
        <w:tc>
          <w:tcPr>
            <w:tcW w:w="409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MySQL 8.0、MinIO RELEASE.2024-05-08T15-26-58Z、Redis 6.2、RabbitMQ 3.11</w:t>
            </w:r>
          </w:p>
        </w:tc>
        <w:tc>
          <w:tcPr>
            <w:tcW w:w="302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结构化数据存储、对象存储、缓存、任务队列</w:t>
            </w:r>
          </w:p>
        </w:tc>
      </w:tr>
      <w:tr>
        <w:tc>
          <w:tcPr>
            <w:tcW w:w="1950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监控工具</w:t>
            </w:r>
          </w:p>
        </w:tc>
        <w:tc>
          <w:tcPr>
            <w:tcW w:w="409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Prometheus 2.45、Grafana 10.1、ELK Stack 8.8</w:t>
            </w:r>
          </w:p>
        </w:tc>
        <w:tc>
          <w:tcPr>
            <w:tcW w:w="302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硬件监控、日志采集与检索</w:t>
            </w:r>
          </w:p>
        </w:tc>
      </w:tr>
      <w:tr>
        <w:tc>
          <w:tcPr>
            <w:tcW w:w="1950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容器化工具</w:t>
            </w:r>
          </w:p>
        </w:tc>
        <w:tc>
          <w:tcPr>
            <w:tcW w:w="409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Docker 24.0+、Anaconda 2023.09+</w:t>
            </w:r>
          </w:p>
        </w:tc>
        <w:tc>
          <w:tcPr>
            <w:tcW w:w="302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环境隔离、依赖管理</w:t>
            </w:r>
          </w:p>
        </w:tc>
      </w:tr>
      <w:tr>
        <w:tc>
          <w:tcPr>
            <w:tcW w:w="1950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浏览器</w:t>
            </w:r>
          </w:p>
        </w:tc>
        <w:tc>
          <w:tcPr>
            <w:tcW w:w="409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Chrome 90.0+、Edge 90.0+、Firefox 90.0+</w:t>
            </w:r>
          </w:p>
        </w:tc>
        <w:tc>
          <w:tcPr>
            <w:tcW w:w="302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用户访问前端界面</w:t>
            </w:r>
          </w:p>
        </w:tc>
      </w:tr>
    </w:tbl>
    <w:p>
      <w:pPr>
        <w:pStyle w:val="2"/>
        <w:ind w:firstLine="552"/>
        <w:rPr>
          <w:rFonts w:hint="eastAsia"/>
        </w:rPr>
      </w:pPr>
    </w:p>
    <w:p>
      <w:pPr>
        <w:pStyle w:val="2"/>
        <w:ind w:firstLine="552"/>
        <w:rPr>
          <w:rFonts w:hint="eastAsia"/>
        </w:rPr>
      </w:pPr>
    </w:p>
    <w:p>
      <w:pPr>
        <w:numPr>
          <w:ilvl w:val="0"/>
          <w:numId w:val="1"/>
        </w:numPr>
        <w:tabs>
          <w:tab w:val="left" w:pos="0"/>
        </w:tabs>
        <w:ind w:left="425" w:leftChars="0" w:hanging="425" w:firstLineChars="0"/>
        <w:outlineLvl w:val="0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44" w:name="_Toc1196243658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数据需求</w:t>
      </w:r>
      <w:bookmarkEnd w:id="44"/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/>
        </w:rPr>
      </w:pPr>
      <w:bookmarkStart w:id="45" w:name="_Toc525256792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数据类型与来源</w:t>
      </w:r>
      <w:bookmarkEnd w:id="45"/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0"/>
        <w:gridCol w:w="2540"/>
        <w:gridCol w:w="1597"/>
        <w:gridCol w:w="3495"/>
      </w:tblGrid>
      <w:tr>
        <w:tc>
          <w:tcPr>
            <w:tcW w:w="1430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default" w:eastAsia="仿宋_GB2312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数据类别</w:t>
            </w:r>
          </w:p>
        </w:tc>
        <w:tc>
          <w:tcPr>
            <w:tcW w:w="2540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数据类型</w:t>
            </w:r>
          </w:p>
        </w:tc>
        <w:tc>
          <w:tcPr>
            <w:tcW w:w="1597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来源</w:t>
            </w:r>
          </w:p>
        </w:tc>
        <w:tc>
          <w:tcPr>
            <w:tcW w:w="349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存储位置</w:t>
            </w:r>
          </w:p>
        </w:tc>
      </w:tr>
      <w:tr>
        <w:tc>
          <w:tcPr>
            <w:tcW w:w="1430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模型数据</w:t>
            </w:r>
          </w:p>
        </w:tc>
        <w:tc>
          <w:tcPr>
            <w:tcW w:w="2540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原始模型文件（.pth/.pb/.onnx等）、转换后模型文件（OM/RKNN等） </w:t>
            </w:r>
          </w:p>
        </w:tc>
        <w:tc>
          <w:tcPr>
            <w:tcW w:w="1597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用户上传、系统转换</w:t>
            </w:r>
          </w:p>
        </w:tc>
        <w:tc>
          <w:tcPr>
            <w:tcW w:w="349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MinIO（raw-model/converted-model桶）</w:t>
            </w:r>
          </w:p>
        </w:tc>
      </w:tr>
      <w:tr>
        <w:tc>
          <w:tcPr>
            <w:tcW w:w="1430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测试数据</w:t>
            </w:r>
          </w:p>
        </w:tc>
        <w:tc>
          <w:tcPr>
            <w:tcW w:w="2540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图像（JPG/PNG）、文本（TXT）、视频（MP4）、批量数据集（ZIP）</w:t>
            </w:r>
          </w:p>
        </w:tc>
        <w:tc>
          <w:tcPr>
            <w:tcW w:w="1597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用户上传、系统自动生成</w:t>
            </w:r>
          </w:p>
        </w:tc>
        <w:tc>
          <w:tcPr>
            <w:tcW w:w="349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MinIO（test-data桶）</w:t>
            </w:r>
          </w:p>
        </w:tc>
      </w:tr>
      <w:tr>
        <w:tc>
          <w:tcPr>
            <w:tcW w:w="1430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结构化数据</w:t>
            </w:r>
          </w:p>
        </w:tc>
        <w:tc>
          <w:tcPr>
            <w:tcW w:w="2540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用户信息、任务数据、模型元数据、系统配置、告警规则</w:t>
            </w:r>
          </w:p>
        </w:tc>
        <w:tc>
          <w:tcPr>
            <w:tcW w:w="1597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系统生成、用户输入</w:t>
            </w:r>
          </w:p>
        </w:tc>
        <w:tc>
          <w:tcPr>
            <w:tcW w:w="349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MySQL（sys_user/task_info/model_meta/sys_config/alarm_rule表） </w:t>
            </w:r>
          </w:p>
        </w:tc>
      </w:tr>
      <w:tr>
        <w:tc>
          <w:tcPr>
            <w:tcW w:w="1430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日志数据</w:t>
            </w:r>
          </w:p>
        </w:tc>
        <w:tc>
          <w:tcPr>
            <w:tcW w:w="2540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用户操作日志、系统运行日志、任务执行日志</w:t>
            </w:r>
          </w:p>
        </w:tc>
        <w:tc>
          <w:tcPr>
            <w:tcW w:w="1597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系统生成</w:t>
            </w:r>
          </w:p>
        </w:tc>
        <w:tc>
          <w:tcPr>
            <w:tcW w:w="349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MinIO（log桶）、Elasticsearch</w:t>
            </w:r>
          </w:p>
        </w:tc>
      </w:tr>
      <w:tr>
        <w:tc>
          <w:tcPr>
            <w:tcW w:w="1430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缓存数据</w:t>
            </w:r>
          </w:p>
        </w:tc>
        <w:tc>
          <w:tcPr>
            <w:tcW w:w="2540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任务实时状态、模型元数据、用户Token、硬件节点状态</w:t>
            </w:r>
          </w:p>
        </w:tc>
        <w:tc>
          <w:tcPr>
            <w:tcW w:w="1597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系统生成</w:t>
            </w:r>
          </w:p>
        </w:tc>
        <w:tc>
          <w:tcPr>
            <w:tcW w:w="349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Redis</w:t>
            </w:r>
          </w:p>
        </w:tc>
      </w:tr>
    </w:tbl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46" w:name="_Toc1833113974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数据存储要求</w:t>
      </w:r>
      <w:bookmarkEnd w:id="46"/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存储架构：采用“MySQL+MinIO+Redis”混合存储，满足结构化、非结构化、高频数据存储需求；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数据冗余：MinIO支持分布式部署（1纠删码组：3数据块+1校验块），任意1节点故障可恢复；MySQL支持全量备份（每日凌晨2点）+增量备份（每6小时），备份文件保留30天，可恢复率100%；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存储性能：MinIO上传/下载速度≥500MB/s（10Gbps内网）；MySQL查询耗时≤50ms（基于索引优化）；Redis数据访问延迟≤100ms；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4. 生命周期：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原始模型：长期保留；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转换后模型：与任务关联保留，用户可手动删除；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日志数据：永久保留（便于问题定位）；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缓存数据：任务状态24小时、热门模型元数据7天、用户Token 24小时。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47" w:name="_Toc1346161156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数据安全需求</w:t>
      </w:r>
      <w:bookmarkEnd w:id="47"/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访问控制：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MinIO：基于IAM分配桶权限（管理员读写、操作员上传/读取、查看员仅读取）；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MySQL：敏感信息（如训练数据集路径）采用AES-256加密存储，密钥动态管理；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模型文件：下载需验证24小时有效令牌（UUID）；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传输安全：所有数据传输采用HTTPS（TLS1.2）加密，防止窃取或篡改；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操作审计：记录所有操作日志（操作人、时间、IP、内容），永久保留，支持安全追溯；</w:t>
      </w:r>
    </w:p>
    <w:p>
      <w:pPr>
        <w:pStyle w:val="2"/>
        <w:ind w:firstLine="552"/>
        <w:rPr>
          <w:rFonts w:hint="eastAsia"/>
        </w:rPr>
        <w:sectPr>
          <w:footerReference r:id="rId10" w:type="default"/>
          <w:pgSz w:w="11907" w:h="16840"/>
          <w:pgMar w:top="2098" w:right="1474" w:bottom="1814" w:left="1587" w:header="851" w:footer="1607" w:gutter="0"/>
          <w:pgNumType w:start="1"/>
          <w:cols w:space="720" w:num="1"/>
          <w:docGrid w:type="linesAndChars" w:linePitch="586" w:charSpace="-842"/>
        </w:sectPr>
      </w:pPr>
      <w:r>
        <w:rPr>
          <w:rFonts w:hint="eastAsia"/>
        </w:rPr>
        <w:t>4. IP限制：仅允许试验场内网指定IP段（如192.168.1.0/24）访问系统，禁止外部网络接入。</w:t>
      </w:r>
    </w:p>
    <w:p>
      <w:pPr>
        <w:pStyle w:val="2"/>
        <w:ind w:firstLine="552"/>
        <w:rPr>
          <w:rFonts w:hint="eastAsia"/>
        </w:rPr>
      </w:pPr>
    </w:p>
    <w:p>
      <w:pPr>
        <w:pStyle w:val="2"/>
        <w:ind w:firstLine="552"/>
        <w:rPr>
          <w:rFonts w:hint="eastAsia"/>
        </w:rPr>
      </w:pPr>
    </w:p>
    <w:p>
      <w:pPr>
        <w:pStyle w:val="2"/>
        <w:ind w:firstLine="552"/>
        <w:rPr>
          <w:rFonts w:hint="eastAsia"/>
        </w:rPr>
      </w:pPr>
    </w:p>
    <w:p>
      <w:pPr>
        <w:numPr>
          <w:ilvl w:val="0"/>
          <w:numId w:val="1"/>
        </w:numPr>
        <w:tabs>
          <w:tab w:val="left" w:pos="0"/>
        </w:tabs>
        <w:ind w:left="425" w:leftChars="0" w:hanging="425" w:firstLineChars="0"/>
        <w:outlineLvl w:val="0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48" w:name="_Toc1190327747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接口需求</w:t>
      </w:r>
      <w:bookmarkEnd w:id="48"/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/>
        </w:rPr>
      </w:pPr>
      <w:bookmarkStart w:id="49" w:name="_Toc2028272024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内部接口</w:t>
      </w:r>
      <w:bookmarkEnd w:id="49"/>
    </w:p>
    <w:tbl>
      <w:tblPr>
        <w:tblStyle w:val="26"/>
        <w:tblW w:w="125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7"/>
        <w:gridCol w:w="1391"/>
        <w:gridCol w:w="3659"/>
        <w:gridCol w:w="1775"/>
        <w:gridCol w:w="3495"/>
      </w:tblGrid>
      <w:tr>
        <w:tc>
          <w:tcPr>
            <w:tcW w:w="2237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default" w:eastAsia="仿宋_GB2312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接口名称</w:t>
            </w:r>
          </w:p>
        </w:tc>
        <w:tc>
          <w:tcPr>
            <w:tcW w:w="139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接口类型</w:t>
            </w:r>
          </w:p>
        </w:tc>
        <w:tc>
          <w:tcPr>
            <w:tcW w:w="3659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功能描述</w:t>
            </w:r>
          </w:p>
        </w:tc>
        <w:tc>
          <w:tcPr>
            <w:tcW w:w="177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协议/技术</w:t>
            </w:r>
          </w:p>
        </w:tc>
        <w:tc>
          <w:tcPr>
            <w:tcW w:w="349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性能要求</w:t>
            </w:r>
          </w:p>
        </w:tc>
      </w:tr>
      <w:tr>
        <w:tc>
          <w:tcPr>
            <w:tcW w:w="2237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模型管理API</w:t>
            </w:r>
          </w:p>
        </w:tc>
        <w:tc>
          <w:tcPr>
            <w:tcW w:w="139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RESTful</w:t>
            </w:r>
          </w:p>
        </w:tc>
        <w:tc>
          <w:tcPr>
            <w:tcW w:w="3659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模型上传、查询、编辑、删除</w:t>
            </w:r>
          </w:p>
        </w:tc>
        <w:tc>
          <w:tcPr>
            <w:tcW w:w="177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HTTP/HTTPS </w:t>
            </w:r>
          </w:p>
        </w:tc>
        <w:tc>
          <w:tcPr>
            <w:tcW w:w="349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 w:eastAsia="仿宋_GB2312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响应时间≤3</w:t>
            </w:r>
            <w:r>
              <w:rPr>
                <w:rFonts w:hint="eastAsia"/>
                <w:vertAlign w:val="baseline"/>
                <w:lang w:val="en-US" w:eastAsia="zh-CN"/>
              </w:rPr>
              <w:t>秒</w:t>
            </w:r>
          </w:p>
        </w:tc>
      </w:tr>
      <w:tr>
        <w:tc>
          <w:tcPr>
            <w:tcW w:w="2237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转换系统API</w:t>
            </w:r>
          </w:p>
        </w:tc>
        <w:tc>
          <w:tcPr>
            <w:tcW w:w="139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RESTful</w:t>
            </w:r>
          </w:p>
        </w:tc>
        <w:tc>
          <w:tcPr>
            <w:tcW w:w="3659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转换任务提交、状态查询、重试</w:t>
            </w:r>
          </w:p>
        </w:tc>
        <w:tc>
          <w:tcPr>
            <w:tcW w:w="177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HTTP/HTTPS</w:t>
            </w:r>
          </w:p>
        </w:tc>
        <w:tc>
          <w:tcPr>
            <w:tcW w:w="349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响应时间≤3秒</w:t>
            </w:r>
          </w:p>
        </w:tc>
      </w:tr>
      <w:tr>
        <w:tc>
          <w:tcPr>
            <w:tcW w:w="2237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可视化API </w:t>
            </w:r>
          </w:p>
        </w:tc>
        <w:tc>
          <w:tcPr>
            <w:tcW w:w="139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RESTful</w:t>
            </w:r>
          </w:p>
        </w:tc>
        <w:tc>
          <w:tcPr>
            <w:tcW w:w="3659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模型结构解析、可视化数据获取</w:t>
            </w:r>
          </w:p>
        </w:tc>
        <w:tc>
          <w:tcPr>
            <w:tcW w:w="177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HTTP/HTTPS</w:t>
            </w:r>
          </w:p>
        </w:tc>
        <w:tc>
          <w:tcPr>
            <w:tcW w:w="349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响应时间≤3秒</w:t>
            </w:r>
          </w:p>
        </w:tc>
      </w:tr>
      <w:tr>
        <w:tc>
          <w:tcPr>
            <w:tcW w:w="2237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推理测试API </w:t>
            </w:r>
          </w:p>
        </w:tc>
        <w:tc>
          <w:tcPr>
            <w:tcW w:w="139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RESTful</w:t>
            </w:r>
          </w:p>
        </w:tc>
        <w:tc>
          <w:tcPr>
            <w:tcW w:w="3659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测试任务提交、结果查询、报告生成</w:t>
            </w:r>
          </w:p>
        </w:tc>
        <w:tc>
          <w:tcPr>
            <w:tcW w:w="177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HTTP/HTTPS</w:t>
            </w:r>
          </w:p>
        </w:tc>
        <w:tc>
          <w:tcPr>
            <w:tcW w:w="349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响应时间≤3秒</w:t>
            </w:r>
          </w:p>
        </w:tc>
      </w:tr>
      <w:tr>
        <w:tc>
          <w:tcPr>
            <w:tcW w:w="2237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任务状态推送接口</w:t>
            </w:r>
          </w:p>
        </w:tc>
        <w:tc>
          <w:tcPr>
            <w:tcW w:w="139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RESTful</w:t>
            </w:r>
          </w:p>
        </w:tc>
        <w:tc>
          <w:tcPr>
            <w:tcW w:w="3659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实时推送任务进度、异常告警</w:t>
            </w:r>
          </w:p>
        </w:tc>
        <w:tc>
          <w:tcPr>
            <w:tcW w:w="177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HTTP/HTTPS</w:t>
            </w:r>
          </w:p>
        </w:tc>
        <w:tc>
          <w:tcPr>
            <w:tcW w:w="349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延迟</w:t>
            </w:r>
            <w:r>
              <w:rPr>
                <w:rFonts w:hint="eastAsia"/>
                <w:vertAlign w:val="baseline"/>
              </w:rPr>
              <w:t>时间≤3秒</w:t>
            </w:r>
          </w:p>
        </w:tc>
      </w:tr>
      <w:tr>
        <w:tc>
          <w:tcPr>
            <w:tcW w:w="2237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缓存操作接口</w:t>
            </w:r>
          </w:p>
        </w:tc>
        <w:tc>
          <w:tcPr>
            <w:tcW w:w="139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RESTful</w:t>
            </w:r>
          </w:p>
        </w:tc>
        <w:tc>
          <w:tcPr>
            <w:tcW w:w="3659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任务状态、模型元数据、Token缓存</w:t>
            </w:r>
          </w:p>
        </w:tc>
        <w:tc>
          <w:tcPr>
            <w:tcW w:w="177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Redis协议</w:t>
            </w:r>
          </w:p>
        </w:tc>
        <w:tc>
          <w:tcPr>
            <w:tcW w:w="349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延迟</w:t>
            </w:r>
            <w:r>
              <w:rPr>
                <w:rFonts w:hint="eastAsia"/>
                <w:vertAlign w:val="baseline"/>
              </w:rPr>
              <w:t>时间≤</w:t>
            </w:r>
            <w:r>
              <w:rPr>
                <w:rFonts w:hint="eastAsia"/>
                <w:vertAlign w:val="baseline"/>
                <w:lang w:val="en-US" w:eastAsia="zh-CN"/>
              </w:rPr>
              <w:t>1</w:t>
            </w:r>
            <w:r>
              <w:rPr>
                <w:rFonts w:hint="eastAsia"/>
                <w:vertAlign w:val="baseline"/>
              </w:rPr>
              <w:t>秒</w:t>
            </w:r>
          </w:p>
        </w:tc>
      </w:tr>
    </w:tbl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/>
        </w:rPr>
      </w:pPr>
      <w:bookmarkStart w:id="50" w:name="_Toc12494890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外部接口</w:t>
      </w:r>
      <w:bookmarkEnd w:id="50"/>
    </w:p>
    <w:p>
      <w:pPr>
        <w:pStyle w:val="2"/>
        <w:ind w:firstLine="552"/>
        <w:rPr>
          <w:rFonts w:hint="eastAsia"/>
        </w:rPr>
      </w:pPr>
    </w:p>
    <w:tbl>
      <w:tblPr>
        <w:tblStyle w:val="26"/>
        <w:tblW w:w="125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7"/>
        <w:gridCol w:w="1391"/>
        <w:gridCol w:w="3659"/>
        <w:gridCol w:w="1775"/>
        <w:gridCol w:w="3495"/>
      </w:tblGrid>
      <w:tr>
        <w:tc>
          <w:tcPr>
            <w:tcW w:w="2237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default" w:eastAsia="仿宋_GB2312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接口名称</w:t>
            </w:r>
          </w:p>
        </w:tc>
        <w:tc>
          <w:tcPr>
            <w:tcW w:w="139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接口类型</w:t>
            </w:r>
          </w:p>
        </w:tc>
        <w:tc>
          <w:tcPr>
            <w:tcW w:w="3659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功能描述</w:t>
            </w:r>
          </w:p>
        </w:tc>
        <w:tc>
          <w:tcPr>
            <w:tcW w:w="177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协议/技术</w:t>
            </w:r>
          </w:p>
        </w:tc>
        <w:tc>
          <w:tcPr>
            <w:tcW w:w="349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default" w:eastAsia="仿宋_GB2312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依赖方</w:t>
            </w:r>
          </w:p>
        </w:tc>
      </w:tr>
      <w:tr>
        <w:tc>
          <w:tcPr>
            <w:tcW w:w="2237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华为ATC工具接口</w:t>
            </w:r>
          </w:p>
        </w:tc>
        <w:tc>
          <w:tcPr>
            <w:tcW w:w="139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命令行/SDK</w:t>
            </w:r>
          </w:p>
        </w:tc>
        <w:tc>
          <w:tcPr>
            <w:tcW w:w="3659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ONNX模型转换为OM格式</w:t>
            </w:r>
          </w:p>
        </w:tc>
        <w:tc>
          <w:tcPr>
            <w:tcW w:w="177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ATC SDK</w:t>
            </w:r>
          </w:p>
        </w:tc>
        <w:tc>
          <w:tcPr>
            <w:tcW w:w="349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 w:eastAsia="仿宋_GB2312"/>
                <w:vertAlign w:val="baseline"/>
                <w:lang w:val="en-US" w:eastAsia="zh-CN"/>
              </w:rPr>
            </w:pPr>
            <w:r>
              <w:rPr>
                <w:rFonts w:hint="eastAsia" w:eastAsia="仿宋_GB2312"/>
                <w:vertAlign w:val="baseline"/>
                <w:lang w:val="en-US" w:eastAsia="zh-CN"/>
              </w:rPr>
              <w:t>华为昇腾硬件、CANN 7.0</w:t>
            </w:r>
          </w:p>
        </w:tc>
      </w:tr>
      <w:tr>
        <w:tc>
          <w:tcPr>
            <w:tcW w:w="2237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瑞芯微RKNN Toolkit接口</w:t>
            </w:r>
          </w:p>
        </w:tc>
        <w:tc>
          <w:tcPr>
            <w:tcW w:w="139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Python API</w:t>
            </w:r>
          </w:p>
        </w:tc>
        <w:tc>
          <w:tcPr>
            <w:tcW w:w="3659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ONNX模型转换为RKNN格式</w:t>
            </w:r>
          </w:p>
        </w:tc>
        <w:tc>
          <w:tcPr>
            <w:tcW w:w="177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RKNN API</w:t>
            </w:r>
          </w:p>
        </w:tc>
        <w:tc>
          <w:tcPr>
            <w:tcW w:w="349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瑞芯微RK3588/RK3599</w:t>
            </w:r>
          </w:p>
        </w:tc>
      </w:tr>
      <w:tr>
        <w:tc>
          <w:tcPr>
            <w:tcW w:w="2237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英伟达TensorRT接口</w:t>
            </w:r>
          </w:p>
        </w:tc>
        <w:tc>
          <w:tcPr>
            <w:tcW w:w="139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C++/Python API</w:t>
            </w:r>
          </w:p>
        </w:tc>
        <w:tc>
          <w:tcPr>
            <w:tcW w:w="3659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ONNX模型转换为TensorRT Engine</w:t>
            </w:r>
          </w:p>
        </w:tc>
        <w:tc>
          <w:tcPr>
            <w:tcW w:w="177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TensorRT API</w:t>
            </w:r>
          </w:p>
        </w:tc>
        <w:tc>
          <w:tcPr>
            <w:tcW w:w="349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英伟达GPU、CUDA 12.0</w:t>
            </w:r>
          </w:p>
        </w:tc>
      </w:tr>
      <w:tr>
        <w:tc>
          <w:tcPr>
            <w:tcW w:w="2237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寒武纪MagicMind接口</w:t>
            </w:r>
          </w:p>
        </w:tc>
        <w:tc>
          <w:tcPr>
            <w:tcW w:w="139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C++ API</w:t>
            </w:r>
          </w:p>
        </w:tc>
        <w:tc>
          <w:tcPr>
            <w:tcW w:w="3659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ONNX模型转换为CNModel格式</w:t>
            </w:r>
          </w:p>
        </w:tc>
        <w:tc>
          <w:tcPr>
            <w:tcW w:w="177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MagicMind SDK</w:t>
            </w:r>
          </w:p>
        </w:tc>
        <w:tc>
          <w:tcPr>
            <w:tcW w:w="349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寒武纪思元370/590</w:t>
            </w:r>
          </w:p>
        </w:tc>
      </w:tr>
      <w:tr>
        <w:tc>
          <w:tcPr>
            <w:tcW w:w="2237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硬件节点远程控制接口</w:t>
            </w:r>
          </w:p>
        </w:tc>
        <w:tc>
          <w:tcPr>
            <w:tcW w:w="139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SSH/VNC</w:t>
            </w:r>
          </w:p>
        </w:tc>
        <w:tc>
          <w:tcPr>
            <w:tcW w:w="3659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硬件节点环境配置、任务执行</w:t>
            </w:r>
          </w:p>
        </w:tc>
        <w:tc>
          <w:tcPr>
            <w:tcW w:w="177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SSH/VNC</w:t>
            </w:r>
          </w:p>
        </w:tc>
        <w:tc>
          <w:tcPr>
            <w:tcW w:w="349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4类平台硬件节点</w:t>
            </w:r>
          </w:p>
        </w:tc>
      </w:tr>
      <w:tr>
        <w:tc>
          <w:tcPr>
            <w:tcW w:w="2237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试验场文件服务器接口</w:t>
            </w:r>
          </w:p>
        </w:tc>
        <w:tc>
          <w:tcPr>
            <w:tcW w:w="139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SMB/NFS</w:t>
            </w:r>
          </w:p>
        </w:tc>
        <w:tc>
          <w:tcPr>
            <w:tcW w:w="3659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内网模型文件导入</w:t>
            </w:r>
          </w:p>
        </w:tc>
        <w:tc>
          <w:tcPr>
            <w:tcW w:w="177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SMB/NFS</w:t>
            </w:r>
          </w:p>
        </w:tc>
        <w:tc>
          <w:tcPr>
            <w:tcW w:w="349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甲方试验场文件服务器</w:t>
            </w:r>
          </w:p>
        </w:tc>
      </w:tr>
      <w:tr>
        <w:tc>
          <w:tcPr>
            <w:tcW w:w="2237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邮件告警接口</w:t>
            </w:r>
          </w:p>
        </w:tc>
        <w:tc>
          <w:tcPr>
            <w:tcW w:w="1391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SMTP</w:t>
            </w:r>
          </w:p>
        </w:tc>
        <w:tc>
          <w:tcPr>
            <w:tcW w:w="3659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一级告警邮件发送</w:t>
            </w:r>
          </w:p>
        </w:tc>
        <w:tc>
          <w:tcPr>
            <w:tcW w:w="177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SMTP</w:t>
            </w:r>
          </w:p>
        </w:tc>
        <w:tc>
          <w:tcPr>
            <w:tcW w:w="3495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甲方试验场邮件服务器</w:t>
            </w:r>
          </w:p>
        </w:tc>
      </w:tr>
    </w:tbl>
    <w:p>
      <w:pPr>
        <w:pStyle w:val="2"/>
        <w:ind w:firstLine="552"/>
        <w:rPr>
          <w:rFonts w:hint="eastAsia"/>
        </w:rPr>
        <w:sectPr>
          <w:pgSz w:w="16840" w:h="11907" w:orient="landscape"/>
          <w:pgMar w:top="1587" w:right="2098" w:bottom="1474" w:left="1814" w:header="851" w:footer="1607" w:gutter="0"/>
          <w:cols w:space="720" w:num="1"/>
          <w:docGrid w:type="linesAndChars" w:linePitch="586" w:charSpace="-842"/>
        </w:sectPr>
      </w:pPr>
    </w:p>
    <w:p>
      <w:pPr>
        <w:pStyle w:val="2"/>
        <w:ind w:firstLine="552"/>
        <w:rPr>
          <w:rFonts w:hint="eastAsia"/>
        </w:rPr>
      </w:pPr>
    </w:p>
    <w:p>
      <w:pPr>
        <w:pStyle w:val="2"/>
        <w:ind w:firstLine="552"/>
        <w:rPr>
          <w:rFonts w:hint="eastAsia"/>
        </w:rPr>
      </w:pPr>
    </w:p>
    <w:p>
      <w:pPr>
        <w:pStyle w:val="2"/>
        <w:ind w:firstLine="552"/>
        <w:rPr>
          <w:rFonts w:hint="eastAsia"/>
        </w:rPr>
      </w:pPr>
    </w:p>
    <w:p>
      <w:pPr>
        <w:numPr>
          <w:ilvl w:val="0"/>
          <w:numId w:val="1"/>
        </w:numPr>
        <w:tabs>
          <w:tab w:val="left" w:pos="0"/>
        </w:tabs>
        <w:ind w:left="425" w:leftChars="0" w:hanging="425" w:firstLineChars="0"/>
        <w:outlineLvl w:val="0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51" w:name="_Toc1695702471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非功能需求</w:t>
      </w:r>
      <w:bookmarkEnd w:id="51"/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52" w:name="_Toc415950760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可靠性</w:t>
      </w:r>
      <w:bookmarkEnd w:id="52"/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服务可用性：系统全年可用性≥99.9%，单次故障恢复时间≤2小时；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数据可靠性：数据备份可恢复率100%，无数据丢失风险；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任务可靠性：转换/推理任务成功率≥98%（排除不可抗因素），支持自动重试与断点续传。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53" w:name="_Toc825152335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易用性</w:t>
      </w:r>
      <w:bookmarkEnd w:id="53"/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界面适配：响应式设计，适配1920×1080等常见分辨率，支持触屏操作；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操作便捷：核心操作（上传、转换、测试）步骤≤3步，支持快捷键（Ctrl+U上传、Ctrl+F检索）；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帮助支持：界面提供操作提示、常见问题弹窗，文档包含《用户手册》《维护手册》。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54" w:name="_Toc2033385666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可扩展性</w:t>
      </w:r>
      <w:bookmarkEnd w:id="54"/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模型扩展：支持用户上传新模型适配模板（JSON格式），无需修改代码即可扩展模型类型；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平台扩展：采用插件化设计，新增硬件平台时仅需开发专用转换插件，核心架构无需调整；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性能扩展：支持微服务弹性扩容（如新增转换节点）、MinIO存储节点扩展，应对数据量增长。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55" w:name="_Toc58130104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安全性</w:t>
      </w:r>
      <w:bookmarkEnd w:id="55"/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身份认证：基于Token认证，有效期24小时，支持IP白名单限制；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权限控制：细粒度角色权限（管理员/操作员/查看员），限制平台访问与操作范围；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3. 日志审计：全链路日志记录，支持安全审计与操作追溯；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4. 漏洞防护：定期安全扫描，修复已知漏洞，防止SQL注入、XSS等攻击。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56" w:name="_Toc2035082190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可维护性</w:t>
      </w:r>
      <w:bookmarkEnd w:id="56"/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代码可维护：前端基于Vue3+TypeScript，后端采用微服务架构，代码注释率≥80%；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文档完整性：提供技术方案、设计说明、API文档、测试报告、用户手册，便于后期维护；</w:t>
      </w:r>
    </w:p>
    <w:p>
      <w:pPr>
        <w:pStyle w:val="2"/>
        <w:ind w:firstLine="552"/>
        <w:rPr>
          <w:rFonts w:hint="eastAsia"/>
        </w:rPr>
        <w:sectPr>
          <w:pgSz w:w="11907" w:h="16840"/>
          <w:pgMar w:top="2098" w:right="1474" w:bottom="1814" w:left="1587" w:header="851" w:footer="1607" w:gutter="0"/>
          <w:cols w:space="720" w:num="1"/>
          <w:docGrid w:type="linesAndChars" w:linePitch="586" w:charSpace="-842"/>
        </w:sectPr>
      </w:pPr>
      <w:r>
        <w:rPr>
          <w:rFonts w:hint="eastAsia"/>
        </w:rPr>
        <w:t>3. 故障定位：全链路日志+监控面板，支持快速定位硬件/软件故障，平均定位时间≤1小时。</w:t>
      </w:r>
    </w:p>
    <w:p>
      <w:pPr>
        <w:numPr>
          <w:ilvl w:val="0"/>
          <w:numId w:val="1"/>
        </w:numPr>
        <w:tabs>
          <w:tab w:val="left" w:pos="0"/>
        </w:tabs>
        <w:ind w:left="425" w:leftChars="0" w:hanging="425" w:firstLineChars="0"/>
        <w:outlineLvl w:val="0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57" w:name="_Toc654321561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验收标准</w:t>
      </w:r>
      <w:bookmarkEnd w:id="57"/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58" w:name="_Toc2066203087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功能验收</w:t>
      </w:r>
      <w:bookmarkEnd w:id="58"/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5547"/>
        <w:gridCol w:w="4553"/>
      </w:tblGrid>
      <w:tr>
        <w:tc>
          <w:tcPr>
            <w:tcW w:w="2768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default" w:eastAsia="仿宋_GB2312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验收项</w:t>
            </w:r>
          </w:p>
        </w:tc>
        <w:tc>
          <w:tcPr>
            <w:tcW w:w="5547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验收标准</w:t>
            </w:r>
          </w:p>
        </w:tc>
        <w:tc>
          <w:tcPr>
            <w:tcW w:w="4553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验收方式</w:t>
            </w:r>
          </w:p>
        </w:tc>
      </w:tr>
      <w:tr>
        <w:tc>
          <w:tcPr>
            <w:tcW w:w="2768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模型管理功能 </w:t>
            </w:r>
          </w:p>
        </w:tc>
        <w:tc>
          <w:tcPr>
            <w:tcW w:w="5547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1. 支持所有指定格式模型上传/下载；2. 版本控制功能正常（重复模型自动生成版本）；3. 检索功能精准（模糊/高级筛选有效）</w:t>
            </w:r>
          </w:p>
        </w:tc>
        <w:tc>
          <w:tcPr>
            <w:tcW w:w="4553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现场测试（上传20类模型，验证版本与检索）</w:t>
            </w:r>
          </w:p>
        </w:tc>
      </w:tr>
      <w:tr>
        <w:tc>
          <w:tcPr>
            <w:tcW w:w="2768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跨平台转换功能</w:t>
            </w:r>
          </w:p>
        </w:tc>
        <w:tc>
          <w:tcPr>
            <w:tcW w:w="5547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1. 20类模型成功转换至4类平台（格式正确）；2. 转换参数配置有效（精度/形状/策略生效）；3. 自动校验功能正常（格式/结构/功能校验） </w:t>
            </w:r>
          </w:p>
        </w:tc>
        <w:tc>
          <w:tcPr>
            <w:tcW w:w="4553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覆盖20类模型×4类平台，至少20个</w:t>
            </w:r>
            <w:r>
              <w:rPr>
                <w:rFonts w:hint="eastAsia"/>
                <w:vertAlign w:val="baseline"/>
                <w:lang w:val="en-US" w:eastAsia="zh-CN"/>
              </w:rPr>
              <w:t>转换</w:t>
            </w:r>
            <w:r>
              <w:rPr>
                <w:rFonts w:hint="eastAsia"/>
                <w:vertAlign w:val="baseline"/>
              </w:rPr>
              <w:t>任务</w:t>
            </w:r>
          </w:p>
        </w:tc>
      </w:tr>
      <w:tr>
        <w:tc>
          <w:tcPr>
            <w:tcW w:w="2768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模型可视化功能</w:t>
            </w:r>
          </w:p>
        </w:tc>
        <w:tc>
          <w:tcPr>
            <w:tcW w:w="5547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1. 20类模型结构解析成功（分层/参数展示正确）；2. 交互功能有效（缩放/拖拽/对比）；3. 结果导出格式正确（PNG/SVG/Excel）</w:t>
            </w:r>
          </w:p>
        </w:tc>
        <w:tc>
          <w:tcPr>
            <w:tcW w:w="4553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现场测试（可视化20类模型，验证交互与导出）</w:t>
            </w:r>
          </w:p>
        </w:tc>
      </w:tr>
      <w:tr>
        <w:tc>
          <w:tcPr>
            <w:tcW w:w="2768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推理测试功能</w:t>
            </w:r>
          </w:p>
        </w:tc>
        <w:tc>
          <w:tcPr>
            <w:tcW w:w="5547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1. 功能指标达标（推理成功率≥99.5%）；2. 性能指标达标（延迟/资源占用符合阈值）；3. 精度损失≤预设阈值；4. 报告生成正确（内容完整/格式合规）</w:t>
            </w:r>
          </w:p>
        </w:tc>
        <w:tc>
          <w:tcPr>
            <w:tcW w:w="4553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覆盖</w:t>
            </w:r>
            <w:r>
              <w:rPr>
                <w:rFonts w:hint="eastAsia"/>
                <w:vertAlign w:val="baseline"/>
              </w:rPr>
              <w:t>20类模型×4类平台，</w:t>
            </w:r>
            <w:r>
              <w:rPr>
                <w:rFonts w:hint="eastAsia"/>
                <w:vertAlign w:val="baseline"/>
                <w:lang w:val="en-US" w:eastAsia="zh-CN"/>
              </w:rPr>
              <w:t>至少2</w:t>
            </w:r>
            <w:r>
              <w:rPr>
                <w:rFonts w:hint="eastAsia"/>
                <w:vertAlign w:val="baseline"/>
              </w:rPr>
              <w:t>0个推理任务</w:t>
            </w:r>
          </w:p>
        </w:tc>
      </w:tr>
      <w:tr>
        <w:tc>
          <w:tcPr>
            <w:tcW w:w="2768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任务监控功能</w:t>
            </w:r>
          </w:p>
        </w:tc>
        <w:tc>
          <w:tcPr>
            <w:tcW w:w="5547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1. 任务状态实时更新（延迟≤3</w:t>
            </w:r>
            <w:r>
              <w:rPr>
                <w:rFonts w:hint="eastAsia"/>
                <w:vertAlign w:val="baseline"/>
                <w:lang w:val="en-US" w:eastAsia="zh-CN"/>
              </w:rPr>
              <w:t>秒</w:t>
            </w:r>
            <w:r>
              <w:rPr>
                <w:rFonts w:hint="eastAsia"/>
                <w:vertAlign w:val="baseline"/>
              </w:rPr>
              <w:t>）；</w:t>
            </w:r>
            <w:r>
              <w:rPr>
                <w:rFonts w:hint="eastAsia"/>
                <w:vertAlign w:val="baseline"/>
                <w:lang w:val="en-US" w:eastAsia="zh-CN"/>
              </w:rPr>
              <w:t>2</w:t>
            </w:r>
            <w:r>
              <w:rPr>
                <w:rFonts w:hint="eastAsia"/>
                <w:vertAlign w:val="baseline"/>
              </w:rPr>
              <w:t>. 任务操作有效（暂停/取消/重试）</w:t>
            </w:r>
          </w:p>
        </w:tc>
        <w:tc>
          <w:tcPr>
            <w:tcW w:w="4553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压力测试（提交100个并发任务，验证监控与告警）</w:t>
            </w:r>
          </w:p>
        </w:tc>
      </w:tr>
    </w:tbl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59" w:name="_Toc1864711219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性能验收</w:t>
      </w:r>
      <w:bookmarkEnd w:id="59"/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5547"/>
        <w:gridCol w:w="4553"/>
      </w:tblGrid>
      <w:tr>
        <w:tc>
          <w:tcPr>
            <w:tcW w:w="2768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default" w:eastAsia="仿宋_GB2312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验收项</w:t>
            </w:r>
          </w:p>
        </w:tc>
        <w:tc>
          <w:tcPr>
            <w:tcW w:w="5547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验收标准</w:t>
            </w:r>
          </w:p>
        </w:tc>
        <w:tc>
          <w:tcPr>
            <w:tcW w:w="4553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验收方式</w:t>
            </w:r>
          </w:p>
        </w:tc>
      </w:tr>
      <w:tr>
        <w:tc>
          <w:tcPr>
            <w:tcW w:w="2768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模型解析性能</w:t>
            </w:r>
          </w:p>
        </w:tc>
        <w:tc>
          <w:tcPr>
            <w:tcW w:w="5547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1GB模型解析耗时≤3</w:t>
            </w:r>
            <w:r>
              <w:rPr>
                <w:rFonts w:hint="eastAsia"/>
                <w:vertAlign w:val="baseline"/>
                <w:lang w:val="en-US" w:eastAsia="zh-CN"/>
              </w:rPr>
              <w:t>0</w:t>
            </w:r>
            <w:r>
              <w:rPr>
                <w:rFonts w:hint="eastAsia"/>
                <w:vertAlign w:val="baseline"/>
              </w:rPr>
              <w:t>秒，成功率≥99.5%</w:t>
            </w:r>
          </w:p>
        </w:tc>
        <w:tc>
          <w:tcPr>
            <w:tcW w:w="4553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测试10个1GB模型解析</w:t>
            </w:r>
          </w:p>
        </w:tc>
      </w:tr>
      <w:tr>
        <w:tc>
          <w:tcPr>
            <w:tcW w:w="2768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转换性能</w:t>
            </w:r>
          </w:p>
        </w:tc>
        <w:tc>
          <w:tcPr>
            <w:tcW w:w="5547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1GB模型转换至单平台≤</w:t>
            </w:r>
            <w:r>
              <w:rPr>
                <w:rFonts w:hint="eastAsia"/>
                <w:vertAlign w:val="baseline"/>
                <w:lang w:val="en-US" w:eastAsia="zh-CN"/>
              </w:rPr>
              <w:t>30</w:t>
            </w:r>
            <w:r>
              <w:rPr>
                <w:rFonts w:hint="eastAsia"/>
                <w:vertAlign w:val="baseline"/>
              </w:rPr>
              <w:t>分钟，成功率≥98%</w:t>
            </w:r>
          </w:p>
        </w:tc>
        <w:tc>
          <w:tcPr>
            <w:tcW w:w="4553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测试10个1GB模型转换</w:t>
            </w:r>
          </w:p>
        </w:tc>
      </w:tr>
      <w:tr>
        <w:tc>
          <w:tcPr>
            <w:tcW w:w="2768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可视化性能</w:t>
            </w:r>
          </w:p>
        </w:tc>
        <w:tc>
          <w:tcPr>
            <w:tcW w:w="5547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default" w:eastAsia="仿宋_GB2312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1000层模型初始渲染≤10秒，交互响应≤</w:t>
            </w:r>
            <w:r>
              <w:rPr>
                <w:rFonts w:hint="eastAsia"/>
                <w:vertAlign w:val="baseline"/>
                <w:lang w:val="en-US" w:eastAsia="zh-CN"/>
              </w:rPr>
              <w:t>3秒</w:t>
            </w:r>
          </w:p>
        </w:tc>
        <w:tc>
          <w:tcPr>
            <w:tcW w:w="4553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测试GPT-2（12层）、ResNet101（101层）可视化</w:t>
            </w:r>
          </w:p>
        </w:tc>
      </w:tr>
      <w:tr>
        <w:tc>
          <w:tcPr>
            <w:tcW w:w="2768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推理性能</w:t>
            </w:r>
          </w:p>
        </w:tc>
        <w:tc>
          <w:tcPr>
            <w:tcW w:w="5547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各平台推理延迟符合阈值（如RTX 4090≤</w:t>
            </w:r>
            <w:r>
              <w:rPr>
                <w:rFonts w:hint="eastAsia"/>
                <w:vertAlign w:val="baseline"/>
                <w:lang w:val="en-US" w:eastAsia="zh-CN"/>
              </w:rPr>
              <w:t>20</w:t>
            </w:r>
            <w:r>
              <w:rPr>
                <w:rFonts w:hint="eastAsia"/>
                <w:vertAlign w:val="baseline"/>
              </w:rPr>
              <w:t>0ms）</w:t>
            </w:r>
          </w:p>
        </w:tc>
        <w:tc>
          <w:tcPr>
            <w:tcW w:w="4553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测试YOLOv8在4类平台的推理延迟</w:t>
            </w:r>
          </w:p>
        </w:tc>
      </w:tr>
      <w:tr>
        <w:tc>
          <w:tcPr>
            <w:tcW w:w="2768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并发性能</w:t>
            </w:r>
          </w:p>
        </w:tc>
        <w:tc>
          <w:tcPr>
            <w:tcW w:w="5547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支持10用户并发操作、100任务队列，无卡顿</w:t>
            </w:r>
          </w:p>
        </w:tc>
        <w:tc>
          <w:tcPr>
            <w:tcW w:w="4553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压力测试工具模拟并发场景</w:t>
            </w:r>
          </w:p>
        </w:tc>
      </w:tr>
    </w:tbl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60" w:name="_Toc1972597062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文档验收</w:t>
      </w:r>
      <w:bookmarkEnd w:id="60"/>
    </w:p>
    <w:p>
      <w:pPr>
        <w:pStyle w:val="2"/>
        <w:ind w:firstLine="552"/>
        <w:rPr>
          <w:rFonts w:hint="eastAsia"/>
        </w:rPr>
      </w:pP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5547"/>
        <w:gridCol w:w="4553"/>
      </w:tblGrid>
      <w:tr>
        <w:tc>
          <w:tcPr>
            <w:tcW w:w="2768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default" w:eastAsia="仿宋_GB2312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验收项</w:t>
            </w:r>
          </w:p>
        </w:tc>
        <w:tc>
          <w:tcPr>
            <w:tcW w:w="5547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验收标准</w:t>
            </w:r>
          </w:p>
        </w:tc>
        <w:tc>
          <w:tcPr>
            <w:tcW w:w="4553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验收方式</w:t>
            </w:r>
          </w:p>
        </w:tc>
      </w:tr>
      <w:tr>
        <w:tc>
          <w:tcPr>
            <w:tcW w:w="2768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交付文档完整性</w:t>
            </w:r>
          </w:p>
        </w:tc>
        <w:tc>
          <w:tcPr>
            <w:tcW w:w="5547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包含《技术方案》《设计说明》《自测试报告》《用户手册》《自主可控测试报告》《软件授权书》 </w:t>
            </w:r>
          </w:p>
        </w:tc>
        <w:tc>
          <w:tcPr>
            <w:tcW w:w="4553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文档清单核对</w:t>
            </w:r>
          </w:p>
        </w:tc>
      </w:tr>
      <w:tr>
        <w:tc>
          <w:tcPr>
            <w:tcW w:w="2768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文档准确性</w:t>
            </w:r>
          </w:p>
        </w:tc>
        <w:tc>
          <w:tcPr>
            <w:tcW w:w="5547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文档内容与实际功能一致，无歧义、无错误</w:t>
            </w:r>
          </w:p>
        </w:tc>
        <w:tc>
          <w:tcPr>
            <w:tcW w:w="4553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随机抽查文档章节，与系统功能比对</w:t>
            </w:r>
          </w:p>
        </w:tc>
      </w:tr>
      <w:tr>
        <w:tc>
          <w:tcPr>
            <w:tcW w:w="2768" w:type="dxa"/>
          </w:tcPr>
          <w:p>
            <w:pPr>
              <w:pStyle w:val="2"/>
              <w:tabs>
                <w:tab w:val="left" w:pos="0"/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文档规范性</w:t>
            </w:r>
          </w:p>
        </w:tc>
        <w:tc>
          <w:tcPr>
            <w:tcW w:w="5547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文档格式统一（字体、页码、目录），语言通顺</w:t>
            </w:r>
          </w:p>
        </w:tc>
        <w:tc>
          <w:tcPr>
            <w:tcW w:w="4553" w:type="dxa"/>
          </w:tcPr>
          <w:p>
            <w:pPr>
              <w:pStyle w:val="2"/>
              <w:tabs>
                <w:tab w:val="left" w:pos="360"/>
                <w:tab w:val="left" w:pos="720"/>
              </w:tabs>
              <w:overflowPunct w:val="0"/>
              <w:autoSpaceDE w:val="0"/>
              <w:autoSpaceDN w:val="0"/>
              <w:adjustRightInd w:val="0"/>
              <w:spacing w:after="240"/>
              <w:ind w:left="0" w:leftChars="0" w:firstLine="0" w:firstLineChars="0"/>
              <w:textAlignment w:val="baseline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文档格式审查</w:t>
            </w:r>
          </w:p>
        </w:tc>
      </w:tr>
    </w:tbl>
    <w:p>
      <w:pPr>
        <w:pStyle w:val="2"/>
        <w:ind w:firstLine="552"/>
        <w:rPr>
          <w:rFonts w:hint="eastAsia"/>
        </w:rPr>
        <w:sectPr>
          <w:pgSz w:w="16840" w:h="11907" w:orient="landscape"/>
          <w:pgMar w:top="1587" w:right="2098" w:bottom="1474" w:left="1814" w:header="851" w:footer="1607" w:gutter="0"/>
          <w:cols w:space="720" w:num="1"/>
          <w:docGrid w:type="linesAndChars" w:linePitch="586" w:charSpace="-842"/>
        </w:sectPr>
      </w:pPr>
    </w:p>
    <w:p>
      <w:pPr>
        <w:pStyle w:val="2"/>
        <w:ind w:firstLine="552"/>
        <w:rPr>
          <w:rFonts w:hint="eastAsia"/>
        </w:rPr>
      </w:pPr>
    </w:p>
    <w:p>
      <w:pPr>
        <w:pStyle w:val="2"/>
        <w:ind w:firstLine="552"/>
        <w:rPr>
          <w:rFonts w:hint="eastAsia"/>
        </w:rPr>
      </w:pPr>
    </w:p>
    <w:p>
      <w:pPr>
        <w:numPr>
          <w:ilvl w:val="0"/>
          <w:numId w:val="1"/>
        </w:numPr>
        <w:tabs>
          <w:tab w:val="left" w:pos="0"/>
        </w:tabs>
        <w:ind w:left="425" w:leftChars="0" w:hanging="425" w:firstLineChars="0"/>
        <w:outlineLvl w:val="0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61" w:name="_Toc586278648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项目约束</w:t>
      </w:r>
      <w:bookmarkEnd w:id="61"/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62" w:name="_Toc930264500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时间约束</w:t>
      </w:r>
      <w:bookmarkEnd w:id="62"/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项目周期：总周期3个月（12周），具体里程碑：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需求调研与方案设计：第1-2周；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核心开发：第3-8周；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测试与优化：第9-10周；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 xml:space="preserve">   - 交付与培训：第11-12周；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交付时间：需在2025年11月30日前完成终验交付。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63" w:name="_Toc1274501340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资源约束</w:t>
      </w:r>
      <w:bookmarkEnd w:id="63"/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硬件约束：4类平台硬件型号需与需求一致（如华为Atlas 800、瑞芯微RK3588），甲方需提供试验场内网环境支持；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软件约束：开发工具链版本需符合要求（如CANN 7.0、TensorRT 8.6），禁止使用未授权软件。</w:t>
      </w:r>
    </w:p>
    <w:p>
      <w:pPr>
        <w:pStyle w:val="2"/>
        <w:ind w:firstLine="552"/>
        <w:rPr>
          <w:rFonts w:hint="eastAsia"/>
        </w:rPr>
      </w:pPr>
    </w:p>
    <w:p>
      <w:pPr>
        <w:numPr>
          <w:ilvl w:val="1"/>
          <w:numId w:val="1"/>
        </w:numPr>
        <w:tabs>
          <w:tab w:val="left" w:pos="0"/>
        </w:tabs>
        <w:ind w:left="850" w:leftChars="0" w:hanging="453" w:firstLineChars="0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bookmarkStart w:id="64" w:name="_Toc1542126202"/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技术约束</w:t>
      </w:r>
      <w:bookmarkEnd w:id="64"/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1. 标准遵循：模型转换需遵循ONNX标准（1.8~1.15版本），确保中间格式兼容性；</w:t>
      </w:r>
    </w:p>
    <w:p>
      <w:pPr>
        <w:pStyle w:val="2"/>
        <w:ind w:firstLine="552"/>
        <w:rPr>
          <w:rFonts w:hint="eastAsia"/>
        </w:rPr>
      </w:pPr>
      <w:r>
        <w:rPr>
          <w:rFonts w:hint="eastAsia"/>
        </w:rPr>
        <w:t>2. 环境约束：仅支持指定操作系统（Ubuntu 20.04+、麒麟v10等），不兼容其他系统；</w:t>
      </w:r>
    </w:p>
    <w:p>
      <w:pPr>
        <w:pStyle w:val="2"/>
        <w:ind w:firstLine="552"/>
      </w:pPr>
      <w:r>
        <w:rPr>
          <w:rFonts w:hint="eastAsia"/>
        </w:rPr>
        <w:t>3. 依赖约束：依赖第三方工具（如ATC、TensorRT）的稳定性，需与工具版本兼容。</w:t>
      </w:r>
    </w:p>
    <w:sectPr>
      <w:pgSz w:w="11907" w:h="16840"/>
      <w:pgMar w:top="2098" w:right="1474" w:bottom="1814" w:left="1587" w:header="851" w:footer="1607" w:gutter="0"/>
      <w:cols w:space="720" w:num="1"/>
      <w:docGrid w:type="linesAndChars" w:linePitch="586" w:charSpace="-84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52"/>
      </w:pPr>
      <w:r>
        <w:separator/>
      </w:r>
    </w:p>
  </w:endnote>
  <w:endnote w:type="continuationSeparator" w:id="1">
    <w:p>
      <w:pPr>
        <w:spacing w:line="240" w:lineRule="auto"/>
        <w:ind w:firstLine="55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CG Times (WN)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方正小标宋简体">
    <w:altName w:val="方正小标宋_GBK"/>
    <w:panose1 w:val="00000000000000000000"/>
    <w:charset w:val="86"/>
    <w:family w:val="script"/>
    <w:pitch w:val="default"/>
    <w:sig w:usb0="00000000" w:usb1="00000000" w:usb2="00000010" w:usb3="00000000" w:csb0="0004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ind w:firstLine="36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5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BYAAABk&#10;cnMvUEsBAhQAFAAAAAgAh07iQLNJWO7QAAAABQEAAA8AAAAAAAAAAQAgAAAAOAAAAGRycy9kb3du&#10;cmV2LnhtbFBLAQIUABQAAAAIAIdO4kCM1w58KgIAAFUEAAAOAAAAAAAAAAEAIAAAADU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5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552"/>
      </w:pPr>
      <w:r>
        <w:separator/>
      </w:r>
    </w:p>
  </w:footnote>
  <w:footnote w:type="continuationSeparator" w:id="1">
    <w:p>
      <w:pPr>
        <w:spacing w:line="240" w:lineRule="auto"/>
        <w:ind w:firstLine="55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2B3890"/>
    <w:multiLevelType w:val="multilevel"/>
    <w:tmpl w:val="6F2B389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850" w:hanging="453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2"/>
  <w:bordersDoNotSurroundHeader w:val="0"/>
  <w:bordersDoNotSurroundFooter w:val="0"/>
  <w:documentProtection w:enforcement="0"/>
  <w:defaultTabStop w:val="420"/>
  <w:drawingGridHorizontalSpacing w:val="103"/>
  <w:drawingGridVerticalSpacing w:val="29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C22"/>
    <w:rsid w:val="000001C3"/>
    <w:rsid w:val="00002E16"/>
    <w:rsid w:val="00004DC9"/>
    <w:rsid w:val="0000576B"/>
    <w:rsid w:val="00007961"/>
    <w:rsid w:val="00012C95"/>
    <w:rsid w:val="000152C3"/>
    <w:rsid w:val="0002356F"/>
    <w:rsid w:val="000248BA"/>
    <w:rsid w:val="000414EB"/>
    <w:rsid w:val="00044069"/>
    <w:rsid w:val="00056AF7"/>
    <w:rsid w:val="00057CA4"/>
    <w:rsid w:val="000643DA"/>
    <w:rsid w:val="00064F6B"/>
    <w:rsid w:val="00065EE6"/>
    <w:rsid w:val="000666D1"/>
    <w:rsid w:val="0007058F"/>
    <w:rsid w:val="00072071"/>
    <w:rsid w:val="000721F9"/>
    <w:rsid w:val="0007445B"/>
    <w:rsid w:val="00075832"/>
    <w:rsid w:val="00083640"/>
    <w:rsid w:val="00085DBA"/>
    <w:rsid w:val="00086504"/>
    <w:rsid w:val="000A0605"/>
    <w:rsid w:val="000A0664"/>
    <w:rsid w:val="000A6795"/>
    <w:rsid w:val="000A787B"/>
    <w:rsid w:val="000B1D19"/>
    <w:rsid w:val="000B2F0B"/>
    <w:rsid w:val="000B36F4"/>
    <w:rsid w:val="000B4013"/>
    <w:rsid w:val="000C5F9A"/>
    <w:rsid w:val="000D144A"/>
    <w:rsid w:val="000D2DC6"/>
    <w:rsid w:val="000D68AA"/>
    <w:rsid w:val="000E6DF1"/>
    <w:rsid w:val="000F14D6"/>
    <w:rsid w:val="00104204"/>
    <w:rsid w:val="00111083"/>
    <w:rsid w:val="00113FAB"/>
    <w:rsid w:val="00122A9F"/>
    <w:rsid w:val="00123368"/>
    <w:rsid w:val="00127DF2"/>
    <w:rsid w:val="00130235"/>
    <w:rsid w:val="00132B85"/>
    <w:rsid w:val="001343AF"/>
    <w:rsid w:val="00140E25"/>
    <w:rsid w:val="00143877"/>
    <w:rsid w:val="00146738"/>
    <w:rsid w:val="0014758B"/>
    <w:rsid w:val="0015073F"/>
    <w:rsid w:val="0015521D"/>
    <w:rsid w:val="00157827"/>
    <w:rsid w:val="00162764"/>
    <w:rsid w:val="00166293"/>
    <w:rsid w:val="00170E38"/>
    <w:rsid w:val="001819AF"/>
    <w:rsid w:val="00183197"/>
    <w:rsid w:val="001861F8"/>
    <w:rsid w:val="00190278"/>
    <w:rsid w:val="00192892"/>
    <w:rsid w:val="0019419B"/>
    <w:rsid w:val="00194269"/>
    <w:rsid w:val="001A0BF0"/>
    <w:rsid w:val="001A5B9C"/>
    <w:rsid w:val="001A7415"/>
    <w:rsid w:val="001B0C2A"/>
    <w:rsid w:val="001B2077"/>
    <w:rsid w:val="001B4EE9"/>
    <w:rsid w:val="001B7CC7"/>
    <w:rsid w:val="001C06E8"/>
    <w:rsid w:val="001C3E28"/>
    <w:rsid w:val="001C5535"/>
    <w:rsid w:val="001C661A"/>
    <w:rsid w:val="001C79FA"/>
    <w:rsid w:val="001D3729"/>
    <w:rsid w:val="001D3BE7"/>
    <w:rsid w:val="001D3F84"/>
    <w:rsid w:val="001D517F"/>
    <w:rsid w:val="001D7AA3"/>
    <w:rsid w:val="001E036C"/>
    <w:rsid w:val="001E420D"/>
    <w:rsid w:val="001E4385"/>
    <w:rsid w:val="001E5157"/>
    <w:rsid w:val="001E5870"/>
    <w:rsid w:val="001F211A"/>
    <w:rsid w:val="001F6974"/>
    <w:rsid w:val="0020100F"/>
    <w:rsid w:val="00203FE4"/>
    <w:rsid w:val="002048BF"/>
    <w:rsid w:val="00204B8F"/>
    <w:rsid w:val="00211B68"/>
    <w:rsid w:val="00213219"/>
    <w:rsid w:val="00215E5A"/>
    <w:rsid w:val="002167DA"/>
    <w:rsid w:val="00216DF5"/>
    <w:rsid w:val="00217E0D"/>
    <w:rsid w:val="0022025F"/>
    <w:rsid w:val="00221DDB"/>
    <w:rsid w:val="002250BC"/>
    <w:rsid w:val="0022553C"/>
    <w:rsid w:val="00225FE2"/>
    <w:rsid w:val="0023026F"/>
    <w:rsid w:val="0023349A"/>
    <w:rsid w:val="00235B79"/>
    <w:rsid w:val="002434D9"/>
    <w:rsid w:val="00243ADD"/>
    <w:rsid w:val="00244500"/>
    <w:rsid w:val="0025195D"/>
    <w:rsid w:val="00254667"/>
    <w:rsid w:val="00261D61"/>
    <w:rsid w:val="00265858"/>
    <w:rsid w:val="002708EE"/>
    <w:rsid w:val="002714C6"/>
    <w:rsid w:val="0027346B"/>
    <w:rsid w:val="002768D4"/>
    <w:rsid w:val="002837D3"/>
    <w:rsid w:val="00285637"/>
    <w:rsid w:val="00295CDC"/>
    <w:rsid w:val="0029649F"/>
    <w:rsid w:val="002A122B"/>
    <w:rsid w:val="002A44AB"/>
    <w:rsid w:val="002A6140"/>
    <w:rsid w:val="002B32AF"/>
    <w:rsid w:val="002B3D63"/>
    <w:rsid w:val="002B4183"/>
    <w:rsid w:val="002B543E"/>
    <w:rsid w:val="002B6B06"/>
    <w:rsid w:val="002B7125"/>
    <w:rsid w:val="002B73A6"/>
    <w:rsid w:val="002B7824"/>
    <w:rsid w:val="002C15B3"/>
    <w:rsid w:val="002C67F6"/>
    <w:rsid w:val="002D0E2D"/>
    <w:rsid w:val="002D2D49"/>
    <w:rsid w:val="002D33E0"/>
    <w:rsid w:val="002D3542"/>
    <w:rsid w:val="002D6550"/>
    <w:rsid w:val="002E05DD"/>
    <w:rsid w:val="002F6D48"/>
    <w:rsid w:val="002F7F38"/>
    <w:rsid w:val="00301F85"/>
    <w:rsid w:val="00302998"/>
    <w:rsid w:val="0030350B"/>
    <w:rsid w:val="003047A9"/>
    <w:rsid w:val="00305A18"/>
    <w:rsid w:val="00313C8F"/>
    <w:rsid w:val="00316069"/>
    <w:rsid w:val="00317151"/>
    <w:rsid w:val="00320304"/>
    <w:rsid w:val="00323FB1"/>
    <w:rsid w:val="00324CB2"/>
    <w:rsid w:val="00326909"/>
    <w:rsid w:val="00335198"/>
    <w:rsid w:val="0034249C"/>
    <w:rsid w:val="0034401C"/>
    <w:rsid w:val="00344BBF"/>
    <w:rsid w:val="00350662"/>
    <w:rsid w:val="00350C50"/>
    <w:rsid w:val="003519C3"/>
    <w:rsid w:val="00354894"/>
    <w:rsid w:val="00355C67"/>
    <w:rsid w:val="003629D4"/>
    <w:rsid w:val="003659A8"/>
    <w:rsid w:val="00373222"/>
    <w:rsid w:val="00381EFD"/>
    <w:rsid w:val="003821D3"/>
    <w:rsid w:val="00394CDD"/>
    <w:rsid w:val="00396ACA"/>
    <w:rsid w:val="003A3807"/>
    <w:rsid w:val="003A3D82"/>
    <w:rsid w:val="003A4A6A"/>
    <w:rsid w:val="003A4AFB"/>
    <w:rsid w:val="003B5437"/>
    <w:rsid w:val="003C7B98"/>
    <w:rsid w:val="003D11E0"/>
    <w:rsid w:val="003D148D"/>
    <w:rsid w:val="003D2824"/>
    <w:rsid w:val="003D7FD6"/>
    <w:rsid w:val="003E131A"/>
    <w:rsid w:val="003E28AA"/>
    <w:rsid w:val="003E74CD"/>
    <w:rsid w:val="003F0899"/>
    <w:rsid w:val="003F1B61"/>
    <w:rsid w:val="003F5CBA"/>
    <w:rsid w:val="003F5EF8"/>
    <w:rsid w:val="003F6A2E"/>
    <w:rsid w:val="00400C47"/>
    <w:rsid w:val="00402387"/>
    <w:rsid w:val="004060D3"/>
    <w:rsid w:val="00406E7D"/>
    <w:rsid w:val="004078DA"/>
    <w:rsid w:val="00411D79"/>
    <w:rsid w:val="004157EB"/>
    <w:rsid w:val="00416FCB"/>
    <w:rsid w:val="004212EA"/>
    <w:rsid w:val="00423067"/>
    <w:rsid w:val="00425EEF"/>
    <w:rsid w:val="00430E40"/>
    <w:rsid w:val="00432C6A"/>
    <w:rsid w:val="00435FF4"/>
    <w:rsid w:val="0043712C"/>
    <w:rsid w:val="004373B3"/>
    <w:rsid w:val="00444D3D"/>
    <w:rsid w:val="004458DD"/>
    <w:rsid w:val="0044615D"/>
    <w:rsid w:val="00446DB2"/>
    <w:rsid w:val="00451A40"/>
    <w:rsid w:val="00452835"/>
    <w:rsid w:val="00452CE8"/>
    <w:rsid w:val="00457817"/>
    <w:rsid w:val="00460D6E"/>
    <w:rsid w:val="0046144E"/>
    <w:rsid w:val="0046370F"/>
    <w:rsid w:val="00474CC0"/>
    <w:rsid w:val="0047615C"/>
    <w:rsid w:val="0048111E"/>
    <w:rsid w:val="00481B8A"/>
    <w:rsid w:val="00483562"/>
    <w:rsid w:val="00484803"/>
    <w:rsid w:val="00484F86"/>
    <w:rsid w:val="00490831"/>
    <w:rsid w:val="00492042"/>
    <w:rsid w:val="004930FC"/>
    <w:rsid w:val="00493800"/>
    <w:rsid w:val="00496002"/>
    <w:rsid w:val="00497C19"/>
    <w:rsid w:val="004A0E44"/>
    <w:rsid w:val="004A1AE7"/>
    <w:rsid w:val="004A684A"/>
    <w:rsid w:val="004B2617"/>
    <w:rsid w:val="004B3A50"/>
    <w:rsid w:val="004B4145"/>
    <w:rsid w:val="004B4EF2"/>
    <w:rsid w:val="004B5961"/>
    <w:rsid w:val="004D131A"/>
    <w:rsid w:val="004D191F"/>
    <w:rsid w:val="004D2673"/>
    <w:rsid w:val="004D2FF8"/>
    <w:rsid w:val="004D3230"/>
    <w:rsid w:val="004D43A8"/>
    <w:rsid w:val="004D6BDC"/>
    <w:rsid w:val="004D7A74"/>
    <w:rsid w:val="004E3A23"/>
    <w:rsid w:val="004E4F03"/>
    <w:rsid w:val="004F07D7"/>
    <w:rsid w:val="004F288D"/>
    <w:rsid w:val="0050016F"/>
    <w:rsid w:val="00502125"/>
    <w:rsid w:val="00503F72"/>
    <w:rsid w:val="00504555"/>
    <w:rsid w:val="00506225"/>
    <w:rsid w:val="00507C53"/>
    <w:rsid w:val="005113FE"/>
    <w:rsid w:val="00511821"/>
    <w:rsid w:val="00512155"/>
    <w:rsid w:val="00514BDE"/>
    <w:rsid w:val="00516EF9"/>
    <w:rsid w:val="00520414"/>
    <w:rsid w:val="00522FE3"/>
    <w:rsid w:val="00523FD8"/>
    <w:rsid w:val="0052449B"/>
    <w:rsid w:val="00526507"/>
    <w:rsid w:val="005270E4"/>
    <w:rsid w:val="00535167"/>
    <w:rsid w:val="00535DBD"/>
    <w:rsid w:val="00537B16"/>
    <w:rsid w:val="0054098F"/>
    <w:rsid w:val="00542B9C"/>
    <w:rsid w:val="00543E95"/>
    <w:rsid w:val="00546FF6"/>
    <w:rsid w:val="0054782F"/>
    <w:rsid w:val="00552F8F"/>
    <w:rsid w:val="005623AC"/>
    <w:rsid w:val="00565742"/>
    <w:rsid w:val="00565F51"/>
    <w:rsid w:val="00567B8C"/>
    <w:rsid w:val="00571C4B"/>
    <w:rsid w:val="005728C7"/>
    <w:rsid w:val="00572BA2"/>
    <w:rsid w:val="00573B22"/>
    <w:rsid w:val="005755F8"/>
    <w:rsid w:val="00583C95"/>
    <w:rsid w:val="00583EAB"/>
    <w:rsid w:val="005843F8"/>
    <w:rsid w:val="00587E75"/>
    <w:rsid w:val="00591ED6"/>
    <w:rsid w:val="00593C33"/>
    <w:rsid w:val="005A3FBA"/>
    <w:rsid w:val="005A71E8"/>
    <w:rsid w:val="005B3F18"/>
    <w:rsid w:val="005C1358"/>
    <w:rsid w:val="005C22FC"/>
    <w:rsid w:val="005C451F"/>
    <w:rsid w:val="005C6D73"/>
    <w:rsid w:val="005C6E0C"/>
    <w:rsid w:val="005C76BF"/>
    <w:rsid w:val="005D252D"/>
    <w:rsid w:val="005D2CDF"/>
    <w:rsid w:val="005D2F9E"/>
    <w:rsid w:val="005D588C"/>
    <w:rsid w:val="005D772D"/>
    <w:rsid w:val="005E3CB6"/>
    <w:rsid w:val="005E593A"/>
    <w:rsid w:val="005E61B3"/>
    <w:rsid w:val="005F52E6"/>
    <w:rsid w:val="00601A26"/>
    <w:rsid w:val="00601D22"/>
    <w:rsid w:val="00605A1F"/>
    <w:rsid w:val="00605F41"/>
    <w:rsid w:val="0060726B"/>
    <w:rsid w:val="006072E5"/>
    <w:rsid w:val="00610275"/>
    <w:rsid w:val="00610A21"/>
    <w:rsid w:val="006111E6"/>
    <w:rsid w:val="00615445"/>
    <w:rsid w:val="0061614D"/>
    <w:rsid w:val="006221BC"/>
    <w:rsid w:val="00623D82"/>
    <w:rsid w:val="00625953"/>
    <w:rsid w:val="00634E51"/>
    <w:rsid w:val="00636E18"/>
    <w:rsid w:val="00640181"/>
    <w:rsid w:val="006429B7"/>
    <w:rsid w:val="00646E36"/>
    <w:rsid w:val="00647239"/>
    <w:rsid w:val="006514CE"/>
    <w:rsid w:val="00652A01"/>
    <w:rsid w:val="00661138"/>
    <w:rsid w:val="00661932"/>
    <w:rsid w:val="0066772D"/>
    <w:rsid w:val="006704F9"/>
    <w:rsid w:val="00674EB6"/>
    <w:rsid w:val="00675C51"/>
    <w:rsid w:val="006767E2"/>
    <w:rsid w:val="00676D8D"/>
    <w:rsid w:val="00677DD6"/>
    <w:rsid w:val="00680050"/>
    <w:rsid w:val="00680DA2"/>
    <w:rsid w:val="0068338D"/>
    <w:rsid w:val="00684134"/>
    <w:rsid w:val="00685BFB"/>
    <w:rsid w:val="006915FC"/>
    <w:rsid w:val="006965F1"/>
    <w:rsid w:val="00696D92"/>
    <w:rsid w:val="006A35DD"/>
    <w:rsid w:val="006A5094"/>
    <w:rsid w:val="006A645C"/>
    <w:rsid w:val="006A7B1B"/>
    <w:rsid w:val="006B03AB"/>
    <w:rsid w:val="006B122F"/>
    <w:rsid w:val="006B5B39"/>
    <w:rsid w:val="006B607B"/>
    <w:rsid w:val="006B6232"/>
    <w:rsid w:val="006C2490"/>
    <w:rsid w:val="006C33E2"/>
    <w:rsid w:val="006C3FB3"/>
    <w:rsid w:val="006C6539"/>
    <w:rsid w:val="006C69FF"/>
    <w:rsid w:val="006C796C"/>
    <w:rsid w:val="006D1348"/>
    <w:rsid w:val="006D1AEF"/>
    <w:rsid w:val="006E198E"/>
    <w:rsid w:val="006F15DD"/>
    <w:rsid w:val="006F2F3D"/>
    <w:rsid w:val="006F374A"/>
    <w:rsid w:val="006F3939"/>
    <w:rsid w:val="006F3BCC"/>
    <w:rsid w:val="006F6C3B"/>
    <w:rsid w:val="006F7D5C"/>
    <w:rsid w:val="00701B61"/>
    <w:rsid w:val="0070569C"/>
    <w:rsid w:val="00712E6B"/>
    <w:rsid w:val="00726280"/>
    <w:rsid w:val="00726C94"/>
    <w:rsid w:val="00735645"/>
    <w:rsid w:val="0073789F"/>
    <w:rsid w:val="00742CEB"/>
    <w:rsid w:val="0074498A"/>
    <w:rsid w:val="00755D43"/>
    <w:rsid w:val="007617B8"/>
    <w:rsid w:val="00763370"/>
    <w:rsid w:val="007640A4"/>
    <w:rsid w:val="00766FA6"/>
    <w:rsid w:val="0077297B"/>
    <w:rsid w:val="007741CC"/>
    <w:rsid w:val="00774622"/>
    <w:rsid w:val="007748D9"/>
    <w:rsid w:val="00777833"/>
    <w:rsid w:val="007800EB"/>
    <w:rsid w:val="007843D9"/>
    <w:rsid w:val="00786366"/>
    <w:rsid w:val="00787D43"/>
    <w:rsid w:val="007905B5"/>
    <w:rsid w:val="00791171"/>
    <w:rsid w:val="00791D76"/>
    <w:rsid w:val="00794120"/>
    <w:rsid w:val="00795651"/>
    <w:rsid w:val="007A10DD"/>
    <w:rsid w:val="007A674D"/>
    <w:rsid w:val="007A7B17"/>
    <w:rsid w:val="007B499A"/>
    <w:rsid w:val="007B6488"/>
    <w:rsid w:val="007B71F2"/>
    <w:rsid w:val="007C2B2D"/>
    <w:rsid w:val="007C2EE1"/>
    <w:rsid w:val="007C43C6"/>
    <w:rsid w:val="007C6692"/>
    <w:rsid w:val="007D04CB"/>
    <w:rsid w:val="007D3181"/>
    <w:rsid w:val="007E0737"/>
    <w:rsid w:val="007E1D7D"/>
    <w:rsid w:val="007E208C"/>
    <w:rsid w:val="007E57D6"/>
    <w:rsid w:val="007E5852"/>
    <w:rsid w:val="007E5A99"/>
    <w:rsid w:val="007F24A8"/>
    <w:rsid w:val="007F548D"/>
    <w:rsid w:val="007F7FB5"/>
    <w:rsid w:val="00807DFD"/>
    <w:rsid w:val="0081187C"/>
    <w:rsid w:val="0081469E"/>
    <w:rsid w:val="00815997"/>
    <w:rsid w:val="00820539"/>
    <w:rsid w:val="00822658"/>
    <w:rsid w:val="008254E5"/>
    <w:rsid w:val="008358A1"/>
    <w:rsid w:val="00836DA6"/>
    <w:rsid w:val="00842EF2"/>
    <w:rsid w:val="00842F68"/>
    <w:rsid w:val="00844517"/>
    <w:rsid w:val="00844AE4"/>
    <w:rsid w:val="00847392"/>
    <w:rsid w:val="008518F8"/>
    <w:rsid w:val="00855B97"/>
    <w:rsid w:val="00861E15"/>
    <w:rsid w:val="00862A4F"/>
    <w:rsid w:val="00863FE3"/>
    <w:rsid w:val="008706A3"/>
    <w:rsid w:val="00873FF0"/>
    <w:rsid w:val="008758F7"/>
    <w:rsid w:val="00875D5B"/>
    <w:rsid w:val="008829C4"/>
    <w:rsid w:val="008857BC"/>
    <w:rsid w:val="008911FD"/>
    <w:rsid w:val="008A067F"/>
    <w:rsid w:val="008A592E"/>
    <w:rsid w:val="008A6C70"/>
    <w:rsid w:val="008B5EA2"/>
    <w:rsid w:val="008C6B81"/>
    <w:rsid w:val="008C6E4D"/>
    <w:rsid w:val="008D0007"/>
    <w:rsid w:val="008D4E0A"/>
    <w:rsid w:val="008D52D8"/>
    <w:rsid w:val="008E2680"/>
    <w:rsid w:val="008F289B"/>
    <w:rsid w:val="008F578A"/>
    <w:rsid w:val="0090309F"/>
    <w:rsid w:val="00906FBC"/>
    <w:rsid w:val="00907351"/>
    <w:rsid w:val="009165C2"/>
    <w:rsid w:val="009212E6"/>
    <w:rsid w:val="009220B7"/>
    <w:rsid w:val="00924D2A"/>
    <w:rsid w:val="00931157"/>
    <w:rsid w:val="00932ACC"/>
    <w:rsid w:val="00932F2E"/>
    <w:rsid w:val="00934AD8"/>
    <w:rsid w:val="00936C99"/>
    <w:rsid w:val="00936FE1"/>
    <w:rsid w:val="009431EB"/>
    <w:rsid w:val="00947017"/>
    <w:rsid w:val="00950843"/>
    <w:rsid w:val="0095550C"/>
    <w:rsid w:val="00955778"/>
    <w:rsid w:val="00964C0B"/>
    <w:rsid w:val="00967EA4"/>
    <w:rsid w:val="00970256"/>
    <w:rsid w:val="009706C2"/>
    <w:rsid w:val="00972422"/>
    <w:rsid w:val="009743C0"/>
    <w:rsid w:val="009776D6"/>
    <w:rsid w:val="009824F3"/>
    <w:rsid w:val="00983BC7"/>
    <w:rsid w:val="00983EE2"/>
    <w:rsid w:val="00984A54"/>
    <w:rsid w:val="00990989"/>
    <w:rsid w:val="00995389"/>
    <w:rsid w:val="009A0713"/>
    <w:rsid w:val="009A3D81"/>
    <w:rsid w:val="009A5496"/>
    <w:rsid w:val="009A7DA8"/>
    <w:rsid w:val="009B1AE0"/>
    <w:rsid w:val="009B2138"/>
    <w:rsid w:val="009B4E6E"/>
    <w:rsid w:val="009B70CB"/>
    <w:rsid w:val="009B7622"/>
    <w:rsid w:val="009C00EF"/>
    <w:rsid w:val="009C1672"/>
    <w:rsid w:val="009C5DFA"/>
    <w:rsid w:val="009C6195"/>
    <w:rsid w:val="009C7EE6"/>
    <w:rsid w:val="009D0864"/>
    <w:rsid w:val="009D215A"/>
    <w:rsid w:val="009D3FD8"/>
    <w:rsid w:val="009D4E6A"/>
    <w:rsid w:val="009E06B0"/>
    <w:rsid w:val="009E10F1"/>
    <w:rsid w:val="009E183A"/>
    <w:rsid w:val="009E2B5D"/>
    <w:rsid w:val="009E2D72"/>
    <w:rsid w:val="009E53D8"/>
    <w:rsid w:val="009E5BAB"/>
    <w:rsid w:val="009E7D30"/>
    <w:rsid w:val="009F0D73"/>
    <w:rsid w:val="009F1B1F"/>
    <w:rsid w:val="009F1D10"/>
    <w:rsid w:val="009F5DA9"/>
    <w:rsid w:val="00A02B76"/>
    <w:rsid w:val="00A05A54"/>
    <w:rsid w:val="00A10499"/>
    <w:rsid w:val="00A12495"/>
    <w:rsid w:val="00A15F4C"/>
    <w:rsid w:val="00A178A7"/>
    <w:rsid w:val="00A17F8F"/>
    <w:rsid w:val="00A20EFE"/>
    <w:rsid w:val="00A20F4E"/>
    <w:rsid w:val="00A21836"/>
    <w:rsid w:val="00A218AD"/>
    <w:rsid w:val="00A233D9"/>
    <w:rsid w:val="00A27F9F"/>
    <w:rsid w:val="00A308FC"/>
    <w:rsid w:val="00A352BB"/>
    <w:rsid w:val="00A35658"/>
    <w:rsid w:val="00A37ABB"/>
    <w:rsid w:val="00A4098D"/>
    <w:rsid w:val="00A42BA6"/>
    <w:rsid w:val="00A4553E"/>
    <w:rsid w:val="00A471EB"/>
    <w:rsid w:val="00A616EB"/>
    <w:rsid w:val="00A61A82"/>
    <w:rsid w:val="00A643FD"/>
    <w:rsid w:val="00A74666"/>
    <w:rsid w:val="00A74DD6"/>
    <w:rsid w:val="00A75B83"/>
    <w:rsid w:val="00A816C0"/>
    <w:rsid w:val="00A83D33"/>
    <w:rsid w:val="00A844F3"/>
    <w:rsid w:val="00A853CA"/>
    <w:rsid w:val="00A91F92"/>
    <w:rsid w:val="00A95904"/>
    <w:rsid w:val="00AA06FB"/>
    <w:rsid w:val="00AA2777"/>
    <w:rsid w:val="00AA3472"/>
    <w:rsid w:val="00AA523B"/>
    <w:rsid w:val="00AA7348"/>
    <w:rsid w:val="00AA7CB5"/>
    <w:rsid w:val="00AB3507"/>
    <w:rsid w:val="00AB4BB3"/>
    <w:rsid w:val="00AB5E0B"/>
    <w:rsid w:val="00AB75DF"/>
    <w:rsid w:val="00AC4411"/>
    <w:rsid w:val="00AC6591"/>
    <w:rsid w:val="00AD0099"/>
    <w:rsid w:val="00AD0A12"/>
    <w:rsid w:val="00AD27E3"/>
    <w:rsid w:val="00AD45C3"/>
    <w:rsid w:val="00AD64F3"/>
    <w:rsid w:val="00AE2060"/>
    <w:rsid w:val="00AE333D"/>
    <w:rsid w:val="00AE351A"/>
    <w:rsid w:val="00AE52A9"/>
    <w:rsid w:val="00AE76D0"/>
    <w:rsid w:val="00AF0247"/>
    <w:rsid w:val="00AF43D2"/>
    <w:rsid w:val="00AF59F6"/>
    <w:rsid w:val="00B03716"/>
    <w:rsid w:val="00B05B0E"/>
    <w:rsid w:val="00B11D49"/>
    <w:rsid w:val="00B12D1E"/>
    <w:rsid w:val="00B15764"/>
    <w:rsid w:val="00B15FF4"/>
    <w:rsid w:val="00B16C3B"/>
    <w:rsid w:val="00B17F4C"/>
    <w:rsid w:val="00B200C8"/>
    <w:rsid w:val="00B20A0B"/>
    <w:rsid w:val="00B232F0"/>
    <w:rsid w:val="00B252C1"/>
    <w:rsid w:val="00B25FF0"/>
    <w:rsid w:val="00B3350B"/>
    <w:rsid w:val="00B41676"/>
    <w:rsid w:val="00B55C1F"/>
    <w:rsid w:val="00B565DE"/>
    <w:rsid w:val="00B57480"/>
    <w:rsid w:val="00B6189B"/>
    <w:rsid w:val="00B671C2"/>
    <w:rsid w:val="00B7518D"/>
    <w:rsid w:val="00B75C5E"/>
    <w:rsid w:val="00B80248"/>
    <w:rsid w:val="00B8054D"/>
    <w:rsid w:val="00B82997"/>
    <w:rsid w:val="00B8491A"/>
    <w:rsid w:val="00B84F91"/>
    <w:rsid w:val="00B91F8E"/>
    <w:rsid w:val="00B920C8"/>
    <w:rsid w:val="00B93DC2"/>
    <w:rsid w:val="00B940FA"/>
    <w:rsid w:val="00B966A0"/>
    <w:rsid w:val="00BA1BD7"/>
    <w:rsid w:val="00BA2C5F"/>
    <w:rsid w:val="00BA5DE5"/>
    <w:rsid w:val="00BB5B15"/>
    <w:rsid w:val="00BB6265"/>
    <w:rsid w:val="00BC4308"/>
    <w:rsid w:val="00BE0A6A"/>
    <w:rsid w:val="00BE3D96"/>
    <w:rsid w:val="00BE5E0C"/>
    <w:rsid w:val="00BF346E"/>
    <w:rsid w:val="00BF40B0"/>
    <w:rsid w:val="00BF5377"/>
    <w:rsid w:val="00BF65C0"/>
    <w:rsid w:val="00BF75AE"/>
    <w:rsid w:val="00C00AAC"/>
    <w:rsid w:val="00C03ED0"/>
    <w:rsid w:val="00C0402E"/>
    <w:rsid w:val="00C040D7"/>
    <w:rsid w:val="00C04B9C"/>
    <w:rsid w:val="00C04D0C"/>
    <w:rsid w:val="00C10BE6"/>
    <w:rsid w:val="00C11F11"/>
    <w:rsid w:val="00C14257"/>
    <w:rsid w:val="00C164E8"/>
    <w:rsid w:val="00C231C0"/>
    <w:rsid w:val="00C25F4F"/>
    <w:rsid w:val="00C310FD"/>
    <w:rsid w:val="00C31C1A"/>
    <w:rsid w:val="00C32BB7"/>
    <w:rsid w:val="00C45FCD"/>
    <w:rsid w:val="00C4602C"/>
    <w:rsid w:val="00C47238"/>
    <w:rsid w:val="00C5047A"/>
    <w:rsid w:val="00C504DC"/>
    <w:rsid w:val="00C533F1"/>
    <w:rsid w:val="00C556F5"/>
    <w:rsid w:val="00C572E0"/>
    <w:rsid w:val="00C577A2"/>
    <w:rsid w:val="00C60524"/>
    <w:rsid w:val="00C60553"/>
    <w:rsid w:val="00C6114F"/>
    <w:rsid w:val="00C62306"/>
    <w:rsid w:val="00C66622"/>
    <w:rsid w:val="00C70A23"/>
    <w:rsid w:val="00C74404"/>
    <w:rsid w:val="00C75CFD"/>
    <w:rsid w:val="00C76F1B"/>
    <w:rsid w:val="00C854D5"/>
    <w:rsid w:val="00C85CC3"/>
    <w:rsid w:val="00C87D4B"/>
    <w:rsid w:val="00C9256C"/>
    <w:rsid w:val="00CB0016"/>
    <w:rsid w:val="00CB00BB"/>
    <w:rsid w:val="00CB32F6"/>
    <w:rsid w:val="00CB3E6E"/>
    <w:rsid w:val="00CB57CF"/>
    <w:rsid w:val="00CB5EFC"/>
    <w:rsid w:val="00CC1FC4"/>
    <w:rsid w:val="00CC274F"/>
    <w:rsid w:val="00CC3DFA"/>
    <w:rsid w:val="00CC42B1"/>
    <w:rsid w:val="00CC5451"/>
    <w:rsid w:val="00CC5D21"/>
    <w:rsid w:val="00CC7F35"/>
    <w:rsid w:val="00CD3032"/>
    <w:rsid w:val="00CD7060"/>
    <w:rsid w:val="00CE3879"/>
    <w:rsid w:val="00CE49CF"/>
    <w:rsid w:val="00CE51C1"/>
    <w:rsid w:val="00CE5952"/>
    <w:rsid w:val="00D0108A"/>
    <w:rsid w:val="00D0267B"/>
    <w:rsid w:val="00D0338A"/>
    <w:rsid w:val="00D10138"/>
    <w:rsid w:val="00D10FF0"/>
    <w:rsid w:val="00D15707"/>
    <w:rsid w:val="00D15B7D"/>
    <w:rsid w:val="00D169A3"/>
    <w:rsid w:val="00D208E0"/>
    <w:rsid w:val="00D2272A"/>
    <w:rsid w:val="00D25DBC"/>
    <w:rsid w:val="00D25F14"/>
    <w:rsid w:val="00D32E78"/>
    <w:rsid w:val="00D3454D"/>
    <w:rsid w:val="00D376CB"/>
    <w:rsid w:val="00D437FC"/>
    <w:rsid w:val="00D43A1C"/>
    <w:rsid w:val="00D46742"/>
    <w:rsid w:val="00D509EC"/>
    <w:rsid w:val="00D5552E"/>
    <w:rsid w:val="00D62F35"/>
    <w:rsid w:val="00D638F9"/>
    <w:rsid w:val="00D64089"/>
    <w:rsid w:val="00D66F4E"/>
    <w:rsid w:val="00D71266"/>
    <w:rsid w:val="00D726D9"/>
    <w:rsid w:val="00D732A0"/>
    <w:rsid w:val="00D753F0"/>
    <w:rsid w:val="00D7716D"/>
    <w:rsid w:val="00D77D3B"/>
    <w:rsid w:val="00D80C4C"/>
    <w:rsid w:val="00D81F5F"/>
    <w:rsid w:val="00D8262E"/>
    <w:rsid w:val="00D83206"/>
    <w:rsid w:val="00D83C29"/>
    <w:rsid w:val="00D91231"/>
    <w:rsid w:val="00D97C88"/>
    <w:rsid w:val="00DA0BBF"/>
    <w:rsid w:val="00DA292E"/>
    <w:rsid w:val="00DA339C"/>
    <w:rsid w:val="00DA5578"/>
    <w:rsid w:val="00DA5CA1"/>
    <w:rsid w:val="00DA77CD"/>
    <w:rsid w:val="00DB005C"/>
    <w:rsid w:val="00DB1415"/>
    <w:rsid w:val="00DB1734"/>
    <w:rsid w:val="00DB5484"/>
    <w:rsid w:val="00DB5914"/>
    <w:rsid w:val="00DB619D"/>
    <w:rsid w:val="00DC0F60"/>
    <w:rsid w:val="00DC3705"/>
    <w:rsid w:val="00DC4B74"/>
    <w:rsid w:val="00DD0773"/>
    <w:rsid w:val="00DD5184"/>
    <w:rsid w:val="00DD6575"/>
    <w:rsid w:val="00DE1403"/>
    <w:rsid w:val="00DE2E3C"/>
    <w:rsid w:val="00DE5D01"/>
    <w:rsid w:val="00DF0EFD"/>
    <w:rsid w:val="00E00481"/>
    <w:rsid w:val="00E00DC7"/>
    <w:rsid w:val="00E03906"/>
    <w:rsid w:val="00E11197"/>
    <w:rsid w:val="00E15AD4"/>
    <w:rsid w:val="00E271E3"/>
    <w:rsid w:val="00E27E2F"/>
    <w:rsid w:val="00E355F4"/>
    <w:rsid w:val="00E43CB5"/>
    <w:rsid w:val="00E444C8"/>
    <w:rsid w:val="00E4525D"/>
    <w:rsid w:val="00E46C76"/>
    <w:rsid w:val="00E536DB"/>
    <w:rsid w:val="00E53D55"/>
    <w:rsid w:val="00E5503F"/>
    <w:rsid w:val="00E55E3C"/>
    <w:rsid w:val="00E61468"/>
    <w:rsid w:val="00E62873"/>
    <w:rsid w:val="00E63147"/>
    <w:rsid w:val="00E70AE6"/>
    <w:rsid w:val="00E71C96"/>
    <w:rsid w:val="00E72C22"/>
    <w:rsid w:val="00E730C2"/>
    <w:rsid w:val="00E85993"/>
    <w:rsid w:val="00E85A74"/>
    <w:rsid w:val="00E864E4"/>
    <w:rsid w:val="00E872F2"/>
    <w:rsid w:val="00E87E39"/>
    <w:rsid w:val="00E9083B"/>
    <w:rsid w:val="00E9137F"/>
    <w:rsid w:val="00E969E5"/>
    <w:rsid w:val="00E96C57"/>
    <w:rsid w:val="00EA19DD"/>
    <w:rsid w:val="00EA3C13"/>
    <w:rsid w:val="00EA5291"/>
    <w:rsid w:val="00EA6197"/>
    <w:rsid w:val="00EA7660"/>
    <w:rsid w:val="00EA7BE3"/>
    <w:rsid w:val="00EB3265"/>
    <w:rsid w:val="00EB5199"/>
    <w:rsid w:val="00EC457D"/>
    <w:rsid w:val="00EC4B17"/>
    <w:rsid w:val="00EC51FD"/>
    <w:rsid w:val="00EC67AD"/>
    <w:rsid w:val="00EC7E61"/>
    <w:rsid w:val="00ED745D"/>
    <w:rsid w:val="00EE3497"/>
    <w:rsid w:val="00EE3EAC"/>
    <w:rsid w:val="00EE6DEA"/>
    <w:rsid w:val="00EE7091"/>
    <w:rsid w:val="00EF11E0"/>
    <w:rsid w:val="00EF7F92"/>
    <w:rsid w:val="00F01996"/>
    <w:rsid w:val="00F02E64"/>
    <w:rsid w:val="00F1384A"/>
    <w:rsid w:val="00F1507E"/>
    <w:rsid w:val="00F1541E"/>
    <w:rsid w:val="00F21664"/>
    <w:rsid w:val="00F23645"/>
    <w:rsid w:val="00F25479"/>
    <w:rsid w:val="00F26F45"/>
    <w:rsid w:val="00F270B4"/>
    <w:rsid w:val="00F335AD"/>
    <w:rsid w:val="00F34245"/>
    <w:rsid w:val="00F45B8C"/>
    <w:rsid w:val="00F50082"/>
    <w:rsid w:val="00F531B3"/>
    <w:rsid w:val="00F534D6"/>
    <w:rsid w:val="00F55280"/>
    <w:rsid w:val="00F609C8"/>
    <w:rsid w:val="00F60C49"/>
    <w:rsid w:val="00F61EFC"/>
    <w:rsid w:val="00F62020"/>
    <w:rsid w:val="00F62791"/>
    <w:rsid w:val="00F66602"/>
    <w:rsid w:val="00F72609"/>
    <w:rsid w:val="00F8106A"/>
    <w:rsid w:val="00F854F5"/>
    <w:rsid w:val="00F87FB4"/>
    <w:rsid w:val="00F94DEB"/>
    <w:rsid w:val="00F95598"/>
    <w:rsid w:val="00FA040E"/>
    <w:rsid w:val="00FA0567"/>
    <w:rsid w:val="00FA1B2B"/>
    <w:rsid w:val="00FA76C3"/>
    <w:rsid w:val="00FB0A73"/>
    <w:rsid w:val="00FB74D8"/>
    <w:rsid w:val="00FC27C1"/>
    <w:rsid w:val="00FC35E0"/>
    <w:rsid w:val="00FC5DA4"/>
    <w:rsid w:val="00FC7E47"/>
    <w:rsid w:val="00FD18A6"/>
    <w:rsid w:val="00FD2979"/>
    <w:rsid w:val="00FE535B"/>
    <w:rsid w:val="00FE5EFD"/>
    <w:rsid w:val="00FE6224"/>
    <w:rsid w:val="00FE7AF0"/>
    <w:rsid w:val="00FF01F3"/>
    <w:rsid w:val="00FF48D6"/>
    <w:rsid w:val="00FF5189"/>
    <w:rsid w:val="00FF614D"/>
    <w:rsid w:val="00FF6D06"/>
    <w:rsid w:val="01617054"/>
    <w:rsid w:val="04D72BD5"/>
    <w:rsid w:val="05FF5384"/>
    <w:rsid w:val="07F4CAC0"/>
    <w:rsid w:val="080F04E4"/>
    <w:rsid w:val="0975631D"/>
    <w:rsid w:val="0A87637F"/>
    <w:rsid w:val="0B5B6518"/>
    <w:rsid w:val="0C8EBE2F"/>
    <w:rsid w:val="0D6A190E"/>
    <w:rsid w:val="0E9B848C"/>
    <w:rsid w:val="0F402A84"/>
    <w:rsid w:val="0FB7E061"/>
    <w:rsid w:val="0FBFFA1B"/>
    <w:rsid w:val="0FEBE8B2"/>
    <w:rsid w:val="118C38F0"/>
    <w:rsid w:val="13BF5DAD"/>
    <w:rsid w:val="13CDDE72"/>
    <w:rsid w:val="13E1E434"/>
    <w:rsid w:val="13FE7767"/>
    <w:rsid w:val="15BBF2AC"/>
    <w:rsid w:val="16DF9D1A"/>
    <w:rsid w:val="175FCB87"/>
    <w:rsid w:val="17BDE0B7"/>
    <w:rsid w:val="17BF7241"/>
    <w:rsid w:val="17F55369"/>
    <w:rsid w:val="18ED0F76"/>
    <w:rsid w:val="19311865"/>
    <w:rsid w:val="1937D7E5"/>
    <w:rsid w:val="19EDB001"/>
    <w:rsid w:val="1ADF09E3"/>
    <w:rsid w:val="1AEED6B1"/>
    <w:rsid w:val="1AF24A26"/>
    <w:rsid w:val="1BD33452"/>
    <w:rsid w:val="1BEB6640"/>
    <w:rsid w:val="1BFD872B"/>
    <w:rsid w:val="1CFEC0F1"/>
    <w:rsid w:val="1DAF0140"/>
    <w:rsid w:val="1DFC3C3A"/>
    <w:rsid w:val="1E67AADB"/>
    <w:rsid w:val="1EBFA404"/>
    <w:rsid w:val="1EDBC0A3"/>
    <w:rsid w:val="1EED0777"/>
    <w:rsid w:val="1EEF24D1"/>
    <w:rsid w:val="1EFF974C"/>
    <w:rsid w:val="1EFFC5A6"/>
    <w:rsid w:val="1EFFF465"/>
    <w:rsid w:val="1F3C5BE5"/>
    <w:rsid w:val="1F69DF5C"/>
    <w:rsid w:val="1F6DB827"/>
    <w:rsid w:val="1FDF8A0C"/>
    <w:rsid w:val="1FF78A7D"/>
    <w:rsid w:val="20F849A0"/>
    <w:rsid w:val="21E29FA9"/>
    <w:rsid w:val="22EE115D"/>
    <w:rsid w:val="237B21F8"/>
    <w:rsid w:val="23E9365C"/>
    <w:rsid w:val="23F9C932"/>
    <w:rsid w:val="23FE4233"/>
    <w:rsid w:val="25EE7428"/>
    <w:rsid w:val="27791E25"/>
    <w:rsid w:val="27BE72E1"/>
    <w:rsid w:val="27DB32B9"/>
    <w:rsid w:val="27F64451"/>
    <w:rsid w:val="27FFA76E"/>
    <w:rsid w:val="28834FAE"/>
    <w:rsid w:val="2AFF2431"/>
    <w:rsid w:val="2B426C9F"/>
    <w:rsid w:val="2BBA19E1"/>
    <w:rsid w:val="2BBDC055"/>
    <w:rsid w:val="2BF5A335"/>
    <w:rsid w:val="2CAB4095"/>
    <w:rsid w:val="2CFFDD42"/>
    <w:rsid w:val="2DBECC4A"/>
    <w:rsid w:val="2DFF2CEB"/>
    <w:rsid w:val="2EDCD09D"/>
    <w:rsid w:val="2F5FC39B"/>
    <w:rsid w:val="2F6744A3"/>
    <w:rsid w:val="2F763936"/>
    <w:rsid w:val="2F76D759"/>
    <w:rsid w:val="2F774B79"/>
    <w:rsid w:val="2F7FCA3C"/>
    <w:rsid w:val="2F87139F"/>
    <w:rsid w:val="2FA33AEB"/>
    <w:rsid w:val="2FAF06CB"/>
    <w:rsid w:val="2FBFAC98"/>
    <w:rsid w:val="2FCF1E3C"/>
    <w:rsid w:val="2FFE0A1D"/>
    <w:rsid w:val="31A0D86A"/>
    <w:rsid w:val="31E7D315"/>
    <w:rsid w:val="31E7FEE3"/>
    <w:rsid w:val="31FB83C9"/>
    <w:rsid w:val="327E1194"/>
    <w:rsid w:val="32E3EE3D"/>
    <w:rsid w:val="32F8D75D"/>
    <w:rsid w:val="335A2C95"/>
    <w:rsid w:val="33FDDF25"/>
    <w:rsid w:val="34EF3C84"/>
    <w:rsid w:val="355E12AD"/>
    <w:rsid w:val="35BF4692"/>
    <w:rsid w:val="35F7C4B4"/>
    <w:rsid w:val="35FF587C"/>
    <w:rsid w:val="366E8599"/>
    <w:rsid w:val="36BF067A"/>
    <w:rsid w:val="36EF6C48"/>
    <w:rsid w:val="36FF504A"/>
    <w:rsid w:val="371265F2"/>
    <w:rsid w:val="373F12EF"/>
    <w:rsid w:val="377FBBB7"/>
    <w:rsid w:val="37CD1A92"/>
    <w:rsid w:val="37CF9CB1"/>
    <w:rsid w:val="37DF949A"/>
    <w:rsid w:val="37E7FC12"/>
    <w:rsid w:val="37EDB537"/>
    <w:rsid w:val="37EF33F5"/>
    <w:rsid w:val="37F7ADEF"/>
    <w:rsid w:val="37FB9B27"/>
    <w:rsid w:val="387E32E1"/>
    <w:rsid w:val="38CEF9FC"/>
    <w:rsid w:val="3979277B"/>
    <w:rsid w:val="39C55E58"/>
    <w:rsid w:val="39DFCDFF"/>
    <w:rsid w:val="3A3B6683"/>
    <w:rsid w:val="3AB20CF9"/>
    <w:rsid w:val="3ADD16C6"/>
    <w:rsid w:val="3AED7FC4"/>
    <w:rsid w:val="3AFF462C"/>
    <w:rsid w:val="3AFFCBC2"/>
    <w:rsid w:val="3B679D9F"/>
    <w:rsid w:val="3B6EE4C8"/>
    <w:rsid w:val="3BB7C162"/>
    <w:rsid w:val="3BC79264"/>
    <w:rsid w:val="3BCF8025"/>
    <w:rsid w:val="3BEDA8A2"/>
    <w:rsid w:val="3BEDCCB7"/>
    <w:rsid w:val="3BEE42E2"/>
    <w:rsid w:val="3BEFF7C7"/>
    <w:rsid w:val="3BF6B54E"/>
    <w:rsid w:val="3BF74FCD"/>
    <w:rsid w:val="3BF75287"/>
    <w:rsid w:val="3BF7EB61"/>
    <w:rsid w:val="3BF7F5F7"/>
    <w:rsid w:val="3BF9E799"/>
    <w:rsid w:val="3BFA947F"/>
    <w:rsid w:val="3C7745C7"/>
    <w:rsid w:val="3C7E7976"/>
    <w:rsid w:val="3C7FB4F8"/>
    <w:rsid w:val="3CBB7E2E"/>
    <w:rsid w:val="3CDF5CA8"/>
    <w:rsid w:val="3CDF92D6"/>
    <w:rsid w:val="3D35CD28"/>
    <w:rsid w:val="3D6D2F03"/>
    <w:rsid w:val="3DBEE9A8"/>
    <w:rsid w:val="3DC49865"/>
    <w:rsid w:val="3DDD7ABD"/>
    <w:rsid w:val="3DFF0F82"/>
    <w:rsid w:val="3DFF70AC"/>
    <w:rsid w:val="3DFFF1A7"/>
    <w:rsid w:val="3E2FA3A7"/>
    <w:rsid w:val="3E3F8CAE"/>
    <w:rsid w:val="3EDB1FB3"/>
    <w:rsid w:val="3EDFF828"/>
    <w:rsid w:val="3EF7A335"/>
    <w:rsid w:val="3F1F1632"/>
    <w:rsid w:val="3F3B5AA1"/>
    <w:rsid w:val="3F3DC766"/>
    <w:rsid w:val="3F3E7C14"/>
    <w:rsid w:val="3F3FE443"/>
    <w:rsid w:val="3F57C50E"/>
    <w:rsid w:val="3F5D679C"/>
    <w:rsid w:val="3F7BD2B8"/>
    <w:rsid w:val="3F7E8B5F"/>
    <w:rsid w:val="3F7ECF2F"/>
    <w:rsid w:val="3F7F08F1"/>
    <w:rsid w:val="3F7FF7F5"/>
    <w:rsid w:val="3F850CD8"/>
    <w:rsid w:val="3FB57C08"/>
    <w:rsid w:val="3FBD24B2"/>
    <w:rsid w:val="3FBEF6E4"/>
    <w:rsid w:val="3FBF4461"/>
    <w:rsid w:val="3FCFC42C"/>
    <w:rsid w:val="3FD110C1"/>
    <w:rsid w:val="3FE766B1"/>
    <w:rsid w:val="3FE7AAE7"/>
    <w:rsid w:val="3FEEC036"/>
    <w:rsid w:val="3FF759BB"/>
    <w:rsid w:val="3FFAB5DE"/>
    <w:rsid w:val="3FFB14B0"/>
    <w:rsid w:val="3FFB3E64"/>
    <w:rsid w:val="3FFB7251"/>
    <w:rsid w:val="3FFE09DB"/>
    <w:rsid w:val="3FFF2A78"/>
    <w:rsid w:val="3FFF3F46"/>
    <w:rsid w:val="3FFFB25E"/>
    <w:rsid w:val="3FFFF997"/>
    <w:rsid w:val="4355F141"/>
    <w:rsid w:val="446F6198"/>
    <w:rsid w:val="449D395A"/>
    <w:rsid w:val="46CC20B1"/>
    <w:rsid w:val="46DF4403"/>
    <w:rsid w:val="46EE10A3"/>
    <w:rsid w:val="475F2FF8"/>
    <w:rsid w:val="47BA7E1E"/>
    <w:rsid w:val="47D5D761"/>
    <w:rsid w:val="47DE3EA7"/>
    <w:rsid w:val="47ED286A"/>
    <w:rsid w:val="47F5CCF1"/>
    <w:rsid w:val="47FF40FE"/>
    <w:rsid w:val="47FF4C68"/>
    <w:rsid w:val="4B7C357A"/>
    <w:rsid w:val="4BB64510"/>
    <w:rsid w:val="4BBB1789"/>
    <w:rsid w:val="4BE50C7D"/>
    <w:rsid w:val="4D7EA4D3"/>
    <w:rsid w:val="4DDBD69E"/>
    <w:rsid w:val="4DDF95E1"/>
    <w:rsid w:val="4DF7CF85"/>
    <w:rsid w:val="4E614DB4"/>
    <w:rsid w:val="4EFD1883"/>
    <w:rsid w:val="4F2D521A"/>
    <w:rsid w:val="4F708015"/>
    <w:rsid w:val="4F73F223"/>
    <w:rsid w:val="4FA77A58"/>
    <w:rsid w:val="4FB05370"/>
    <w:rsid w:val="4FBEACBA"/>
    <w:rsid w:val="4FBEBC4F"/>
    <w:rsid w:val="4FBF1DE3"/>
    <w:rsid w:val="4FDD2E4F"/>
    <w:rsid w:val="4FE6EB1F"/>
    <w:rsid w:val="4FEC76EF"/>
    <w:rsid w:val="4FED8C0B"/>
    <w:rsid w:val="4FF37BB7"/>
    <w:rsid w:val="4FF79B4E"/>
    <w:rsid w:val="4FFAC840"/>
    <w:rsid w:val="4FFE644E"/>
    <w:rsid w:val="4FFFA2E7"/>
    <w:rsid w:val="4FFFE735"/>
    <w:rsid w:val="51F7CD5F"/>
    <w:rsid w:val="5231383A"/>
    <w:rsid w:val="52E72486"/>
    <w:rsid w:val="52FB6C78"/>
    <w:rsid w:val="533F88E4"/>
    <w:rsid w:val="53AEF7EE"/>
    <w:rsid w:val="53EFE7B4"/>
    <w:rsid w:val="543FD237"/>
    <w:rsid w:val="5456ADCF"/>
    <w:rsid w:val="547F719E"/>
    <w:rsid w:val="54CDB972"/>
    <w:rsid w:val="54DB1282"/>
    <w:rsid w:val="54F7EE4A"/>
    <w:rsid w:val="555E4999"/>
    <w:rsid w:val="55651104"/>
    <w:rsid w:val="55D7EC3E"/>
    <w:rsid w:val="55EA39AC"/>
    <w:rsid w:val="567BF25F"/>
    <w:rsid w:val="567CB1DD"/>
    <w:rsid w:val="567F9A32"/>
    <w:rsid w:val="56FF24E5"/>
    <w:rsid w:val="5734406F"/>
    <w:rsid w:val="57763A75"/>
    <w:rsid w:val="57DD7842"/>
    <w:rsid w:val="57E98872"/>
    <w:rsid w:val="57EA7DF7"/>
    <w:rsid w:val="57EB7694"/>
    <w:rsid w:val="57F6CEBE"/>
    <w:rsid w:val="57FC77CD"/>
    <w:rsid w:val="585DE389"/>
    <w:rsid w:val="58BA15BD"/>
    <w:rsid w:val="59C35FE3"/>
    <w:rsid w:val="59D3F208"/>
    <w:rsid w:val="59FE1829"/>
    <w:rsid w:val="5A578E22"/>
    <w:rsid w:val="5AED2F16"/>
    <w:rsid w:val="5AFF8092"/>
    <w:rsid w:val="5B3D2200"/>
    <w:rsid w:val="5B6FC649"/>
    <w:rsid w:val="5B7B8CAE"/>
    <w:rsid w:val="5BCF1086"/>
    <w:rsid w:val="5BDD2FE4"/>
    <w:rsid w:val="5BDE973D"/>
    <w:rsid w:val="5BDFED82"/>
    <w:rsid w:val="5BEDC226"/>
    <w:rsid w:val="5BF7795F"/>
    <w:rsid w:val="5BFDE532"/>
    <w:rsid w:val="5BFF44D2"/>
    <w:rsid w:val="5C7F1143"/>
    <w:rsid w:val="5C8D88FF"/>
    <w:rsid w:val="5CBD396C"/>
    <w:rsid w:val="5CDF519E"/>
    <w:rsid w:val="5CFEAEED"/>
    <w:rsid w:val="5D334F80"/>
    <w:rsid w:val="5D5F525D"/>
    <w:rsid w:val="5D7835C8"/>
    <w:rsid w:val="5D7FAC51"/>
    <w:rsid w:val="5D9F37FB"/>
    <w:rsid w:val="5DBF524C"/>
    <w:rsid w:val="5DCF4648"/>
    <w:rsid w:val="5DDEC59F"/>
    <w:rsid w:val="5DEBFF83"/>
    <w:rsid w:val="5DEE6A47"/>
    <w:rsid w:val="5DEE8B6B"/>
    <w:rsid w:val="5DF623FF"/>
    <w:rsid w:val="5DFB3D82"/>
    <w:rsid w:val="5DFBC89B"/>
    <w:rsid w:val="5E1FB625"/>
    <w:rsid w:val="5E5FBFB6"/>
    <w:rsid w:val="5E69665D"/>
    <w:rsid w:val="5EAFB552"/>
    <w:rsid w:val="5ECF9A41"/>
    <w:rsid w:val="5EDC56C3"/>
    <w:rsid w:val="5EE20294"/>
    <w:rsid w:val="5EEB5492"/>
    <w:rsid w:val="5F078159"/>
    <w:rsid w:val="5F3C2E8C"/>
    <w:rsid w:val="5F3FDD33"/>
    <w:rsid w:val="5F4F1E19"/>
    <w:rsid w:val="5F6C5B58"/>
    <w:rsid w:val="5F6EA5BA"/>
    <w:rsid w:val="5F7ABE09"/>
    <w:rsid w:val="5F7D5466"/>
    <w:rsid w:val="5F7EC57E"/>
    <w:rsid w:val="5F9DC50A"/>
    <w:rsid w:val="5FA7E56D"/>
    <w:rsid w:val="5FB7E624"/>
    <w:rsid w:val="5FB7F9C1"/>
    <w:rsid w:val="5FC6E95F"/>
    <w:rsid w:val="5FCF15F8"/>
    <w:rsid w:val="5FCF4A17"/>
    <w:rsid w:val="5FD352A7"/>
    <w:rsid w:val="5FD373AB"/>
    <w:rsid w:val="5FD533B2"/>
    <w:rsid w:val="5FD58E60"/>
    <w:rsid w:val="5FD871EC"/>
    <w:rsid w:val="5FDB81F2"/>
    <w:rsid w:val="5FDBABEF"/>
    <w:rsid w:val="5FDFB192"/>
    <w:rsid w:val="5FEF2FD5"/>
    <w:rsid w:val="5FEF9826"/>
    <w:rsid w:val="5FF142DA"/>
    <w:rsid w:val="5FFA15D5"/>
    <w:rsid w:val="5FFA5E60"/>
    <w:rsid w:val="5FFAD372"/>
    <w:rsid w:val="5FFDC2BA"/>
    <w:rsid w:val="5FFF9739"/>
    <w:rsid w:val="60FFFF79"/>
    <w:rsid w:val="61D37311"/>
    <w:rsid w:val="63FE2398"/>
    <w:rsid w:val="63FF8A98"/>
    <w:rsid w:val="64A10EFC"/>
    <w:rsid w:val="657CA567"/>
    <w:rsid w:val="65EE8F23"/>
    <w:rsid w:val="65F78A56"/>
    <w:rsid w:val="65FE06B4"/>
    <w:rsid w:val="66AFE7C0"/>
    <w:rsid w:val="66DA5B44"/>
    <w:rsid w:val="66FDFF0F"/>
    <w:rsid w:val="677B7F33"/>
    <w:rsid w:val="67BDAC26"/>
    <w:rsid w:val="67BF6B8D"/>
    <w:rsid w:val="67CBE482"/>
    <w:rsid w:val="67DB8204"/>
    <w:rsid w:val="67DD4155"/>
    <w:rsid w:val="67FF340C"/>
    <w:rsid w:val="67FFA883"/>
    <w:rsid w:val="67FFCED6"/>
    <w:rsid w:val="68DB932F"/>
    <w:rsid w:val="68F7C78E"/>
    <w:rsid w:val="694B24E5"/>
    <w:rsid w:val="697D16B6"/>
    <w:rsid w:val="6A3744DD"/>
    <w:rsid w:val="6AC53F49"/>
    <w:rsid w:val="6AD903BC"/>
    <w:rsid w:val="6AF29AA6"/>
    <w:rsid w:val="6B5A59D0"/>
    <w:rsid w:val="6B6F78A3"/>
    <w:rsid w:val="6B7E92DB"/>
    <w:rsid w:val="6BAE21C5"/>
    <w:rsid w:val="6BB5FECC"/>
    <w:rsid w:val="6BBF4630"/>
    <w:rsid w:val="6BD51720"/>
    <w:rsid w:val="6BDFE5D9"/>
    <w:rsid w:val="6BEF583A"/>
    <w:rsid w:val="6BEF893E"/>
    <w:rsid w:val="6CD9FBF0"/>
    <w:rsid w:val="6CDACFA9"/>
    <w:rsid w:val="6D5537DB"/>
    <w:rsid w:val="6D7F3F7E"/>
    <w:rsid w:val="6D8A7E91"/>
    <w:rsid w:val="6DAF6B5E"/>
    <w:rsid w:val="6DC759DB"/>
    <w:rsid w:val="6DD7269E"/>
    <w:rsid w:val="6DEFC88C"/>
    <w:rsid w:val="6DEFF41C"/>
    <w:rsid w:val="6DF03D5D"/>
    <w:rsid w:val="6DFE3428"/>
    <w:rsid w:val="6DFFE02F"/>
    <w:rsid w:val="6E2AEFCC"/>
    <w:rsid w:val="6E37F56A"/>
    <w:rsid w:val="6E697415"/>
    <w:rsid w:val="6EB7495C"/>
    <w:rsid w:val="6EBE216F"/>
    <w:rsid w:val="6ED5C7F4"/>
    <w:rsid w:val="6EE73A44"/>
    <w:rsid w:val="6EE9679F"/>
    <w:rsid w:val="6EEBD667"/>
    <w:rsid w:val="6EEDDA4A"/>
    <w:rsid w:val="6EF736ED"/>
    <w:rsid w:val="6EFF8EF7"/>
    <w:rsid w:val="6F273D87"/>
    <w:rsid w:val="6F3B5D30"/>
    <w:rsid w:val="6F40FE6C"/>
    <w:rsid w:val="6F4DACAB"/>
    <w:rsid w:val="6F4F48D2"/>
    <w:rsid w:val="6F4FE53E"/>
    <w:rsid w:val="6F6B834D"/>
    <w:rsid w:val="6F6DAE5B"/>
    <w:rsid w:val="6F752CEC"/>
    <w:rsid w:val="6F77B270"/>
    <w:rsid w:val="6F944B2A"/>
    <w:rsid w:val="6FA7B582"/>
    <w:rsid w:val="6FBB0424"/>
    <w:rsid w:val="6FBF24E1"/>
    <w:rsid w:val="6FBF9973"/>
    <w:rsid w:val="6FD97685"/>
    <w:rsid w:val="6FDD9EA0"/>
    <w:rsid w:val="6FDDC880"/>
    <w:rsid w:val="6FDEF113"/>
    <w:rsid w:val="6FDF8F81"/>
    <w:rsid w:val="6FE30577"/>
    <w:rsid w:val="6FED00F5"/>
    <w:rsid w:val="6FEE79D7"/>
    <w:rsid w:val="6FEF5B94"/>
    <w:rsid w:val="6FF3EA1E"/>
    <w:rsid w:val="6FF5B26A"/>
    <w:rsid w:val="6FFB1B92"/>
    <w:rsid w:val="6FFE42C8"/>
    <w:rsid w:val="6FFF3FC0"/>
    <w:rsid w:val="6FFF4DCE"/>
    <w:rsid w:val="6FFF58EA"/>
    <w:rsid w:val="6FFFE7D0"/>
    <w:rsid w:val="70064A8A"/>
    <w:rsid w:val="7137956E"/>
    <w:rsid w:val="7137C9F3"/>
    <w:rsid w:val="71AE5A93"/>
    <w:rsid w:val="71EE0919"/>
    <w:rsid w:val="71FF7A19"/>
    <w:rsid w:val="71FFDB67"/>
    <w:rsid w:val="727B4D69"/>
    <w:rsid w:val="72BD5705"/>
    <w:rsid w:val="72BF404B"/>
    <w:rsid w:val="72BF7F08"/>
    <w:rsid w:val="72E9EE00"/>
    <w:rsid w:val="739FFB77"/>
    <w:rsid w:val="73AFF2B0"/>
    <w:rsid w:val="73EFD223"/>
    <w:rsid w:val="73F7D2E0"/>
    <w:rsid w:val="73FBDB4E"/>
    <w:rsid w:val="743F6C31"/>
    <w:rsid w:val="749A1661"/>
    <w:rsid w:val="74BB2C06"/>
    <w:rsid w:val="74BF8AF6"/>
    <w:rsid w:val="74F6DD3A"/>
    <w:rsid w:val="74FF2FE9"/>
    <w:rsid w:val="753C6E4F"/>
    <w:rsid w:val="757D2FE1"/>
    <w:rsid w:val="757DB36B"/>
    <w:rsid w:val="75B025B7"/>
    <w:rsid w:val="75DFF3C6"/>
    <w:rsid w:val="75ED1EA7"/>
    <w:rsid w:val="75F7FF0C"/>
    <w:rsid w:val="75FB852D"/>
    <w:rsid w:val="75FBA5FF"/>
    <w:rsid w:val="75FEA1C4"/>
    <w:rsid w:val="75FF3409"/>
    <w:rsid w:val="75FF3B38"/>
    <w:rsid w:val="75FF4808"/>
    <w:rsid w:val="765F9002"/>
    <w:rsid w:val="76885A64"/>
    <w:rsid w:val="76B56C36"/>
    <w:rsid w:val="76BEDBDB"/>
    <w:rsid w:val="76DFD783"/>
    <w:rsid w:val="76E9BE08"/>
    <w:rsid w:val="76EDD4B7"/>
    <w:rsid w:val="76F97A9D"/>
    <w:rsid w:val="76FF30E1"/>
    <w:rsid w:val="76FF4C6B"/>
    <w:rsid w:val="76FF7AA3"/>
    <w:rsid w:val="76FFE749"/>
    <w:rsid w:val="77469588"/>
    <w:rsid w:val="775F0F64"/>
    <w:rsid w:val="775FD645"/>
    <w:rsid w:val="7767ACA0"/>
    <w:rsid w:val="776E3FCB"/>
    <w:rsid w:val="777AB915"/>
    <w:rsid w:val="777EB764"/>
    <w:rsid w:val="777FA15B"/>
    <w:rsid w:val="77ABA689"/>
    <w:rsid w:val="77ABFA51"/>
    <w:rsid w:val="77BE4579"/>
    <w:rsid w:val="77BF1206"/>
    <w:rsid w:val="77BF22F6"/>
    <w:rsid w:val="77BFFF5E"/>
    <w:rsid w:val="77CD8939"/>
    <w:rsid w:val="77CFC2E1"/>
    <w:rsid w:val="77D10B98"/>
    <w:rsid w:val="77DF4D66"/>
    <w:rsid w:val="77E5CF05"/>
    <w:rsid w:val="77E8FD5E"/>
    <w:rsid w:val="77EF93D4"/>
    <w:rsid w:val="77F2593F"/>
    <w:rsid w:val="77F7111E"/>
    <w:rsid w:val="77F98C65"/>
    <w:rsid w:val="77FA22D7"/>
    <w:rsid w:val="77FB0740"/>
    <w:rsid w:val="77FBA4F3"/>
    <w:rsid w:val="77FBC721"/>
    <w:rsid w:val="77FD5F6B"/>
    <w:rsid w:val="77FF4F5F"/>
    <w:rsid w:val="780F8180"/>
    <w:rsid w:val="78CC51DC"/>
    <w:rsid w:val="78E7FA49"/>
    <w:rsid w:val="790F61BA"/>
    <w:rsid w:val="79BDE938"/>
    <w:rsid w:val="79EF8013"/>
    <w:rsid w:val="79F5BB04"/>
    <w:rsid w:val="79FBEC19"/>
    <w:rsid w:val="79FD3E54"/>
    <w:rsid w:val="79FF0BE5"/>
    <w:rsid w:val="79FFBFB5"/>
    <w:rsid w:val="7A17211E"/>
    <w:rsid w:val="7A6F11FB"/>
    <w:rsid w:val="7A7A226C"/>
    <w:rsid w:val="7A7D65DB"/>
    <w:rsid w:val="7AB8427D"/>
    <w:rsid w:val="7AB9684C"/>
    <w:rsid w:val="7ABE0416"/>
    <w:rsid w:val="7AC6CDA2"/>
    <w:rsid w:val="7AD34EE8"/>
    <w:rsid w:val="7AE5B948"/>
    <w:rsid w:val="7AF69EEB"/>
    <w:rsid w:val="7AFF197C"/>
    <w:rsid w:val="7AFF7C7A"/>
    <w:rsid w:val="7B1B3176"/>
    <w:rsid w:val="7B1BE903"/>
    <w:rsid w:val="7B273B6F"/>
    <w:rsid w:val="7B27C8CE"/>
    <w:rsid w:val="7B3F6955"/>
    <w:rsid w:val="7B6673A0"/>
    <w:rsid w:val="7B6BD23A"/>
    <w:rsid w:val="7B7B7E75"/>
    <w:rsid w:val="7B7CF4C0"/>
    <w:rsid w:val="7BB0748F"/>
    <w:rsid w:val="7BBB8D66"/>
    <w:rsid w:val="7BBDFADE"/>
    <w:rsid w:val="7BBEF88D"/>
    <w:rsid w:val="7BCEF75A"/>
    <w:rsid w:val="7BCF527B"/>
    <w:rsid w:val="7BCFEFF3"/>
    <w:rsid w:val="7BD7D99A"/>
    <w:rsid w:val="7BDE2740"/>
    <w:rsid w:val="7BEED50C"/>
    <w:rsid w:val="7BEF6243"/>
    <w:rsid w:val="7BEFFC0F"/>
    <w:rsid w:val="7BF751A3"/>
    <w:rsid w:val="7BFA6474"/>
    <w:rsid w:val="7BFB4053"/>
    <w:rsid w:val="7BFC3110"/>
    <w:rsid w:val="7BFE5AE3"/>
    <w:rsid w:val="7BFEB7E2"/>
    <w:rsid w:val="7BFF04F8"/>
    <w:rsid w:val="7BFF897D"/>
    <w:rsid w:val="7BFFFAB8"/>
    <w:rsid w:val="7C6EBB48"/>
    <w:rsid w:val="7C7E5750"/>
    <w:rsid w:val="7C7EC642"/>
    <w:rsid w:val="7C8FB977"/>
    <w:rsid w:val="7C9D52D6"/>
    <w:rsid w:val="7CA74695"/>
    <w:rsid w:val="7CBA3D0E"/>
    <w:rsid w:val="7CD7C18E"/>
    <w:rsid w:val="7CDE23AA"/>
    <w:rsid w:val="7CEF7E1A"/>
    <w:rsid w:val="7CF4748F"/>
    <w:rsid w:val="7CFC2639"/>
    <w:rsid w:val="7CFFBAE9"/>
    <w:rsid w:val="7D2F1AC8"/>
    <w:rsid w:val="7D3337AC"/>
    <w:rsid w:val="7D3F29CC"/>
    <w:rsid w:val="7D6BFC9B"/>
    <w:rsid w:val="7D6F0D2E"/>
    <w:rsid w:val="7D7E5ED7"/>
    <w:rsid w:val="7D9E28CF"/>
    <w:rsid w:val="7DAAF974"/>
    <w:rsid w:val="7DAC70F7"/>
    <w:rsid w:val="7DB54F19"/>
    <w:rsid w:val="7DBE5BE0"/>
    <w:rsid w:val="7DBF9B46"/>
    <w:rsid w:val="7DD6C7CD"/>
    <w:rsid w:val="7DD78A3A"/>
    <w:rsid w:val="7DE6B79E"/>
    <w:rsid w:val="7DEEEA6C"/>
    <w:rsid w:val="7DF383AF"/>
    <w:rsid w:val="7DF447EE"/>
    <w:rsid w:val="7DF46CB1"/>
    <w:rsid w:val="7DF6EB3D"/>
    <w:rsid w:val="7DF71714"/>
    <w:rsid w:val="7DF75BCA"/>
    <w:rsid w:val="7DF7EB43"/>
    <w:rsid w:val="7DFC6A27"/>
    <w:rsid w:val="7DFD72E4"/>
    <w:rsid w:val="7DFDAB90"/>
    <w:rsid w:val="7DFF2BC0"/>
    <w:rsid w:val="7DFF8A72"/>
    <w:rsid w:val="7DFFA802"/>
    <w:rsid w:val="7DFFB2BC"/>
    <w:rsid w:val="7E4C3A44"/>
    <w:rsid w:val="7E552158"/>
    <w:rsid w:val="7E57FDEA"/>
    <w:rsid w:val="7E7766C4"/>
    <w:rsid w:val="7E7FC3F2"/>
    <w:rsid w:val="7EAF1E64"/>
    <w:rsid w:val="7EB1863A"/>
    <w:rsid w:val="7EB3EBC1"/>
    <w:rsid w:val="7EB78124"/>
    <w:rsid w:val="7EBFB47C"/>
    <w:rsid w:val="7EBFC90C"/>
    <w:rsid w:val="7ECF3D47"/>
    <w:rsid w:val="7ED5F175"/>
    <w:rsid w:val="7ED7C3F9"/>
    <w:rsid w:val="7EDF97BE"/>
    <w:rsid w:val="7EDFF9A9"/>
    <w:rsid w:val="7EEF5F8E"/>
    <w:rsid w:val="7EF7841B"/>
    <w:rsid w:val="7EF7A465"/>
    <w:rsid w:val="7EF7BF15"/>
    <w:rsid w:val="7EFC9D0E"/>
    <w:rsid w:val="7EFCC33B"/>
    <w:rsid w:val="7EFE3B31"/>
    <w:rsid w:val="7EFF239E"/>
    <w:rsid w:val="7EFF71E4"/>
    <w:rsid w:val="7EFFA1E6"/>
    <w:rsid w:val="7EFFBE28"/>
    <w:rsid w:val="7EFFD10C"/>
    <w:rsid w:val="7F1A34C8"/>
    <w:rsid w:val="7F1DDA85"/>
    <w:rsid w:val="7F2FC58A"/>
    <w:rsid w:val="7F4A60DC"/>
    <w:rsid w:val="7F5BE956"/>
    <w:rsid w:val="7F63DD95"/>
    <w:rsid w:val="7F68F708"/>
    <w:rsid w:val="7F69F5AD"/>
    <w:rsid w:val="7F6BBE08"/>
    <w:rsid w:val="7F6BE879"/>
    <w:rsid w:val="7F6E92A3"/>
    <w:rsid w:val="7F6F3B78"/>
    <w:rsid w:val="7F6F522A"/>
    <w:rsid w:val="7F6F567D"/>
    <w:rsid w:val="7F6F9027"/>
    <w:rsid w:val="7F73120A"/>
    <w:rsid w:val="7F775E90"/>
    <w:rsid w:val="7F793ED1"/>
    <w:rsid w:val="7F7B0611"/>
    <w:rsid w:val="7F7C6F75"/>
    <w:rsid w:val="7F7CA03E"/>
    <w:rsid w:val="7F7DCBDE"/>
    <w:rsid w:val="7F7EFD20"/>
    <w:rsid w:val="7F7F6585"/>
    <w:rsid w:val="7F7F6971"/>
    <w:rsid w:val="7F7F9028"/>
    <w:rsid w:val="7F977102"/>
    <w:rsid w:val="7F9CEE26"/>
    <w:rsid w:val="7FA3C754"/>
    <w:rsid w:val="7FA5F992"/>
    <w:rsid w:val="7FAF2F54"/>
    <w:rsid w:val="7FAFBDCB"/>
    <w:rsid w:val="7FB63681"/>
    <w:rsid w:val="7FB71BF0"/>
    <w:rsid w:val="7FB7DF0D"/>
    <w:rsid w:val="7FB7E069"/>
    <w:rsid w:val="7FBAA09F"/>
    <w:rsid w:val="7FBCE797"/>
    <w:rsid w:val="7FBD42B7"/>
    <w:rsid w:val="7FBDD404"/>
    <w:rsid w:val="7FBEAF09"/>
    <w:rsid w:val="7FBF8CB7"/>
    <w:rsid w:val="7FBFE9ED"/>
    <w:rsid w:val="7FCD99E7"/>
    <w:rsid w:val="7FD57716"/>
    <w:rsid w:val="7FD77269"/>
    <w:rsid w:val="7FD96A24"/>
    <w:rsid w:val="7FDBF1EE"/>
    <w:rsid w:val="7FDCE172"/>
    <w:rsid w:val="7FDF7C4C"/>
    <w:rsid w:val="7FDFB824"/>
    <w:rsid w:val="7FE8E232"/>
    <w:rsid w:val="7FEBBFEF"/>
    <w:rsid w:val="7FECE753"/>
    <w:rsid w:val="7FED4758"/>
    <w:rsid w:val="7FED5235"/>
    <w:rsid w:val="7FED8FEA"/>
    <w:rsid w:val="7FEEC322"/>
    <w:rsid w:val="7FEF036B"/>
    <w:rsid w:val="7FEFAAFB"/>
    <w:rsid w:val="7FEFC11D"/>
    <w:rsid w:val="7FEFE8D9"/>
    <w:rsid w:val="7FF1E9B1"/>
    <w:rsid w:val="7FF315BD"/>
    <w:rsid w:val="7FF3AFDE"/>
    <w:rsid w:val="7FF3B16D"/>
    <w:rsid w:val="7FF6C314"/>
    <w:rsid w:val="7FF79D7C"/>
    <w:rsid w:val="7FF7ED06"/>
    <w:rsid w:val="7FF933BF"/>
    <w:rsid w:val="7FFB0518"/>
    <w:rsid w:val="7FFB1D6D"/>
    <w:rsid w:val="7FFB9109"/>
    <w:rsid w:val="7FFC9FBC"/>
    <w:rsid w:val="7FFD2262"/>
    <w:rsid w:val="7FFD427A"/>
    <w:rsid w:val="7FFD4CE7"/>
    <w:rsid w:val="7FFD4DBC"/>
    <w:rsid w:val="7FFD569B"/>
    <w:rsid w:val="7FFD8E4C"/>
    <w:rsid w:val="7FFDE86D"/>
    <w:rsid w:val="7FFE2F30"/>
    <w:rsid w:val="7FFE821D"/>
    <w:rsid w:val="7FFEBD08"/>
    <w:rsid w:val="7FFF1D73"/>
    <w:rsid w:val="7FFF3829"/>
    <w:rsid w:val="7FFF4727"/>
    <w:rsid w:val="7FFF487E"/>
    <w:rsid w:val="7FFF489D"/>
    <w:rsid w:val="7FFF7FE8"/>
    <w:rsid w:val="7FFF8A76"/>
    <w:rsid w:val="7FFF969E"/>
    <w:rsid w:val="7FFF97ED"/>
    <w:rsid w:val="7FFF9BE7"/>
    <w:rsid w:val="7FFFC868"/>
    <w:rsid w:val="817D706B"/>
    <w:rsid w:val="867FF56C"/>
    <w:rsid w:val="8747ECCD"/>
    <w:rsid w:val="8CFDB607"/>
    <w:rsid w:val="8D389DCF"/>
    <w:rsid w:val="8D5DA8D6"/>
    <w:rsid w:val="8D7BC87D"/>
    <w:rsid w:val="8E7F258A"/>
    <w:rsid w:val="8ED9CF29"/>
    <w:rsid w:val="8F8FA395"/>
    <w:rsid w:val="8FBFE5DB"/>
    <w:rsid w:val="8FE23320"/>
    <w:rsid w:val="8FFB5FE8"/>
    <w:rsid w:val="8FFF2E7B"/>
    <w:rsid w:val="91FE6101"/>
    <w:rsid w:val="9346BFB7"/>
    <w:rsid w:val="935FFD9A"/>
    <w:rsid w:val="937F18FD"/>
    <w:rsid w:val="93EBDD38"/>
    <w:rsid w:val="95B9C797"/>
    <w:rsid w:val="95D26E2A"/>
    <w:rsid w:val="95FF2349"/>
    <w:rsid w:val="97DF1702"/>
    <w:rsid w:val="97FEC7E9"/>
    <w:rsid w:val="97FF490F"/>
    <w:rsid w:val="97FF767B"/>
    <w:rsid w:val="98BEFF5E"/>
    <w:rsid w:val="993D6512"/>
    <w:rsid w:val="9969EDAF"/>
    <w:rsid w:val="9B5324A8"/>
    <w:rsid w:val="9B7D5B95"/>
    <w:rsid w:val="9BDFD176"/>
    <w:rsid w:val="9BFFA5AF"/>
    <w:rsid w:val="9D7DBE7B"/>
    <w:rsid w:val="9DE6BB5C"/>
    <w:rsid w:val="9DEC1B6D"/>
    <w:rsid w:val="9DEEA930"/>
    <w:rsid w:val="9E86AEA0"/>
    <w:rsid w:val="9EFDD14B"/>
    <w:rsid w:val="9F753739"/>
    <w:rsid w:val="9FAFFADC"/>
    <w:rsid w:val="9FBF177F"/>
    <w:rsid w:val="9FBF3EEA"/>
    <w:rsid w:val="9FDBFA67"/>
    <w:rsid w:val="9FF7CE95"/>
    <w:rsid w:val="9FFF239F"/>
    <w:rsid w:val="A3F795E7"/>
    <w:rsid w:val="A522F507"/>
    <w:rsid w:val="A56B58BC"/>
    <w:rsid w:val="A5FFA7E1"/>
    <w:rsid w:val="AB6E9B82"/>
    <w:rsid w:val="AB8C883A"/>
    <w:rsid w:val="ABFDB87F"/>
    <w:rsid w:val="ACBD1D7B"/>
    <w:rsid w:val="AD7FAE10"/>
    <w:rsid w:val="ADBDAB2F"/>
    <w:rsid w:val="ADCC1628"/>
    <w:rsid w:val="ADDFF2E9"/>
    <w:rsid w:val="ADF62821"/>
    <w:rsid w:val="ADFF1102"/>
    <w:rsid w:val="ADFFD75B"/>
    <w:rsid w:val="AE6E5B08"/>
    <w:rsid w:val="AE7F6AA5"/>
    <w:rsid w:val="AEB97FC6"/>
    <w:rsid w:val="AEE7F59F"/>
    <w:rsid w:val="AEE8B57B"/>
    <w:rsid w:val="AEEF788A"/>
    <w:rsid w:val="AEEFE667"/>
    <w:rsid w:val="AFBD9E67"/>
    <w:rsid w:val="AFCDFA02"/>
    <w:rsid w:val="AFDD8402"/>
    <w:rsid w:val="AFDF2F23"/>
    <w:rsid w:val="AFDF966C"/>
    <w:rsid w:val="AFE32D89"/>
    <w:rsid w:val="AFE72680"/>
    <w:rsid w:val="AFFBF1DC"/>
    <w:rsid w:val="AFFC391D"/>
    <w:rsid w:val="AFFFA5C7"/>
    <w:rsid w:val="B03DF12C"/>
    <w:rsid w:val="B1B309F8"/>
    <w:rsid w:val="B1FC3C29"/>
    <w:rsid w:val="B2DBC69E"/>
    <w:rsid w:val="B3EB79CD"/>
    <w:rsid w:val="B5391010"/>
    <w:rsid w:val="B5B57F68"/>
    <w:rsid w:val="B5B98A3D"/>
    <w:rsid w:val="B5EF7906"/>
    <w:rsid w:val="B61F896E"/>
    <w:rsid w:val="B6737035"/>
    <w:rsid w:val="B6910BE3"/>
    <w:rsid w:val="B6AEBCAF"/>
    <w:rsid w:val="B6FFF192"/>
    <w:rsid w:val="B7B330E7"/>
    <w:rsid w:val="B7BC283C"/>
    <w:rsid w:val="B7D6C1E8"/>
    <w:rsid w:val="B7DE9339"/>
    <w:rsid w:val="B7DFF803"/>
    <w:rsid w:val="B7F00D27"/>
    <w:rsid w:val="B7F20113"/>
    <w:rsid w:val="B7FBBCFD"/>
    <w:rsid w:val="B7FEA116"/>
    <w:rsid w:val="B7FF3281"/>
    <w:rsid w:val="B7FF581C"/>
    <w:rsid w:val="B9D29282"/>
    <w:rsid w:val="B9E310CB"/>
    <w:rsid w:val="B9EB770C"/>
    <w:rsid w:val="B9F7CC0A"/>
    <w:rsid w:val="B9FF0228"/>
    <w:rsid w:val="BA6B4849"/>
    <w:rsid w:val="BA6FA86D"/>
    <w:rsid w:val="BA7FF1C0"/>
    <w:rsid w:val="BA9D1934"/>
    <w:rsid w:val="BADB34BA"/>
    <w:rsid w:val="BAFA6FD7"/>
    <w:rsid w:val="BB6F6845"/>
    <w:rsid w:val="BB8F5497"/>
    <w:rsid w:val="BBEA33E0"/>
    <w:rsid w:val="BBFD37ED"/>
    <w:rsid w:val="BBFE4401"/>
    <w:rsid w:val="BBFF5BEB"/>
    <w:rsid w:val="BBFF9247"/>
    <w:rsid w:val="BBFFD73C"/>
    <w:rsid w:val="BCDEE392"/>
    <w:rsid w:val="BD6CAA59"/>
    <w:rsid w:val="BDBF2F88"/>
    <w:rsid w:val="BDCB35B0"/>
    <w:rsid w:val="BDEFC820"/>
    <w:rsid w:val="BE3E0B21"/>
    <w:rsid w:val="BE7D1A70"/>
    <w:rsid w:val="BEBBE9BA"/>
    <w:rsid w:val="BEF7FA7F"/>
    <w:rsid w:val="BEFA3967"/>
    <w:rsid w:val="BEFB4D4C"/>
    <w:rsid w:val="BEFB56D8"/>
    <w:rsid w:val="BEFB8CB0"/>
    <w:rsid w:val="BEFD15BB"/>
    <w:rsid w:val="BEFFE72E"/>
    <w:rsid w:val="BF334904"/>
    <w:rsid w:val="BF530A3A"/>
    <w:rsid w:val="BF5DEB5F"/>
    <w:rsid w:val="BF6F3DB7"/>
    <w:rsid w:val="BF73910C"/>
    <w:rsid w:val="BF7F02B0"/>
    <w:rsid w:val="BF8EE063"/>
    <w:rsid w:val="BFA6C871"/>
    <w:rsid w:val="BFAB2E6C"/>
    <w:rsid w:val="BFAFB998"/>
    <w:rsid w:val="BFB2A940"/>
    <w:rsid w:val="BFBDA3A1"/>
    <w:rsid w:val="BFCDF1FB"/>
    <w:rsid w:val="BFDBDD86"/>
    <w:rsid w:val="BFDEE87E"/>
    <w:rsid w:val="BFDF6E94"/>
    <w:rsid w:val="BFEF4FDB"/>
    <w:rsid w:val="BFEF82CE"/>
    <w:rsid w:val="BFEFF2BA"/>
    <w:rsid w:val="BFF5943F"/>
    <w:rsid w:val="BFF5BCE2"/>
    <w:rsid w:val="BFF672F3"/>
    <w:rsid w:val="BFF7C2FA"/>
    <w:rsid w:val="BFFA3D16"/>
    <w:rsid w:val="BFFD97C7"/>
    <w:rsid w:val="BFFDDA05"/>
    <w:rsid w:val="BFFDDD63"/>
    <w:rsid w:val="BFFE2ECD"/>
    <w:rsid w:val="BFFE9632"/>
    <w:rsid w:val="BFFF07A0"/>
    <w:rsid w:val="BFFF5B24"/>
    <w:rsid w:val="BFFF8ECB"/>
    <w:rsid w:val="C2C95F8B"/>
    <w:rsid w:val="C3AF203A"/>
    <w:rsid w:val="C3DF8342"/>
    <w:rsid w:val="C3ED876C"/>
    <w:rsid w:val="C3FF5092"/>
    <w:rsid w:val="C4B7D4F3"/>
    <w:rsid w:val="C61FEB81"/>
    <w:rsid w:val="C6724BBD"/>
    <w:rsid w:val="C6BE25E8"/>
    <w:rsid w:val="C77CCF5F"/>
    <w:rsid w:val="C7E5D34A"/>
    <w:rsid w:val="C8EBE89D"/>
    <w:rsid w:val="C8FF0AA8"/>
    <w:rsid w:val="C94D6574"/>
    <w:rsid w:val="C95FCD69"/>
    <w:rsid w:val="CABEC2F6"/>
    <w:rsid w:val="CAD5AA4D"/>
    <w:rsid w:val="CBD68E04"/>
    <w:rsid w:val="CBF5D351"/>
    <w:rsid w:val="CD4A323B"/>
    <w:rsid w:val="CD5FA88D"/>
    <w:rsid w:val="CDCBDF43"/>
    <w:rsid w:val="CDEFC843"/>
    <w:rsid w:val="CDF6F702"/>
    <w:rsid w:val="CDFD7B66"/>
    <w:rsid w:val="CE5E298C"/>
    <w:rsid w:val="CF3E2BFB"/>
    <w:rsid w:val="CF7FE8D8"/>
    <w:rsid w:val="CFF332AC"/>
    <w:rsid w:val="CFF79784"/>
    <w:rsid w:val="CFF7A5EA"/>
    <w:rsid w:val="CFFF455F"/>
    <w:rsid w:val="D08FB6F6"/>
    <w:rsid w:val="D17CCE6E"/>
    <w:rsid w:val="D31B9BD1"/>
    <w:rsid w:val="D3B92F03"/>
    <w:rsid w:val="D3DBE4BA"/>
    <w:rsid w:val="D3E8FA49"/>
    <w:rsid w:val="D3FEE25F"/>
    <w:rsid w:val="D3FFE1A6"/>
    <w:rsid w:val="D4376C34"/>
    <w:rsid w:val="D56F3BA1"/>
    <w:rsid w:val="D5A8FA87"/>
    <w:rsid w:val="D5B3D9C6"/>
    <w:rsid w:val="D5FF36BC"/>
    <w:rsid w:val="D645EDB8"/>
    <w:rsid w:val="D66EDA0A"/>
    <w:rsid w:val="D677EE06"/>
    <w:rsid w:val="D68F1197"/>
    <w:rsid w:val="D6FFEA6C"/>
    <w:rsid w:val="D75362C2"/>
    <w:rsid w:val="D7AFD04A"/>
    <w:rsid w:val="D7BFE6A1"/>
    <w:rsid w:val="D7EF7C07"/>
    <w:rsid w:val="D9DD63EB"/>
    <w:rsid w:val="DAE824CC"/>
    <w:rsid w:val="DAF96610"/>
    <w:rsid w:val="DB57359C"/>
    <w:rsid w:val="DB96991A"/>
    <w:rsid w:val="DB9D32AC"/>
    <w:rsid w:val="DBDF473F"/>
    <w:rsid w:val="DBE7112D"/>
    <w:rsid w:val="DBEF7BAD"/>
    <w:rsid w:val="DBF164A6"/>
    <w:rsid w:val="DBF7CFE5"/>
    <w:rsid w:val="DBFA67DC"/>
    <w:rsid w:val="DBFCEF36"/>
    <w:rsid w:val="DBFD0118"/>
    <w:rsid w:val="DBFE3C6C"/>
    <w:rsid w:val="DC6BF30C"/>
    <w:rsid w:val="DCDF5175"/>
    <w:rsid w:val="DCF92E35"/>
    <w:rsid w:val="DCFDCD4A"/>
    <w:rsid w:val="DD774D21"/>
    <w:rsid w:val="DD9F4B2A"/>
    <w:rsid w:val="DD9F80DE"/>
    <w:rsid w:val="DDA239B4"/>
    <w:rsid w:val="DDAFE2F3"/>
    <w:rsid w:val="DDBF121A"/>
    <w:rsid w:val="DDBF3308"/>
    <w:rsid w:val="DDD3F0E7"/>
    <w:rsid w:val="DDDE9B58"/>
    <w:rsid w:val="DDDEC9F8"/>
    <w:rsid w:val="DDDFC0E3"/>
    <w:rsid w:val="DDF4D070"/>
    <w:rsid w:val="DDF94E7C"/>
    <w:rsid w:val="DDFD19EC"/>
    <w:rsid w:val="DDFED0DA"/>
    <w:rsid w:val="DDFF3002"/>
    <w:rsid w:val="DDFFB5D8"/>
    <w:rsid w:val="DDFFC55D"/>
    <w:rsid w:val="DE4D8BF2"/>
    <w:rsid w:val="DE5DE437"/>
    <w:rsid w:val="DE5F1D9E"/>
    <w:rsid w:val="DE773717"/>
    <w:rsid w:val="DE7CDECA"/>
    <w:rsid w:val="DE7F0931"/>
    <w:rsid w:val="DE9FAABD"/>
    <w:rsid w:val="DEA74410"/>
    <w:rsid w:val="DEAB3CBC"/>
    <w:rsid w:val="DEBD77C3"/>
    <w:rsid w:val="DEBEB4B1"/>
    <w:rsid w:val="DEEE9074"/>
    <w:rsid w:val="DEF9C015"/>
    <w:rsid w:val="DEFF4CA7"/>
    <w:rsid w:val="DF1F288B"/>
    <w:rsid w:val="DF3FF2BE"/>
    <w:rsid w:val="DF5F9BBE"/>
    <w:rsid w:val="DF67F1F0"/>
    <w:rsid w:val="DF6B462A"/>
    <w:rsid w:val="DF7F37C2"/>
    <w:rsid w:val="DF7FA1C2"/>
    <w:rsid w:val="DF7FB612"/>
    <w:rsid w:val="DF83F38D"/>
    <w:rsid w:val="DFADC6DD"/>
    <w:rsid w:val="DFAF0CF1"/>
    <w:rsid w:val="DFB3D5AB"/>
    <w:rsid w:val="DFB72405"/>
    <w:rsid w:val="DFCE86C3"/>
    <w:rsid w:val="DFD9D430"/>
    <w:rsid w:val="DFDF30B9"/>
    <w:rsid w:val="DFDF5468"/>
    <w:rsid w:val="DFE3BAD0"/>
    <w:rsid w:val="DFE7CD7D"/>
    <w:rsid w:val="DFEB1D2A"/>
    <w:rsid w:val="DFEE9219"/>
    <w:rsid w:val="DFEF00B6"/>
    <w:rsid w:val="DFF7A606"/>
    <w:rsid w:val="DFF80C61"/>
    <w:rsid w:val="DFF9FF96"/>
    <w:rsid w:val="DFFB4A73"/>
    <w:rsid w:val="DFFB8C76"/>
    <w:rsid w:val="DFFC30C4"/>
    <w:rsid w:val="DFFC7D7E"/>
    <w:rsid w:val="DFFDA16C"/>
    <w:rsid w:val="DFFFF00C"/>
    <w:rsid w:val="E2989819"/>
    <w:rsid w:val="E2EB514A"/>
    <w:rsid w:val="E3DD06FF"/>
    <w:rsid w:val="E3FBB87A"/>
    <w:rsid w:val="E53F7FF5"/>
    <w:rsid w:val="E55FCBF2"/>
    <w:rsid w:val="E590850A"/>
    <w:rsid w:val="E5EE640E"/>
    <w:rsid w:val="E5FB54FD"/>
    <w:rsid w:val="E5FE06E2"/>
    <w:rsid w:val="E5FFE567"/>
    <w:rsid w:val="E6B7357E"/>
    <w:rsid w:val="E6B98493"/>
    <w:rsid w:val="E6BB62E2"/>
    <w:rsid w:val="E6F52650"/>
    <w:rsid w:val="E6FBED33"/>
    <w:rsid w:val="E6FCE62E"/>
    <w:rsid w:val="E76F895A"/>
    <w:rsid w:val="E7DBCB14"/>
    <w:rsid w:val="E7DE01CA"/>
    <w:rsid w:val="E7DEA898"/>
    <w:rsid w:val="E9728793"/>
    <w:rsid w:val="E99A35A5"/>
    <w:rsid w:val="E9BE76E5"/>
    <w:rsid w:val="E9CFE12E"/>
    <w:rsid w:val="E9FF636E"/>
    <w:rsid w:val="EAD75CB2"/>
    <w:rsid w:val="EAEB1D67"/>
    <w:rsid w:val="EB9B2B7C"/>
    <w:rsid w:val="EBAF035D"/>
    <w:rsid w:val="EBFD6B8F"/>
    <w:rsid w:val="EBFE0B41"/>
    <w:rsid w:val="EBFF7AB7"/>
    <w:rsid w:val="ECA309D9"/>
    <w:rsid w:val="ECFD790B"/>
    <w:rsid w:val="ED7BECC5"/>
    <w:rsid w:val="ED7F2CD1"/>
    <w:rsid w:val="ED8F33A0"/>
    <w:rsid w:val="EDBFA13A"/>
    <w:rsid w:val="EDEE5382"/>
    <w:rsid w:val="EDEF5C55"/>
    <w:rsid w:val="EE6F9A85"/>
    <w:rsid w:val="EE7F3293"/>
    <w:rsid w:val="EEA253E5"/>
    <w:rsid w:val="EEAFE58D"/>
    <w:rsid w:val="EEB1FC09"/>
    <w:rsid w:val="EEBBF244"/>
    <w:rsid w:val="EEBF2206"/>
    <w:rsid w:val="EED51A12"/>
    <w:rsid w:val="EEEF180C"/>
    <w:rsid w:val="EEF63700"/>
    <w:rsid w:val="EEFE1FEF"/>
    <w:rsid w:val="EEFEE4FC"/>
    <w:rsid w:val="EF1E9D7D"/>
    <w:rsid w:val="EF2E5C48"/>
    <w:rsid w:val="EF555442"/>
    <w:rsid w:val="EF55D343"/>
    <w:rsid w:val="EF567BFA"/>
    <w:rsid w:val="EF79495E"/>
    <w:rsid w:val="EF7BBEDC"/>
    <w:rsid w:val="EF7C127C"/>
    <w:rsid w:val="EF7FC132"/>
    <w:rsid w:val="EF937ABF"/>
    <w:rsid w:val="EF9F45EF"/>
    <w:rsid w:val="EFB7763C"/>
    <w:rsid w:val="EFBFB097"/>
    <w:rsid w:val="EFCEF1FE"/>
    <w:rsid w:val="EFD78324"/>
    <w:rsid w:val="EFD7A5CE"/>
    <w:rsid w:val="EFDBD2D1"/>
    <w:rsid w:val="EFDDF956"/>
    <w:rsid w:val="EFDF90D6"/>
    <w:rsid w:val="EFEF0F52"/>
    <w:rsid w:val="EFEF6314"/>
    <w:rsid w:val="EFF7D6AC"/>
    <w:rsid w:val="EFF7DFFA"/>
    <w:rsid w:val="EFF9715D"/>
    <w:rsid w:val="EFFA2491"/>
    <w:rsid w:val="EFFD1765"/>
    <w:rsid w:val="EFFE494A"/>
    <w:rsid w:val="EFFEA8C4"/>
    <w:rsid w:val="EFFF10A8"/>
    <w:rsid w:val="EFFF29D7"/>
    <w:rsid w:val="EFFF4932"/>
    <w:rsid w:val="EFFF61CD"/>
    <w:rsid w:val="EFFF62BB"/>
    <w:rsid w:val="EFFF78C8"/>
    <w:rsid w:val="EFFF91F9"/>
    <w:rsid w:val="EFFFF223"/>
    <w:rsid w:val="F0BE6F5B"/>
    <w:rsid w:val="F1FF23BF"/>
    <w:rsid w:val="F1FF9EEB"/>
    <w:rsid w:val="F2777B76"/>
    <w:rsid w:val="F2BFC6AC"/>
    <w:rsid w:val="F2CBD30C"/>
    <w:rsid w:val="F2F6859E"/>
    <w:rsid w:val="F2F7CA9C"/>
    <w:rsid w:val="F36F2858"/>
    <w:rsid w:val="F37EE358"/>
    <w:rsid w:val="F3A1AD33"/>
    <w:rsid w:val="F3BFA33B"/>
    <w:rsid w:val="F3CD0F2F"/>
    <w:rsid w:val="F3DE50DB"/>
    <w:rsid w:val="F3FF10BD"/>
    <w:rsid w:val="F3FFE872"/>
    <w:rsid w:val="F439D9CA"/>
    <w:rsid w:val="F46FDC34"/>
    <w:rsid w:val="F47FDB4E"/>
    <w:rsid w:val="F4D7EB21"/>
    <w:rsid w:val="F54BD753"/>
    <w:rsid w:val="F55E8BFE"/>
    <w:rsid w:val="F56F2E36"/>
    <w:rsid w:val="F5775579"/>
    <w:rsid w:val="F577D4FA"/>
    <w:rsid w:val="F5B12ED0"/>
    <w:rsid w:val="F5B70A4D"/>
    <w:rsid w:val="F5BB86C1"/>
    <w:rsid w:val="F5BF5F17"/>
    <w:rsid w:val="F5D63673"/>
    <w:rsid w:val="F5EFE4A4"/>
    <w:rsid w:val="F5FFDEDA"/>
    <w:rsid w:val="F61F313E"/>
    <w:rsid w:val="F66D3715"/>
    <w:rsid w:val="F67B3E09"/>
    <w:rsid w:val="F67D993E"/>
    <w:rsid w:val="F6BC0772"/>
    <w:rsid w:val="F6BCF7F8"/>
    <w:rsid w:val="F6BF4F4E"/>
    <w:rsid w:val="F6BFB52C"/>
    <w:rsid w:val="F6CF7BEC"/>
    <w:rsid w:val="F6DFC7D2"/>
    <w:rsid w:val="F6E7EC1D"/>
    <w:rsid w:val="F6EFD689"/>
    <w:rsid w:val="F6F761C0"/>
    <w:rsid w:val="F6F97A5A"/>
    <w:rsid w:val="F6FBC9F5"/>
    <w:rsid w:val="F73F3EA1"/>
    <w:rsid w:val="F75BF0FE"/>
    <w:rsid w:val="F77B1B8C"/>
    <w:rsid w:val="F77ED9C0"/>
    <w:rsid w:val="F77F1B3A"/>
    <w:rsid w:val="F799195A"/>
    <w:rsid w:val="F79FF265"/>
    <w:rsid w:val="F7AB7540"/>
    <w:rsid w:val="F7AE927A"/>
    <w:rsid w:val="F7BD7602"/>
    <w:rsid w:val="F7D11085"/>
    <w:rsid w:val="F7DE51FD"/>
    <w:rsid w:val="F7DF1977"/>
    <w:rsid w:val="F7DF2D85"/>
    <w:rsid w:val="F7DF4617"/>
    <w:rsid w:val="F7EDF411"/>
    <w:rsid w:val="F7F76CF7"/>
    <w:rsid w:val="F7F7B719"/>
    <w:rsid w:val="F7F92E2A"/>
    <w:rsid w:val="F7FDAA61"/>
    <w:rsid w:val="F7FE5038"/>
    <w:rsid w:val="F7FFFC9C"/>
    <w:rsid w:val="F89DD45C"/>
    <w:rsid w:val="F8E53CD0"/>
    <w:rsid w:val="F8F75009"/>
    <w:rsid w:val="F8F7AEA1"/>
    <w:rsid w:val="F92FA197"/>
    <w:rsid w:val="F97F988F"/>
    <w:rsid w:val="F99B889F"/>
    <w:rsid w:val="F9A7D5D5"/>
    <w:rsid w:val="F9B7A2E3"/>
    <w:rsid w:val="F9DFEBC8"/>
    <w:rsid w:val="F9EF1AE5"/>
    <w:rsid w:val="F9F72385"/>
    <w:rsid w:val="F9F9CB8A"/>
    <w:rsid w:val="F9FB0C0A"/>
    <w:rsid w:val="F9FD6452"/>
    <w:rsid w:val="F9FE59E1"/>
    <w:rsid w:val="F9FF3AE4"/>
    <w:rsid w:val="F9FFE506"/>
    <w:rsid w:val="FA553F3D"/>
    <w:rsid w:val="FA77D028"/>
    <w:rsid w:val="FA7D6DAA"/>
    <w:rsid w:val="FA9F7E7F"/>
    <w:rsid w:val="FAA6ABBB"/>
    <w:rsid w:val="FABF1CAC"/>
    <w:rsid w:val="FABF3501"/>
    <w:rsid w:val="FAF1A200"/>
    <w:rsid w:val="FAFEA23A"/>
    <w:rsid w:val="FB272DD5"/>
    <w:rsid w:val="FB3FA3D1"/>
    <w:rsid w:val="FB3FCE5F"/>
    <w:rsid w:val="FB5DB352"/>
    <w:rsid w:val="FB5FA625"/>
    <w:rsid w:val="FB6FA29C"/>
    <w:rsid w:val="FB6FD045"/>
    <w:rsid w:val="FB76784C"/>
    <w:rsid w:val="FB7785FE"/>
    <w:rsid w:val="FB7D92C4"/>
    <w:rsid w:val="FB9D45B1"/>
    <w:rsid w:val="FB9EFE74"/>
    <w:rsid w:val="FB9FA87D"/>
    <w:rsid w:val="FBAF51CE"/>
    <w:rsid w:val="FBBEE6BE"/>
    <w:rsid w:val="FBBFCEFB"/>
    <w:rsid w:val="FBC32627"/>
    <w:rsid w:val="FBCF276B"/>
    <w:rsid w:val="FBD4904D"/>
    <w:rsid w:val="FBDD94FB"/>
    <w:rsid w:val="FBDF52CB"/>
    <w:rsid w:val="FBE35A23"/>
    <w:rsid w:val="FBE82075"/>
    <w:rsid w:val="FBEDAE24"/>
    <w:rsid w:val="FBEF664F"/>
    <w:rsid w:val="FBF245DA"/>
    <w:rsid w:val="FBF300B2"/>
    <w:rsid w:val="FBF7A367"/>
    <w:rsid w:val="FBF7ED85"/>
    <w:rsid w:val="FBFBD07D"/>
    <w:rsid w:val="FBFDD8EC"/>
    <w:rsid w:val="FBFE530A"/>
    <w:rsid w:val="FBFEA5F6"/>
    <w:rsid w:val="FBFFDD96"/>
    <w:rsid w:val="FC679EED"/>
    <w:rsid w:val="FC6F55C4"/>
    <w:rsid w:val="FC9F0248"/>
    <w:rsid w:val="FCBD125D"/>
    <w:rsid w:val="FCED3809"/>
    <w:rsid w:val="FCFD72D7"/>
    <w:rsid w:val="FCFF02B9"/>
    <w:rsid w:val="FD178401"/>
    <w:rsid w:val="FD2FB3AB"/>
    <w:rsid w:val="FD3E0276"/>
    <w:rsid w:val="FD3FD88A"/>
    <w:rsid w:val="FD4EC24F"/>
    <w:rsid w:val="FD5F6517"/>
    <w:rsid w:val="FD7152C3"/>
    <w:rsid w:val="FD7B469B"/>
    <w:rsid w:val="FD7F5427"/>
    <w:rsid w:val="FDAF96A3"/>
    <w:rsid w:val="FDB20C62"/>
    <w:rsid w:val="FDB2FBC3"/>
    <w:rsid w:val="FDB3FB2D"/>
    <w:rsid w:val="FDB4AE7E"/>
    <w:rsid w:val="FDB58CC0"/>
    <w:rsid w:val="FDB65C94"/>
    <w:rsid w:val="FDBED80F"/>
    <w:rsid w:val="FDBFFB3E"/>
    <w:rsid w:val="FDC1817F"/>
    <w:rsid w:val="FDC20F36"/>
    <w:rsid w:val="FDCF9346"/>
    <w:rsid w:val="FDCFD4CD"/>
    <w:rsid w:val="FDD76884"/>
    <w:rsid w:val="FDDC43D6"/>
    <w:rsid w:val="FDDD5DC7"/>
    <w:rsid w:val="FDDEA106"/>
    <w:rsid w:val="FDE33EBC"/>
    <w:rsid w:val="FDE783A0"/>
    <w:rsid w:val="FDEC5E21"/>
    <w:rsid w:val="FDED7B48"/>
    <w:rsid w:val="FDEFDA06"/>
    <w:rsid w:val="FDF42FDB"/>
    <w:rsid w:val="FDF72975"/>
    <w:rsid w:val="FDF86401"/>
    <w:rsid w:val="FDF974EA"/>
    <w:rsid w:val="FDFABE02"/>
    <w:rsid w:val="FDFBED65"/>
    <w:rsid w:val="FDFCB9F9"/>
    <w:rsid w:val="FDFF05FA"/>
    <w:rsid w:val="FDFF7DB1"/>
    <w:rsid w:val="FDFF8B93"/>
    <w:rsid w:val="FE1B1F18"/>
    <w:rsid w:val="FE3BB763"/>
    <w:rsid w:val="FE57F615"/>
    <w:rsid w:val="FE5D2747"/>
    <w:rsid w:val="FE775743"/>
    <w:rsid w:val="FE7B26F2"/>
    <w:rsid w:val="FE7B6C48"/>
    <w:rsid w:val="FE7F1E33"/>
    <w:rsid w:val="FE7F31AE"/>
    <w:rsid w:val="FE7F78D3"/>
    <w:rsid w:val="FE8F954D"/>
    <w:rsid w:val="FE9F7A4A"/>
    <w:rsid w:val="FEA7453C"/>
    <w:rsid w:val="FEAF4284"/>
    <w:rsid w:val="FEB9EDF1"/>
    <w:rsid w:val="FED6FB32"/>
    <w:rsid w:val="FEDF3673"/>
    <w:rsid w:val="FEED7992"/>
    <w:rsid w:val="FEED9C26"/>
    <w:rsid w:val="FEEF3B66"/>
    <w:rsid w:val="FEEF969E"/>
    <w:rsid w:val="FEEFA99E"/>
    <w:rsid w:val="FEF2E050"/>
    <w:rsid w:val="FEF4BF5D"/>
    <w:rsid w:val="FEF66F8E"/>
    <w:rsid w:val="FEF6B1A5"/>
    <w:rsid w:val="FEF70FA6"/>
    <w:rsid w:val="FEFB914B"/>
    <w:rsid w:val="FEFCF69D"/>
    <w:rsid w:val="FEFCFEA4"/>
    <w:rsid w:val="FEFD64DC"/>
    <w:rsid w:val="FEFFA78C"/>
    <w:rsid w:val="FF0F51D2"/>
    <w:rsid w:val="FF139F27"/>
    <w:rsid w:val="FF1E2C55"/>
    <w:rsid w:val="FF3F239C"/>
    <w:rsid w:val="FF46EEA6"/>
    <w:rsid w:val="FF4B2B29"/>
    <w:rsid w:val="FF553E09"/>
    <w:rsid w:val="FF558B51"/>
    <w:rsid w:val="FF5F1853"/>
    <w:rsid w:val="FF5F75C7"/>
    <w:rsid w:val="FF671CC0"/>
    <w:rsid w:val="FF6ED6FA"/>
    <w:rsid w:val="FF71A6C0"/>
    <w:rsid w:val="FF737F42"/>
    <w:rsid w:val="FF7719E8"/>
    <w:rsid w:val="FF773393"/>
    <w:rsid w:val="FF776E61"/>
    <w:rsid w:val="FF7B0CC3"/>
    <w:rsid w:val="FF7CE747"/>
    <w:rsid w:val="FF7D39D0"/>
    <w:rsid w:val="FF7E2560"/>
    <w:rsid w:val="FF7EBFEE"/>
    <w:rsid w:val="FF7FBCBB"/>
    <w:rsid w:val="FF8F3F7B"/>
    <w:rsid w:val="FF9DFCE7"/>
    <w:rsid w:val="FF9F001E"/>
    <w:rsid w:val="FF9F54E6"/>
    <w:rsid w:val="FFA514D2"/>
    <w:rsid w:val="FFA6F268"/>
    <w:rsid w:val="FFA96294"/>
    <w:rsid w:val="FFABB302"/>
    <w:rsid w:val="FFAE4A58"/>
    <w:rsid w:val="FFAF4F01"/>
    <w:rsid w:val="FFAFBDE7"/>
    <w:rsid w:val="FFAFEFF8"/>
    <w:rsid w:val="FFB37809"/>
    <w:rsid w:val="FFB56232"/>
    <w:rsid w:val="FFB71C02"/>
    <w:rsid w:val="FFB7554C"/>
    <w:rsid w:val="FFB79515"/>
    <w:rsid w:val="FFB7BA08"/>
    <w:rsid w:val="FFB8373A"/>
    <w:rsid w:val="FFB8EB21"/>
    <w:rsid w:val="FFBB0C2D"/>
    <w:rsid w:val="FFBB549B"/>
    <w:rsid w:val="FFBD3DA3"/>
    <w:rsid w:val="FFBF8C4C"/>
    <w:rsid w:val="FFBFAADA"/>
    <w:rsid w:val="FFC71780"/>
    <w:rsid w:val="FFCC5FD0"/>
    <w:rsid w:val="FFCE4743"/>
    <w:rsid w:val="FFCF49EE"/>
    <w:rsid w:val="FFCF973E"/>
    <w:rsid w:val="FFCFA25E"/>
    <w:rsid w:val="FFD35988"/>
    <w:rsid w:val="FFD3BA2F"/>
    <w:rsid w:val="FFD64724"/>
    <w:rsid w:val="FFD7DDC4"/>
    <w:rsid w:val="FFD8B71D"/>
    <w:rsid w:val="FFDCE459"/>
    <w:rsid w:val="FFDD5FF4"/>
    <w:rsid w:val="FFDE233D"/>
    <w:rsid w:val="FFDE335C"/>
    <w:rsid w:val="FFDEA2B3"/>
    <w:rsid w:val="FFDEB5E8"/>
    <w:rsid w:val="FFDF64AA"/>
    <w:rsid w:val="FFDFC5A4"/>
    <w:rsid w:val="FFDFF13C"/>
    <w:rsid w:val="FFE54F9D"/>
    <w:rsid w:val="FFE799FD"/>
    <w:rsid w:val="FFEA0B01"/>
    <w:rsid w:val="FFEB73F1"/>
    <w:rsid w:val="FFEB786F"/>
    <w:rsid w:val="FFEF0D13"/>
    <w:rsid w:val="FFEF1EF5"/>
    <w:rsid w:val="FFEF8A3C"/>
    <w:rsid w:val="FFEFEEC5"/>
    <w:rsid w:val="FFF39EF8"/>
    <w:rsid w:val="FFF6C3D9"/>
    <w:rsid w:val="FFF6D06A"/>
    <w:rsid w:val="FFF72A10"/>
    <w:rsid w:val="FFF77C1E"/>
    <w:rsid w:val="FFF88634"/>
    <w:rsid w:val="FFFAFF8A"/>
    <w:rsid w:val="FFFB40E3"/>
    <w:rsid w:val="FFFC81F7"/>
    <w:rsid w:val="FFFCE040"/>
    <w:rsid w:val="FFFD0C8B"/>
    <w:rsid w:val="FFFD0E80"/>
    <w:rsid w:val="FFFD2FD1"/>
    <w:rsid w:val="FFFDCFE5"/>
    <w:rsid w:val="FFFE1461"/>
    <w:rsid w:val="FFFF0838"/>
    <w:rsid w:val="FFFF10FB"/>
    <w:rsid w:val="FFFF2390"/>
    <w:rsid w:val="FFFF2AEB"/>
    <w:rsid w:val="FFFF463B"/>
    <w:rsid w:val="FFFF4719"/>
    <w:rsid w:val="FFFF50CB"/>
    <w:rsid w:val="FFFF6C2F"/>
    <w:rsid w:val="FFFF7110"/>
    <w:rsid w:val="FFFF94F3"/>
    <w:rsid w:val="FFFFCD45"/>
    <w:rsid w:val="FFFFDEF0"/>
    <w:rsid w:val="FFFFEEFE"/>
    <w:rsid w:val="FFFFFA5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napToGrid w:val="0"/>
      <w:spacing w:line="560" w:lineRule="exact"/>
      <w:ind w:firstLine="632" w:firstLineChars="200"/>
      <w:jc w:val="both"/>
    </w:pPr>
    <w:rPr>
      <w:rFonts w:ascii="仿宋_GB2312" w:hAnsi="仿宋" w:eastAsia="仿宋_GB2312" w:cs="仿宋"/>
      <w:kern w:val="2"/>
      <w:sz w:val="28"/>
      <w:szCs w:val="28"/>
      <w:lang w:val="en-US" w:eastAsia="zh-CN" w:bidi="ar-SA"/>
    </w:rPr>
  </w:style>
  <w:style w:type="paragraph" w:styleId="3">
    <w:name w:val="heading 1"/>
    <w:basedOn w:val="1"/>
    <w:next w:val="1"/>
    <w:link w:val="38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cs="Times New Roman"/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39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="Cambria" w:hAnsi="Cambria" w:eastAsia="宋体" w:cs="Times New Roman"/>
      <w:b/>
      <w:bCs/>
      <w:sz w:val="32"/>
      <w:szCs w:val="32"/>
    </w:rPr>
  </w:style>
  <w:style w:type="paragraph" w:styleId="5">
    <w:name w:val="heading 3"/>
    <w:basedOn w:val="1"/>
    <w:next w:val="1"/>
    <w:link w:val="37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27">
    <w:name w:val="Default Paragraph Font"/>
    <w:semiHidden/>
    <w:unhideWhenUsed/>
    <w:uiPriority w:val="1"/>
  </w:style>
  <w:style w:type="table" w:default="1" w:styleId="2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99"/>
    <w:pPr>
      <w:spacing w:line="580" w:lineRule="exact"/>
      <w:ind w:firstLine="640"/>
    </w:pPr>
  </w:style>
  <w:style w:type="paragraph" w:styleId="6">
    <w:name w:val="caption"/>
    <w:basedOn w:val="1"/>
    <w:next w:val="1"/>
    <w:qFormat/>
    <w:uiPriority w:val="0"/>
    <w:rPr>
      <w:rFonts w:ascii="Arial" w:hAnsi="Arial" w:eastAsia="黑体" w:cs="Arial"/>
      <w:sz w:val="20"/>
      <w:szCs w:val="20"/>
    </w:rPr>
  </w:style>
  <w:style w:type="paragraph" w:styleId="7">
    <w:name w:val="Document Map"/>
    <w:basedOn w:val="1"/>
    <w:link w:val="42"/>
    <w:qFormat/>
    <w:uiPriority w:val="0"/>
    <w:rPr>
      <w:rFonts w:ascii="宋体" w:hAnsi="Times New Roman" w:eastAsia="宋体" w:cs="Times New Roman"/>
      <w:sz w:val="18"/>
      <w:szCs w:val="18"/>
    </w:rPr>
  </w:style>
  <w:style w:type="paragraph" w:styleId="8">
    <w:name w:val="annotation text"/>
    <w:basedOn w:val="1"/>
    <w:link w:val="45"/>
    <w:qFormat/>
    <w:uiPriority w:val="0"/>
    <w:pPr>
      <w:jc w:val="left"/>
    </w:pPr>
    <w:rPr>
      <w:rFonts w:ascii="Times New Roman" w:hAnsi="Times New Roman" w:cs="Times New Roman"/>
      <w:sz w:val="32"/>
      <w:szCs w:val="24"/>
    </w:rPr>
  </w:style>
  <w:style w:type="paragraph" w:styleId="9">
    <w:name w:val="Body Text Indent"/>
    <w:basedOn w:val="1"/>
    <w:link w:val="51"/>
    <w:qFormat/>
    <w:uiPriority w:val="0"/>
    <w:pPr>
      <w:ind w:firstLine="720"/>
    </w:pPr>
    <w:rPr>
      <w:rFonts w:ascii="Times New Roman" w:hAnsi="Times New Roman" w:cs="Times New Roman"/>
      <w:b/>
      <w:bCs/>
      <w:sz w:val="32"/>
      <w:szCs w:val="24"/>
    </w:rPr>
  </w:style>
  <w:style w:type="paragraph" w:styleId="10">
    <w:name w:val="toc 3"/>
    <w:basedOn w:val="1"/>
    <w:next w:val="1"/>
    <w:qFormat/>
    <w:uiPriority w:val="0"/>
    <w:pPr>
      <w:widowControl/>
      <w:overflowPunct w:val="0"/>
      <w:autoSpaceDE w:val="0"/>
      <w:autoSpaceDN w:val="0"/>
      <w:adjustRightInd w:val="0"/>
      <w:spacing w:after="240"/>
      <w:ind w:left="840" w:leftChars="400"/>
      <w:textAlignment w:val="baseline"/>
    </w:pPr>
    <w:rPr>
      <w:rFonts w:ascii="Times New Roman" w:hAnsi="Times New Roman" w:cs="Times New Roman"/>
      <w:kern w:val="0"/>
      <w:sz w:val="24"/>
      <w:szCs w:val="20"/>
    </w:rPr>
  </w:style>
  <w:style w:type="paragraph" w:styleId="11">
    <w:name w:val="Plain Text"/>
    <w:basedOn w:val="1"/>
    <w:link w:val="40"/>
    <w:qFormat/>
    <w:uiPriority w:val="0"/>
    <w:rPr>
      <w:rFonts w:ascii="宋体" w:hAnsi="Courier New" w:eastAsia="宋体" w:cs="Times New Roman"/>
      <w:szCs w:val="21"/>
    </w:rPr>
  </w:style>
  <w:style w:type="paragraph" w:styleId="12">
    <w:name w:val="Date"/>
    <w:basedOn w:val="1"/>
    <w:next w:val="1"/>
    <w:link w:val="53"/>
    <w:qFormat/>
    <w:uiPriority w:val="0"/>
    <w:pPr>
      <w:ind w:left="100" w:leftChars="2500"/>
    </w:pPr>
    <w:rPr>
      <w:rFonts w:hAnsi="Times New Roman" w:cs="Times New Roman"/>
      <w:sz w:val="32"/>
      <w:szCs w:val="24"/>
    </w:rPr>
  </w:style>
  <w:style w:type="paragraph" w:styleId="13">
    <w:name w:val="Body Text Indent 2"/>
    <w:basedOn w:val="1"/>
    <w:link w:val="52"/>
    <w:qFormat/>
    <w:uiPriority w:val="0"/>
    <w:pPr>
      <w:spacing w:line="640" w:lineRule="exact"/>
      <w:ind w:firstLine="720"/>
    </w:pPr>
    <w:rPr>
      <w:rFonts w:hAnsi="Times New Roman" w:cs="Times New Roman"/>
      <w:b/>
      <w:bCs/>
      <w:sz w:val="36"/>
      <w:szCs w:val="24"/>
    </w:rPr>
  </w:style>
  <w:style w:type="paragraph" w:styleId="14">
    <w:name w:val="Balloon Text"/>
    <w:basedOn w:val="1"/>
    <w:link w:val="35"/>
    <w:semiHidden/>
    <w:unhideWhenUsed/>
    <w:qFormat/>
    <w:uiPriority w:val="0"/>
    <w:rPr>
      <w:sz w:val="18"/>
      <w:szCs w:val="18"/>
    </w:rPr>
  </w:style>
  <w:style w:type="paragraph" w:styleId="15">
    <w:name w:val="footer"/>
    <w:basedOn w:val="1"/>
    <w:link w:val="34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6">
    <w:name w:val="header"/>
    <w:basedOn w:val="1"/>
    <w:link w:val="33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7">
    <w:name w:val="toc 1"/>
    <w:basedOn w:val="1"/>
    <w:next w:val="1"/>
    <w:qFormat/>
    <w:uiPriority w:val="39"/>
    <w:pPr>
      <w:widowControl/>
      <w:overflowPunct w:val="0"/>
      <w:autoSpaceDE w:val="0"/>
      <w:autoSpaceDN w:val="0"/>
      <w:adjustRightInd w:val="0"/>
      <w:spacing w:after="240"/>
      <w:textAlignment w:val="baseline"/>
    </w:pPr>
    <w:rPr>
      <w:rFonts w:ascii="Times New Roman" w:hAnsi="Times New Roman" w:eastAsia="黑体" w:cs="Times New Roman"/>
      <w:kern w:val="0"/>
      <w:sz w:val="24"/>
      <w:szCs w:val="20"/>
    </w:rPr>
  </w:style>
  <w:style w:type="paragraph" w:styleId="18">
    <w:name w:val="footnote text"/>
    <w:basedOn w:val="1"/>
    <w:link w:val="48"/>
    <w:qFormat/>
    <w:uiPriority w:val="0"/>
    <w:pPr>
      <w:overflowPunct w:val="0"/>
      <w:autoSpaceDE w:val="0"/>
      <w:autoSpaceDN w:val="0"/>
      <w:adjustRightInd w:val="0"/>
      <w:jc w:val="left"/>
      <w:textAlignment w:val="baseline"/>
    </w:pPr>
    <w:rPr>
      <w:rFonts w:ascii="CG Times (WN)" w:hAnsi="CG Times (WN)" w:eastAsia="宋体" w:cs="Times New Roman"/>
      <w:kern w:val="0"/>
      <w:sz w:val="20"/>
      <w:szCs w:val="20"/>
    </w:rPr>
  </w:style>
  <w:style w:type="paragraph" w:styleId="19">
    <w:name w:val="Body Text Indent 3"/>
    <w:basedOn w:val="1"/>
    <w:link w:val="50"/>
    <w:qFormat/>
    <w:uiPriority w:val="0"/>
    <w:pPr>
      <w:ind w:firstLine="640"/>
    </w:pPr>
    <w:rPr>
      <w:rFonts w:ascii="Times New Roman" w:hAnsi="Times New Roman" w:cs="Times New Roman"/>
      <w:sz w:val="32"/>
      <w:szCs w:val="24"/>
    </w:rPr>
  </w:style>
  <w:style w:type="paragraph" w:styleId="20">
    <w:name w:val="toc 2"/>
    <w:basedOn w:val="1"/>
    <w:next w:val="1"/>
    <w:qFormat/>
    <w:uiPriority w:val="39"/>
    <w:pPr>
      <w:widowControl/>
      <w:overflowPunct w:val="0"/>
      <w:autoSpaceDE w:val="0"/>
      <w:autoSpaceDN w:val="0"/>
      <w:adjustRightInd w:val="0"/>
      <w:spacing w:after="240"/>
      <w:ind w:left="420" w:leftChars="200"/>
      <w:textAlignment w:val="baseline"/>
    </w:pPr>
    <w:rPr>
      <w:rFonts w:ascii="Times New Roman" w:hAnsi="Times New Roman" w:eastAsia="楷体_GB2312" w:cs="Times New Roman"/>
      <w:kern w:val="0"/>
      <w:sz w:val="24"/>
      <w:szCs w:val="20"/>
    </w:rPr>
  </w:style>
  <w:style w:type="paragraph" w:styleId="21">
    <w:name w:val="Body Text 2"/>
    <w:basedOn w:val="1"/>
    <w:link w:val="49"/>
    <w:qFormat/>
    <w:uiPriority w:val="0"/>
    <w:pPr>
      <w:spacing w:after="120" w:line="480" w:lineRule="auto"/>
    </w:pPr>
    <w:rPr>
      <w:rFonts w:ascii="Times New Roman" w:hAnsi="Times New Roman" w:cs="Times New Roman"/>
      <w:sz w:val="24"/>
      <w:szCs w:val="20"/>
    </w:rPr>
  </w:style>
  <w:style w:type="paragraph" w:styleId="22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23">
    <w:name w:val="Title"/>
    <w:basedOn w:val="1"/>
    <w:next w:val="1"/>
    <w:link w:val="43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4">
    <w:name w:val="annotation subject"/>
    <w:basedOn w:val="8"/>
    <w:next w:val="8"/>
    <w:link w:val="47"/>
    <w:qFormat/>
    <w:uiPriority w:val="0"/>
    <w:rPr>
      <w:b/>
      <w:bCs/>
    </w:rPr>
  </w:style>
  <w:style w:type="table" w:styleId="26">
    <w:name w:val="Table Grid"/>
    <w:basedOn w:val="25"/>
    <w:qFormat/>
    <w:uiPriority w:val="0"/>
    <w:pPr>
      <w:tabs>
        <w:tab w:val="left" w:pos="360"/>
        <w:tab w:val="left" w:pos="720"/>
      </w:tabs>
      <w:overflowPunct w:val="0"/>
      <w:autoSpaceDE w:val="0"/>
      <w:autoSpaceDN w:val="0"/>
      <w:adjustRightInd w:val="0"/>
      <w:spacing w:after="240"/>
      <w:jc w:val="both"/>
      <w:textAlignment w:val="baseline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8">
    <w:name w:val="Strong"/>
    <w:basedOn w:val="27"/>
    <w:qFormat/>
    <w:uiPriority w:val="0"/>
    <w:rPr>
      <w:b/>
      <w:bCs/>
    </w:rPr>
  </w:style>
  <w:style w:type="character" w:styleId="29">
    <w:name w:val="page number"/>
    <w:qFormat/>
    <w:uiPriority w:val="0"/>
  </w:style>
  <w:style w:type="character" w:styleId="30">
    <w:name w:val="Hyperlink"/>
    <w:basedOn w:val="27"/>
    <w:qFormat/>
    <w:uiPriority w:val="99"/>
    <w:rPr>
      <w:color w:val="0000FF"/>
      <w:u w:val="single"/>
    </w:rPr>
  </w:style>
  <w:style w:type="character" w:styleId="31">
    <w:name w:val="annotation reference"/>
    <w:basedOn w:val="27"/>
    <w:qFormat/>
    <w:uiPriority w:val="0"/>
    <w:rPr>
      <w:sz w:val="21"/>
      <w:szCs w:val="21"/>
    </w:rPr>
  </w:style>
  <w:style w:type="character" w:styleId="32">
    <w:name w:val="footnote reference"/>
    <w:basedOn w:val="27"/>
    <w:qFormat/>
    <w:uiPriority w:val="0"/>
    <w:rPr>
      <w:position w:val="6"/>
      <w:sz w:val="16"/>
    </w:rPr>
  </w:style>
  <w:style w:type="character" w:customStyle="1" w:styleId="33">
    <w:name w:val="页眉 字符"/>
    <w:basedOn w:val="27"/>
    <w:link w:val="16"/>
    <w:qFormat/>
    <w:uiPriority w:val="0"/>
    <w:rPr>
      <w:sz w:val="18"/>
      <w:szCs w:val="18"/>
    </w:rPr>
  </w:style>
  <w:style w:type="character" w:customStyle="1" w:styleId="34">
    <w:name w:val="页脚 字符"/>
    <w:basedOn w:val="27"/>
    <w:link w:val="15"/>
    <w:qFormat/>
    <w:uiPriority w:val="99"/>
    <w:rPr>
      <w:sz w:val="18"/>
      <w:szCs w:val="18"/>
    </w:rPr>
  </w:style>
  <w:style w:type="character" w:customStyle="1" w:styleId="35">
    <w:name w:val="批注框文本 字符"/>
    <w:basedOn w:val="27"/>
    <w:link w:val="14"/>
    <w:semiHidden/>
    <w:qFormat/>
    <w:uiPriority w:val="99"/>
    <w:rPr>
      <w:sz w:val="18"/>
      <w:szCs w:val="18"/>
    </w:rPr>
  </w:style>
  <w:style w:type="paragraph" w:customStyle="1" w:styleId="36">
    <w:name w:val="样式3"/>
    <w:basedOn w:val="5"/>
    <w:qFormat/>
    <w:uiPriority w:val="0"/>
    <w:rPr>
      <w:rFonts w:ascii="Times New Roman" w:hAnsi="Times New Roman" w:eastAsia="宋体" w:cs="Times New Roman"/>
    </w:rPr>
  </w:style>
  <w:style w:type="character" w:customStyle="1" w:styleId="37">
    <w:name w:val="标题 3 字符"/>
    <w:basedOn w:val="27"/>
    <w:link w:val="5"/>
    <w:semiHidden/>
    <w:qFormat/>
    <w:uiPriority w:val="0"/>
    <w:rPr>
      <w:b/>
      <w:bCs/>
      <w:sz w:val="32"/>
      <w:szCs w:val="32"/>
    </w:rPr>
  </w:style>
  <w:style w:type="character" w:customStyle="1" w:styleId="38">
    <w:name w:val="标题 1 字符"/>
    <w:basedOn w:val="27"/>
    <w:link w:val="3"/>
    <w:qFormat/>
    <w:uiPriority w:val="0"/>
    <w:rPr>
      <w:rFonts w:ascii="Times New Roman" w:hAnsi="Times New Roman" w:eastAsia="仿宋_GB2312" w:cs="Times New Roman"/>
      <w:b/>
      <w:bCs/>
      <w:kern w:val="44"/>
      <w:sz w:val="44"/>
      <w:szCs w:val="44"/>
    </w:rPr>
  </w:style>
  <w:style w:type="character" w:customStyle="1" w:styleId="39">
    <w:name w:val="标题 2 字符"/>
    <w:basedOn w:val="27"/>
    <w:link w:val="4"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40">
    <w:name w:val="纯文本 字符"/>
    <w:basedOn w:val="27"/>
    <w:link w:val="11"/>
    <w:qFormat/>
    <w:uiPriority w:val="0"/>
    <w:rPr>
      <w:rFonts w:ascii="宋体" w:hAnsi="Courier New" w:eastAsia="宋体" w:cs="Times New Roman"/>
      <w:szCs w:val="21"/>
    </w:rPr>
  </w:style>
  <w:style w:type="paragraph" w:styleId="41">
    <w:name w:val="List Paragraph"/>
    <w:basedOn w:val="1"/>
    <w:qFormat/>
    <w:uiPriority w:val="34"/>
    <w:pPr>
      <w:ind w:firstLine="420"/>
    </w:pPr>
    <w:rPr>
      <w:rFonts w:ascii="Calibri" w:hAnsi="Calibri" w:eastAsia="宋体" w:cs="Times New Roman"/>
    </w:rPr>
  </w:style>
  <w:style w:type="character" w:customStyle="1" w:styleId="42">
    <w:name w:val="文档结构图 字符"/>
    <w:basedOn w:val="27"/>
    <w:link w:val="7"/>
    <w:qFormat/>
    <w:uiPriority w:val="0"/>
    <w:rPr>
      <w:rFonts w:ascii="宋体" w:hAnsi="Times New Roman" w:eastAsia="宋体" w:cs="Times New Roman"/>
      <w:sz w:val="18"/>
      <w:szCs w:val="18"/>
    </w:rPr>
  </w:style>
  <w:style w:type="character" w:customStyle="1" w:styleId="43">
    <w:name w:val="标题 字符"/>
    <w:basedOn w:val="27"/>
    <w:link w:val="23"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paragraph" w:customStyle="1" w:styleId="44">
    <w:name w:val="Char Char Char Char Char Char Char Char Char Char Char Char Char"/>
    <w:basedOn w:val="1"/>
    <w:qFormat/>
    <w:uiPriority w:val="0"/>
    <w:rPr>
      <w:rFonts w:ascii="Tahoma" w:hAnsi="Tahoma" w:eastAsia="宋体" w:cs="Times New Roman"/>
      <w:szCs w:val="24"/>
    </w:rPr>
  </w:style>
  <w:style w:type="character" w:customStyle="1" w:styleId="45">
    <w:name w:val="批注文字 字符"/>
    <w:basedOn w:val="27"/>
    <w:link w:val="8"/>
    <w:qFormat/>
    <w:uiPriority w:val="0"/>
    <w:rPr>
      <w:rFonts w:ascii="Times New Roman" w:hAnsi="Times New Roman" w:eastAsia="仿宋_GB2312" w:cs="Times New Roman"/>
      <w:sz w:val="32"/>
      <w:szCs w:val="24"/>
    </w:rPr>
  </w:style>
  <w:style w:type="character" w:customStyle="1" w:styleId="46">
    <w:name w:val="批注主题 Char"/>
    <w:basedOn w:val="45"/>
    <w:semiHidden/>
    <w:qFormat/>
    <w:uiPriority w:val="99"/>
    <w:rPr>
      <w:rFonts w:ascii="Times New Roman" w:hAnsi="Times New Roman" w:eastAsia="仿宋_GB2312" w:cs="Times New Roman"/>
      <w:b/>
      <w:bCs/>
      <w:sz w:val="32"/>
      <w:szCs w:val="24"/>
    </w:rPr>
  </w:style>
  <w:style w:type="character" w:customStyle="1" w:styleId="47">
    <w:name w:val="批注主题 字符"/>
    <w:link w:val="24"/>
    <w:qFormat/>
    <w:uiPriority w:val="0"/>
    <w:rPr>
      <w:rFonts w:ascii="Times New Roman" w:hAnsi="Times New Roman" w:eastAsia="仿宋_GB2312" w:cs="Times New Roman"/>
      <w:b/>
      <w:bCs/>
      <w:sz w:val="32"/>
      <w:szCs w:val="24"/>
    </w:rPr>
  </w:style>
  <w:style w:type="character" w:customStyle="1" w:styleId="48">
    <w:name w:val="脚注文本 字符"/>
    <w:basedOn w:val="27"/>
    <w:link w:val="18"/>
    <w:qFormat/>
    <w:uiPriority w:val="0"/>
    <w:rPr>
      <w:rFonts w:ascii="CG Times (WN)" w:hAnsi="CG Times (WN)" w:eastAsia="宋体" w:cs="Times New Roman"/>
      <w:kern w:val="0"/>
      <w:sz w:val="20"/>
      <w:szCs w:val="20"/>
    </w:rPr>
  </w:style>
  <w:style w:type="character" w:customStyle="1" w:styleId="49">
    <w:name w:val="正文文本 2 字符"/>
    <w:basedOn w:val="27"/>
    <w:link w:val="21"/>
    <w:qFormat/>
    <w:uiPriority w:val="0"/>
    <w:rPr>
      <w:rFonts w:ascii="Times New Roman" w:hAnsi="Times New Roman" w:eastAsia="仿宋_GB2312" w:cs="Times New Roman"/>
      <w:sz w:val="24"/>
      <w:szCs w:val="20"/>
    </w:rPr>
  </w:style>
  <w:style w:type="character" w:customStyle="1" w:styleId="50">
    <w:name w:val="正文文本缩进 3 字符"/>
    <w:basedOn w:val="27"/>
    <w:link w:val="19"/>
    <w:qFormat/>
    <w:uiPriority w:val="0"/>
    <w:rPr>
      <w:rFonts w:ascii="Times New Roman" w:hAnsi="Times New Roman" w:eastAsia="仿宋_GB2312" w:cs="Times New Roman"/>
      <w:sz w:val="32"/>
      <w:szCs w:val="24"/>
    </w:rPr>
  </w:style>
  <w:style w:type="character" w:customStyle="1" w:styleId="51">
    <w:name w:val="正文文本缩进 字符"/>
    <w:basedOn w:val="27"/>
    <w:link w:val="9"/>
    <w:qFormat/>
    <w:uiPriority w:val="0"/>
    <w:rPr>
      <w:rFonts w:ascii="Times New Roman" w:hAnsi="Times New Roman" w:eastAsia="仿宋_GB2312" w:cs="Times New Roman"/>
      <w:b/>
      <w:bCs/>
      <w:sz w:val="32"/>
      <w:szCs w:val="24"/>
    </w:rPr>
  </w:style>
  <w:style w:type="character" w:customStyle="1" w:styleId="52">
    <w:name w:val="正文文本缩进 2 字符"/>
    <w:basedOn w:val="27"/>
    <w:link w:val="13"/>
    <w:qFormat/>
    <w:uiPriority w:val="0"/>
    <w:rPr>
      <w:rFonts w:ascii="仿宋_GB2312" w:hAnsi="Times New Roman" w:eastAsia="仿宋_GB2312" w:cs="Times New Roman"/>
      <w:b/>
      <w:bCs/>
      <w:sz w:val="36"/>
      <w:szCs w:val="24"/>
    </w:rPr>
  </w:style>
  <w:style w:type="character" w:customStyle="1" w:styleId="53">
    <w:name w:val="日期 字符"/>
    <w:basedOn w:val="27"/>
    <w:link w:val="12"/>
    <w:qFormat/>
    <w:uiPriority w:val="0"/>
    <w:rPr>
      <w:rFonts w:ascii="仿宋_GB2312" w:hAnsi="Times New Roman" w:eastAsia="仿宋_GB2312" w:cs="Times New Roman"/>
      <w:sz w:val="32"/>
      <w:szCs w:val="24"/>
    </w:rPr>
  </w:style>
  <w:style w:type="paragraph" w:customStyle="1" w:styleId="54">
    <w:name w:val="han"/>
    <w:basedOn w:val="1"/>
    <w:qFormat/>
    <w:uiPriority w:val="0"/>
    <w:rPr>
      <w:rFonts w:ascii="宋体" w:hAnsi="宋体"/>
      <w:sz w:val="24"/>
    </w:rPr>
  </w:style>
  <w:style w:type="paragraph" w:customStyle="1" w:styleId="55">
    <w:name w:val="修订1"/>
    <w:hidden/>
    <w:unhideWhenUsed/>
    <w:uiPriority w:val="99"/>
    <w:rPr>
      <w:rFonts w:ascii="仿宋_GB2312" w:hAnsi="仿宋" w:eastAsia="仿宋_GB2312" w:cs="仿宋"/>
      <w:kern w:val="2"/>
      <w:sz w:val="28"/>
      <w:szCs w:val="2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2047</Words>
  <Characters>11674</Characters>
  <Lines>97</Lines>
  <Paragraphs>27</Paragraphs>
  <TotalTime>4</TotalTime>
  <ScaleCrop>false</ScaleCrop>
  <LinksUpToDate>false</LinksUpToDate>
  <CharactersWithSpaces>13694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2025-05-03T00:57:00Z</dcterms:created>
  <dc:creator>Thinkpad</dc:creator>
  <cp:lastModifiedBy>IN</cp:lastModifiedBy>
  <cp:lastPrinted>2021-12-07T01:02:00Z</cp:lastPrinted>
  <dcterms:modified xsi:type="dcterms:W3CDTF">2025-10-12T20:57:42Z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KSOTemplateDocerSaveRecord">
    <vt:lpwstr>eyJoZGlkIjoiZmYzYThhY2Q0ZGQ2ZGM4NzgxOTM0NjUxMzNjODUwYjUiLCJ1c2VySWQiOiIxMjUyOTI5MzYyIn0=</vt:lpwstr>
  </property>
  <property fmtid="{D5CDD505-2E9C-101B-9397-08002B2CF9AE}" pid="4" name="ICV">
    <vt:lpwstr>DEAA97A6B44B4252B5A1D12F65F900F6_12</vt:lpwstr>
  </property>
</Properties>
</file>