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ind w:firstLine="872"/>
        <w:jc w:val="left"/>
        <w:rPr>
          <w:rFonts w:ascii="方正小标宋简体" w:hAnsi="黑体" w:eastAsia="方正小标宋简体"/>
          <w:sz w:val="44"/>
          <w:szCs w:val="44"/>
        </w:rPr>
      </w:pPr>
    </w:p>
    <w:p>
      <w:pPr>
        <w:widowControl/>
        <w:ind w:firstLine="872"/>
        <w:jc w:val="left"/>
        <w:rPr>
          <w:rFonts w:ascii="方正小标宋简体" w:hAnsi="黑体" w:eastAsia="方正小标宋简体"/>
          <w:sz w:val="44"/>
          <w:szCs w:val="44"/>
        </w:rPr>
      </w:pPr>
    </w:p>
    <w:p>
      <w:pPr>
        <w:widowControl/>
        <w:ind w:firstLine="872"/>
        <w:jc w:val="left"/>
        <w:rPr>
          <w:rFonts w:ascii="方正小标宋简体" w:hAnsi="黑体" w:eastAsia="方正小标宋简体"/>
          <w:sz w:val="44"/>
          <w:szCs w:val="44"/>
        </w:rPr>
      </w:pPr>
    </w:p>
    <w:p>
      <w:pPr>
        <w:widowControl/>
        <w:spacing w:line="700" w:lineRule="exact"/>
        <w:ind w:firstLine="872"/>
        <w:jc w:val="center"/>
        <w:rPr>
          <w:rFonts w:ascii="方正小标宋简体" w:hAnsi="黑体" w:eastAsia="方正小标宋简体"/>
          <w:sz w:val="44"/>
          <w:szCs w:val="44"/>
        </w:rPr>
      </w:pPr>
      <w:r>
        <w:rPr>
          <w:rFonts w:hint="eastAsia" w:ascii="方正小标宋简体" w:hAnsi="黑体" w:eastAsia="方正小标宋简体"/>
          <w:sz w:val="44"/>
          <w:szCs w:val="44"/>
        </w:rPr>
        <w:t>跨平台智能模型转化工具项目</w:t>
      </w:r>
    </w:p>
    <w:p>
      <w:pPr>
        <w:widowControl/>
        <w:spacing w:line="700" w:lineRule="exact"/>
        <w:ind w:firstLine="872"/>
        <w:jc w:val="center"/>
        <w:rPr>
          <w:rFonts w:ascii="方正小标宋简体" w:hAnsi="黑体" w:eastAsia="方正小标宋简体"/>
          <w:sz w:val="44"/>
          <w:szCs w:val="44"/>
        </w:rPr>
      </w:pPr>
      <w:r>
        <w:rPr>
          <w:rFonts w:hint="eastAsia" w:ascii="方正小标宋简体" w:hAnsi="黑体" w:eastAsia="方正小标宋简体"/>
          <w:sz w:val="44"/>
          <w:szCs w:val="44"/>
        </w:rPr>
        <w:t>技术内容及报价方案</w:t>
      </w:r>
    </w:p>
    <w:p>
      <w:pPr>
        <w:widowControl/>
        <w:jc w:val="left"/>
        <w:rPr>
          <w:sz w:val="32"/>
          <w:szCs w:val="32"/>
        </w:rPr>
      </w:pPr>
    </w:p>
    <w:p>
      <w:pPr>
        <w:widowControl/>
        <w:jc w:val="left"/>
        <w:rPr>
          <w:sz w:val="32"/>
          <w:szCs w:val="32"/>
        </w:rPr>
      </w:pPr>
    </w:p>
    <w:p>
      <w:pPr>
        <w:widowControl/>
        <w:jc w:val="left"/>
        <w:rPr>
          <w:sz w:val="32"/>
          <w:szCs w:val="32"/>
        </w:rPr>
      </w:pPr>
    </w:p>
    <w:p>
      <w:pPr>
        <w:widowControl/>
        <w:jc w:val="left"/>
        <w:rPr>
          <w:sz w:val="32"/>
          <w:szCs w:val="32"/>
        </w:rPr>
      </w:pPr>
    </w:p>
    <w:p>
      <w:pPr>
        <w:pStyle w:val="2"/>
        <w:rPr>
          <w:sz w:val="32"/>
          <w:szCs w:val="32"/>
        </w:rPr>
      </w:pPr>
    </w:p>
    <w:p>
      <w:pPr>
        <w:pStyle w:val="2"/>
        <w:rPr>
          <w:sz w:val="32"/>
          <w:szCs w:val="32"/>
        </w:rPr>
      </w:pPr>
    </w:p>
    <w:p>
      <w:pPr>
        <w:pStyle w:val="2"/>
        <w:rPr>
          <w:sz w:val="32"/>
          <w:szCs w:val="32"/>
        </w:rPr>
      </w:pPr>
    </w:p>
    <w:p>
      <w:pPr>
        <w:widowControl/>
        <w:ind w:firstLine="0" w:firstLineChars="0"/>
        <w:jc w:val="left"/>
        <w:rPr>
          <w:sz w:val="32"/>
          <w:szCs w:val="32"/>
        </w:rPr>
      </w:pPr>
    </w:p>
    <w:p>
      <w:pPr>
        <w:pStyle w:val="2"/>
        <w:ind w:firstLine="0" w:firstLineChars="0"/>
        <w:rPr>
          <w:sz w:val="32"/>
          <w:szCs w:val="32"/>
        </w:rPr>
      </w:pPr>
    </w:p>
    <w:p>
      <w:pPr>
        <w:widowControl/>
        <w:ind w:firstLine="0" w:firstLineChars="0"/>
        <w:jc w:val="left"/>
        <w:rPr>
          <w:sz w:val="32"/>
          <w:szCs w:val="32"/>
        </w:rPr>
      </w:pPr>
    </w:p>
    <w:p>
      <w:pPr>
        <w:widowControl/>
        <w:ind w:firstLine="712"/>
        <w:jc w:val="center"/>
        <w:rPr>
          <w:rFonts w:hint="eastAsia" w:ascii="楷体_GB2312" w:eastAsia="楷体_GB2312"/>
          <w:sz w:val="36"/>
          <w:szCs w:val="36"/>
        </w:rPr>
      </w:pPr>
      <w:r>
        <w:rPr>
          <w:rFonts w:hint="eastAsia" w:ascii="楷体_GB2312" w:eastAsia="楷体_GB2312"/>
          <w:sz w:val="36"/>
          <w:szCs w:val="36"/>
          <w:lang w:val="en-US" w:eastAsia="zh-CN"/>
        </w:rPr>
        <w:t>XXXXX</w:t>
      </w:r>
      <w:r>
        <w:rPr>
          <w:rFonts w:hint="eastAsia" w:ascii="楷体_GB2312" w:eastAsia="楷体_GB2312"/>
          <w:sz w:val="36"/>
          <w:szCs w:val="36"/>
        </w:rPr>
        <w:t>制</w:t>
      </w:r>
    </w:p>
    <w:p>
      <w:pPr>
        <w:pStyle w:val="2"/>
      </w:pPr>
    </w:p>
    <w:p>
      <w:pPr>
        <w:pStyle w:val="2"/>
        <w:jc w:val="center"/>
        <w:rPr>
          <w:rFonts w:hint="default" w:ascii="楷体_GB2312" w:hAnsi="仿宋" w:eastAsia="楷体_GB2312" w:cs="仿宋"/>
          <w:kern w:val="2"/>
          <w:sz w:val="36"/>
          <w:szCs w:val="36"/>
          <w:lang w:val="en-US" w:eastAsia="zh-CN" w:bidi="ar-SA"/>
        </w:rPr>
        <w:sectPr>
          <w:headerReference r:id="rId6" w:type="first"/>
          <w:footerReference r:id="rId9" w:type="first"/>
          <w:footerReference r:id="rId7" w:type="default"/>
          <w:headerReference r:id="rId5" w:type="even"/>
          <w:footerReference r:id="rId8" w:type="even"/>
          <w:pgSz w:w="11907" w:h="16840"/>
          <w:pgMar w:top="2098" w:right="1474" w:bottom="1814" w:left="1587" w:header="851" w:footer="1607" w:gutter="0"/>
          <w:cols w:space="720" w:num="1"/>
          <w:docGrid w:type="linesAndChars" w:linePitch="586" w:charSpace="-842"/>
        </w:sectPr>
      </w:pPr>
      <w:r>
        <w:rPr>
          <w:rFonts w:hint="eastAsia" w:ascii="楷体_GB2312" w:hAnsi="仿宋" w:eastAsia="楷体_GB2312" w:cs="仿宋"/>
          <w:kern w:val="2"/>
          <w:sz w:val="36"/>
          <w:szCs w:val="36"/>
          <w:lang w:val="en-US" w:eastAsia="zh-CN" w:bidi="ar-SA"/>
        </w:rPr>
        <w:t>2025年9月X日</w:t>
      </w:r>
    </w:p>
    <w:sdt>
      <w:sdtPr>
        <w:rPr>
          <w:rFonts w:ascii="宋体" w:hAnsi="宋体" w:eastAsia="宋体"/>
          <w:b/>
          <w:bCs/>
        </w:rPr>
        <w:id w:val="140857531"/>
        <w15:color w:val="DBDBDB"/>
        <w:docPartObj>
          <w:docPartGallery w:val="Table of Contents"/>
          <w:docPartUnique/>
        </w:docPartObj>
      </w:sdtPr>
      <w:sdtEndPr>
        <w:rPr>
          <w:rFonts w:ascii="仿宋_GB2312" w:hAnsi="仿宋" w:eastAsia="仿宋_GB2312"/>
          <w:b/>
          <w:bCs/>
          <w:szCs w:val="32"/>
        </w:rPr>
      </w:sdtEndPr>
      <w:sdtContent>
        <w:p>
          <w:pPr>
            <w:spacing w:line="360" w:lineRule="auto"/>
            <w:ind w:firstLine="0" w:firstLineChars="0"/>
            <w:jc w:val="center"/>
            <w:rPr>
              <w:b/>
              <w:bCs/>
            </w:rPr>
          </w:pPr>
          <w:r>
            <w:rPr>
              <w:rFonts w:hint="eastAsia" w:hAnsi="宋体"/>
              <w:b/>
              <w:bCs/>
            </w:rPr>
            <w:t>目录</w:t>
          </w:r>
        </w:p>
        <w:p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TOC \o "1-3" \f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_Toc473022763 </w:instrText>
          </w:r>
          <w:r>
            <w:fldChar w:fldCharType="separate"/>
          </w:r>
          <w:r>
            <w:rPr>
              <w:rFonts w:hint="eastAsia" w:ascii="黑体" w:hAnsi="黑体" w:eastAsia="黑体"/>
              <w:szCs w:val="32"/>
            </w:rPr>
            <w:t>一、基本情况</w:t>
          </w:r>
          <w:r>
            <w:tab/>
          </w:r>
          <w:r>
            <w:fldChar w:fldCharType="begin"/>
          </w:r>
          <w:r>
            <w:instrText xml:space="preserve"> PAGEREF _Toc473022763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_Toc109116547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（一）项目背景</w:t>
          </w:r>
          <w:r>
            <w:tab/>
          </w:r>
          <w:r>
            <w:fldChar w:fldCharType="begin"/>
          </w:r>
          <w:r>
            <w:instrText xml:space="preserve"> PAGEREF _Toc109116547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_Toc2118254538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（二）</w:t>
          </w:r>
          <w:r>
            <w:rPr>
              <w:rFonts w:hint="eastAsia" w:ascii="楷体_GB2312" w:hAnsi="楷体_GB2312" w:eastAsia="楷体_GB2312" w:cs="楷体_GB2312"/>
              <w:szCs w:val="32"/>
              <w:lang w:val="en-US" w:eastAsia="zh-CN"/>
            </w:rPr>
            <w:t>项目</w:t>
          </w:r>
          <w:r>
            <w:rPr>
              <w:rFonts w:hint="eastAsia" w:ascii="楷体_GB2312" w:hAnsi="楷体_GB2312" w:eastAsia="楷体_GB2312" w:cs="楷体_GB2312"/>
              <w:szCs w:val="32"/>
            </w:rPr>
            <w:t>内容</w:t>
          </w:r>
          <w:r>
            <w:tab/>
          </w:r>
          <w:r>
            <w:fldChar w:fldCharType="begin"/>
          </w:r>
          <w:r>
            <w:instrText xml:space="preserve"> PAGEREF _Toc2118254538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_Toc520120200 </w:instrText>
          </w:r>
          <w:r>
            <w:fldChar w:fldCharType="separate"/>
          </w:r>
          <w:r>
            <w:rPr>
              <w:rFonts w:hint="eastAsia"/>
              <w:szCs w:val="32"/>
            </w:rPr>
            <w:t>1. 功能指标</w:t>
          </w:r>
          <w:r>
            <w:tab/>
          </w:r>
          <w:r>
            <w:fldChar w:fldCharType="begin"/>
          </w:r>
          <w:r>
            <w:instrText xml:space="preserve"> PAGEREF _Toc520120200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_Toc1401758110 </w:instrText>
          </w:r>
          <w:r>
            <w:fldChar w:fldCharType="separate"/>
          </w:r>
          <w:r>
            <w:rPr>
              <w:rFonts w:hint="eastAsia"/>
              <w:szCs w:val="32"/>
            </w:rPr>
            <w:t>2. 性能指标</w:t>
          </w:r>
          <w:r>
            <w:tab/>
          </w:r>
          <w:r>
            <w:fldChar w:fldCharType="begin"/>
          </w:r>
          <w:r>
            <w:instrText xml:space="preserve"> PAGEREF _Toc1401758110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_Toc1452947180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（三）单位情况</w:t>
          </w:r>
          <w:r>
            <w:tab/>
          </w:r>
          <w:r>
            <w:fldChar w:fldCharType="begin"/>
          </w:r>
          <w:r>
            <w:instrText xml:space="preserve"> PAGEREF _Toc1452947180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_Toc646704223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 xml:space="preserve">（四） </w:t>
          </w:r>
          <w:r>
            <w:rPr>
              <w:rFonts w:hint="eastAsia" w:ascii="楷体_GB2312" w:hAnsi="楷体_GB2312" w:eastAsia="楷体_GB2312" w:cs="楷体_GB2312"/>
              <w:szCs w:val="32"/>
              <w:lang w:val="en-US" w:eastAsia="zh-CN"/>
            </w:rPr>
            <w:t>项目</w:t>
          </w:r>
          <w:r>
            <w:rPr>
              <w:rFonts w:hint="eastAsia" w:ascii="楷体_GB2312" w:hAnsi="楷体_GB2312" w:eastAsia="楷体_GB2312" w:cs="楷体_GB2312"/>
              <w:szCs w:val="32"/>
            </w:rPr>
            <w:t>周期</w:t>
          </w:r>
          <w:r>
            <w:tab/>
          </w:r>
          <w:r>
            <w:fldChar w:fldCharType="begin"/>
          </w:r>
          <w:r>
            <w:instrText xml:space="preserve"> PAGEREF _Toc646704223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_Toc743138494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（五）经费概况</w:t>
          </w:r>
          <w:r>
            <w:tab/>
          </w:r>
          <w:r>
            <w:fldChar w:fldCharType="begin"/>
          </w:r>
          <w:r>
            <w:instrText xml:space="preserve"> PAGEREF _Toc743138494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_Toc163777706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（五） 成果及交付形式</w:t>
          </w:r>
          <w:r>
            <w:tab/>
          </w:r>
          <w:r>
            <w:fldChar w:fldCharType="begin"/>
          </w:r>
          <w:r>
            <w:instrText xml:space="preserve"> PAGEREF _Toc163777706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_Toc1685352935 </w:instrText>
          </w:r>
          <w:r>
            <w:fldChar w:fldCharType="separate"/>
          </w:r>
          <w:r>
            <w:rPr>
              <w:rFonts w:hint="eastAsia" w:ascii="黑体" w:hAnsi="黑体" w:eastAsia="黑体"/>
              <w:szCs w:val="32"/>
            </w:rPr>
            <w:t>二、方案依据</w:t>
          </w:r>
          <w:r>
            <w:tab/>
          </w:r>
          <w:r>
            <w:fldChar w:fldCharType="begin"/>
          </w:r>
          <w:r>
            <w:instrText xml:space="preserve"> PAGEREF _Toc1685352935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_Toc417474615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（一）参照法规标准</w:t>
          </w:r>
          <w:r>
            <w:tab/>
          </w:r>
          <w:r>
            <w:fldChar w:fldCharType="begin"/>
          </w:r>
          <w:r>
            <w:instrText xml:space="preserve"> PAGEREF _Toc417474615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_Toc666779556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（二）比照条件分析</w:t>
          </w:r>
          <w:r>
            <w:tab/>
          </w:r>
          <w:r>
            <w:fldChar w:fldCharType="begin"/>
          </w:r>
          <w:r>
            <w:instrText xml:space="preserve"> PAGEREF _Toc666779556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_Toc994327646 </w:instrText>
          </w:r>
          <w:r>
            <w:fldChar w:fldCharType="separate"/>
          </w:r>
          <w:r>
            <w:rPr>
              <w:rFonts w:hint="eastAsia"/>
            </w:rPr>
            <w:t>1. 同类项目价格对标​</w:t>
          </w:r>
          <w:r>
            <w:tab/>
          </w:r>
          <w:r>
            <w:fldChar w:fldCharType="begin"/>
          </w:r>
          <w:r>
            <w:instrText xml:space="preserve"> PAGEREF _Toc994327646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_Toc2094489015 </w:instrText>
          </w:r>
          <w:r>
            <w:fldChar w:fldCharType="separate"/>
          </w:r>
          <w:r>
            <w:rPr>
              <w:rFonts w:hint="eastAsia"/>
            </w:rPr>
            <w:t>2. 核心资源价格询价​</w:t>
          </w:r>
          <w:r>
            <w:tab/>
          </w:r>
          <w:r>
            <w:fldChar w:fldCharType="begin"/>
          </w:r>
          <w:r>
            <w:instrText xml:space="preserve"> PAGEREF _Toc2094489015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_Toc524933481 </w:instrText>
          </w:r>
          <w:r>
            <w:fldChar w:fldCharType="separate"/>
          </w:r>
          <w:r>
            <w:rPr>
              <w:rFonts w:hint="eastAsia"/>
            </w:rPr>
            <w:t>3. 费用标准锚定与核算​</w:t>
          </w:r>
          <w:r>
            <w:tab/>
          </w:r>
          <w:r>
            <w:fldChar w:fldCharType="begin"/>
          </w:r>
          <w:r>
            <w:instrText xml:space="preserve"> PAGEREF _Toc524933481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_Toc694193291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（三）论证方法</w:t>
          </w:r>
          <w:r>
            <w:tab/>
          </w:r>
          <w:r>
            <w:fldChar w:fldCharType="begin"/>
          </w:r>
          <w:r>
            <w:instrText xml:space="preserve"> PAGEREF _Toc694193291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_Toc27987686 </w:instrText>
          </w:r>
          <w:r>
            <w:fldChar w:fldCharType="separate"/>
          </w:r>
          <w:r>
            <w:rPr>
              <w:rFonts w:hint="eastAsia"/>
            </w:rPr>
            <w:t>1. 分类论证法​</w:t>
          </w:r>
          <w:r>
            <w:tab/>
          </w:r>
          <w:r>
            <w:fldChar w:fldCharType="begin"/>
          </w:r>
          <w:r>
            <w:instrText xml:space="preserve"> PAGEREF _Toc27987686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_Toc90119909 </w:instrText>
          </w:r>
          <w:r>
            <w:fldChar w:fldCharType="separate"/>
          </w:r>
          <w:r>
            <w:rPr>
              <w:rFonts w:hint="eastAsia"/>
            </w:rPr>
            <w:t>2. 量化支撑论证法​</w:t>
          </w:r>
          <w:r>
            <w:tab/>
          </w:r>
          <w:r>
            <w:fldChar w:fldCharType="begin"/>
          </w:r>
          <w:r>
            <w:instrText xml:space="preserve"> PAGEREF _Toc90119909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_Toc669339428 </w:instrText>
          </w:r>
          <w:r>
            <w:fldChar w:fldCharType="separate"/>
          </w:r>
          <w:r>
            <w:rPr>
              <w:rFonts w:hint="eastAsia"/>
            </w:rPr>
            <w:t>3. 成本溯源论证法​</w:t>
          </w:r>
          <w:r>
            <w:tab/>
          </w:r>
          <w:r>
            <w:fldChar w:fldCharType="begin"/>
          </w:r>
          <w:r>
            <w:instrText xml:space="preserve"> PAGEREF _Toc669339428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_Toc1068423410 </w:instrText>
          </w:r>
          <w:r>
            <w:fldChar w:fldCharType="separate"/>
          </w:r>
          <w:r>
            <w:rPr>
              <w:rFonts w:hint="eastAsia" w:ascii="黑体" w:hAnsi="黑体" w:eastAsia="黑体"/>
              <w:szCs w:val="32"/>
            </w:rPr>
            <w:t>三、 项目技术内容与经费报价方案及测算理由</w:t>
          </w:r>
          <w:r>
            <w:tab/>
          </w:r>
          <w:r>
            <w:fldChar w:fldCharType="begin"/>
          </w:r>
          <w:r>
            <w:instrText xml:space="preserve"> PAGEREF _Toc1068423410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_Toc1881479303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  <w:lang w:eastAsia="zh-CN"/>
            </w:rPr>
            <w:t>（</w:t>
          </w:r>
          <w:r>
            <w:rPr>
              <w:rFonts w:hint="eastAsia" w:ascii="楷体_GB2312" w:hAnsi="楷体_GB2312" w:eastAsia="楷体_GB2312" w:cs="楷体_GB2312"/>
              <w:szCs w:val="32"/>
              <w:lang w:val="en-US" w:eastAsia="zh-CN"/>
            </w:rPr>
            <w:t>一</w:t>
          </w:r>
          <w:r>
            <w:rPr>
              <w:rFonts w:hint="eastAsia" w:ascii="楷体_GB2312" w:hAnsi="楷体_GB2312" w:eastAsia="楷体_GB2312" w:cs="楷体_GB2312"/>
              <w:szCs w:val="32"/>
              <w:lang w:eastAsia="zh-CN"/>
            </w:rPr>
            <w:t>）</w:t>
          </w:r>
          <w:r>
            <w:rPr>
              <w:rFonts w:hint="eastAsia" w:ascii="楷体_GB2312" w:hAnsi="楷体_GB2312" w:eastAsia="楷体_GB2312" w:cs="楷体_GB2312"/>
              <w:szCs w:val="32"/>
            </w:rPr>
            <w:t>技术方案</w:t>
          </w:r>
          <w:r>
            <w:tab/>
          </w:r>
          <w:r>
            <w:fldChar w:fldCharType="begin"/>
          </w:r>
          <w:r>
            <w:instrText xml:space="preserve"> PAGEREF _Toc1881479303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_Toc325943446 </w:instrText>
          </w:r>
          <w:r>
            <w:fldChar w:fldCharType="separate"/>
          </w:r>
          <w:r>
            <w:rPr>
              <w:szCs w:val="32"/>
            </w:rPr>
            <w:t xml:space="preserve">1. </w:t>
          </w:r>
          <w:r>
            <w:rPr>
              <w:rFonts w:hint="eastAsia"/>
              <w:szCs w:val="32"/>
              <w:lang w:val="en-US" w:eastAsia="zh-CN"/>
            </w:rPr>
            <w:t>系统设计</w:t>
          </w:r>
          <w:r>
            <w:tab/>
          </w:r>
          <w:r>
            <w:fldChar w:fldCharType="begin"/>
          </w:r>
          <w:r>
            <w:instrText xml:space="preserve"> PAGEREF _Toc325943446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_Toc2048197072 </w:instrText>
          </w:r>
          <w:r>
            <w:fldChar w:fldCharType="separate"/>
          </w:r>
          <w:r>
            <w:rPr>
              <w:szCs w:val="32"/>
            </w:rPr>
            <w:t xml:space="preserve">2. </w:t>
          </w:r>
          <w:r>
            <w:rPr>
              <w:rFonts w:hint="eastAsia"/>
              <w:szCs w:val="32"/>
            </w:rPr>
            <w:t>架构设计</w:t>
          </w:r>
          <w:r>
            <w:tab/>
          </w:r>
          <w:r>
            <w:fldChar w:fldCharType="begin"/>
          </w:r>
          <w:r>
            <w:instrText xml:space="preserve"> PAGEREF _Toc2048197072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_Toc2032811341 </w:instrText>
          </w:r>
          <w:r>
            <w:fldChar w:fldCharType="separate"/>
          </w:r>
          <w:r>
            <w:rPr>
              <w:szCs w:val="32"/>
            </w:rPr>
            <w:t xml:space="preserve">3. 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基础功能——</w:t>
          </w:r>
          <w:r>
            <w:rPr>
              <w:rFonts w:hint="eastAsia"/>
              <w:szCs w:val="32"/>
            </w:rPr>
            <w:t>模型管理</w:t>
          </w:r>
          <w:r>
            <w:tab/>
          </w:r>
          <w:r>
            <w:fldChar w:fldCharType="begin"/>
          </w:r>
          <w:r>
            <w:instrText xml:space="preserve"> PAGEREF _Toc2032811341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_Toc1142868064 </w:instrText>
          </w:r>
          <w:r>
            <w:fldChar w:fldCharType="separate"/>
          </w:r>
          <w:r>
            <w:rPr>
              <w:szCs w:val="32"/>
            </w:rPr>
            <w:t xml:space="preserve">4. 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功能指标1：</w:t>
          </w:r>
          <w:r>
            <w:rPr>
              <w:rFonts w:hint="eastAsia"/>
              <w:szCs w:val="32"/>
            </w:rPr>
            <w:t>可支持模型的跨平台、跨底层架构的格式转化</w:t>
          </w:r>
          <w:r>
            <w:tab/>
          </w:r>
          <w:r>
            <w:fldChar w:fldCharType="begin"/>
          </w:r>
          <w:r>
            <w:instrText xml:space="preserve"> PAGEREF _Toc1142868064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_Toc1089812880 </w:instrText>
          </w:r>
          <w:r>
            <w:fldChar w:fldCharType="separate"/>
          </w:r>
          <w:r>
            <w:rPr>
              <w:szCs w:val="32"/>
            </w:rPr>
            <w:t xml:space="preserve">5. 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功能指标2：</w:t>
          </w:r>
          <w:r>
            <w:rPr>
              <w:rFonts w:hint="eastAsia"/>
              <w:szCs w:val="32"/>
            </w:rPr>
            <w:t>可根据模型格式进行模型可视化</w:t>
          </w:r>
          <w:r>
            <w:tab/>
          </w:r>
          <w:r>
            <w:fldChar w:fldCharType="begin"/>
          </w:r>
          <w:r>
            <w:instrText xml:space="preserve"> PAGEREF _Toc1089812880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_Toc597048897 </w:instrText>
          </w:r>
          <w:r>
            <w:fldChar w:fldCharType="separate"/>
          </w:r>
          <w:r>
            <w:rPr>
              <w:szCs w:val="32"/>
            </w:rPr>
            <w:t xml:space="preserve">6. 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跨平台推理测试模块</w:t>
          </w:r>
          <w:r>
            <w:tab/>
          </w:r>
          <w:r>
            <w:fldChar w:fldCharType="begin"/>
          </w:r>
          <w:r>
            <w:instrText xml:space="preserve"> PAGEREF _Toc597048897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_Toc1557213095 </w:instrText>
          </w:r>
          <w:r>
            <w:fldChar w:fldCharType="separate"/>
          </w:r>
          <w:r>
            <w:rPr>
              <w:szCs w:val="32"/>
            </w:rPr>
            <w:t xml:space="preserve">7. 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任务监控模块</w:t>
          </w:r>
          <w:r>
            <w:tab/>
          </w:r>
          <w:r>
            <w:fldChar w:fldCharType="begin"/>
          </w:r>
          <w:r>
            <w:instrText xml:space="preserve"> PAGEREF _Toc1557213095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_Toc697281676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</w:t>
          </w:r>
          <w:r>
            <w:rPr>
              <w:rFonts w:hint="eastAsia" w:ascii="楷体_GB2312" w:hAnsi="楷体_GB2312" w:eastAsia="楷体_GB2312" w:cs="楷体_GB2312"/>
              <w:szCs w:val="32"/>
              <w:lang w:val="en-US" w:eastAsia="zh-CN"/>
            </w:rPr>
            <w:t>二</w:t>
          </w:r>
          <w:r>
            <w:rPr>
              <w:rFonts w:hint="eastAsia" w:ascii="楷体_GB2312" w:hAnsi="楷体_GB2312" w:eastAsia="楷体_GB2312" w:cs="楷体_GB2312"/>
              <w:szCs w:val="32"/>
            </w:rPr>
            <w:t>）工作内容</w:t>
          </w:r>
          <w:r>
            <w:tab/>
          </w:r>
          <w:r>
            <w:fldChar w:fldCharType="begin"/>
          </w:r>
          <w:r>
            <w:instrText xml:space="preserve"> PAGEREF _Toc697281676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_Toc394866853 </w:instrText>
          </w:r>
          <w:r>
            <w:fldChar w:fldCharType="separate"/>
          </w:r>
          <w:r>
            <w:rPr>
              <w:szCs w:val="32"/>
            </w:rPr>
            <w:t xml:space="preserve">1. </w:t>
          </w:r>
          <w:r>
            <w:rPr>
              <w:rFonts w:hint="eastAsia"/>
              <w:szCs w:val="32"/>
            </w:rPr>
            <w:t>需求深度调研与确认</w:t>
          </w:r>
          <w:r>
            <w:tab/>
          </w:r>
          <w:r>
            <w:fldChar w:fldCharType="begin"/>
          </w:r>
          <w:r>
            <w:instrText xml:space="preserve"> PAGEREF _Toc394866853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_Toc802729141 </w:instrText>
          </w:r>
          <w:r>
            <w:fldChar w:fldCharType="separate"/>
          </w:r>
          <w:r>
            <w:rPr>
              <w:szCs w:val="32"/>
            </w:rPr>
            <w:t xml:space="preserve">2. </w:t>
          </w:r>
          <w:r>
            <w:rPr>
              <w:rFonts w:hint="eastAsia"/>
              <w:szCs w:val="32"/>
            </w:rPr>
            <w:t>资源与环境搭建</w:t>
          </w:r>
          <w:r>
            <w:tab/>
          </w:r>
          <w:r>
            <w:fldChar w:fldCharType="begin"/>
          </w:r>
          <w:r>
            <w:instrText xml:space="preserve"> PAGEREF _Toc802729141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_Toc976402333 </w:instrText>
          </w:r>
          <w:r>
            <w:fldChar w:fldCharType="separate"/>
          </w:r>
          <w:r>
            <w:rPr>
              <w:szCs w:val="32"/>
            </w:rPr>
            <w:t xml:space="preserve">3. </w:t>
          </w:r>
          <w:r>
            <w:rPr>
              <w:rFonts w:hint="eastAsia"/>
              <w:szCs w:val="32"/>
            </w:rPr>
            <w:t>软件架构与模块开发</w:t>
          </w:r>
          <w:r>
            <w:tab/>
          </w:r>
          <w:r>
            <w:fldChar w:fldCharType="begin"/>
          </w:r>
          <w:r>
            <w:instrText xml:space="preserve"> PAGEREF _Toc976402333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_Toc1471464004 </w:instrText>
          </w:r>
          <w:r>
            <w:fldChar w:fldCharType="separate"/>
          </w:r>
          <w:r>
            <w:rPr>
              <w:szCs w:val="32"/>
            </w:rPr>
            <w:t xml:space="preserve">4. </w:t>
          </w:r>
          <w:r>
            <w:rPr>
              <w:rFonts w:hint="eastAsia"/>
              <w:szCs w:val="32"/>
            </w:rPr>
            <w:t>20类模型与4类平台适配调试</w:t>
          </w:r>
          <w:r>
            <w:tab/>
          </w:r>
          <w:r>
            <w:fldChar w:fldCharType="begin"/>
          </w:r>
          <w:r>
            <w:instrText xml:space="preserve"> PAGEREF _Toc1471464004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_Toc473836376 </w:instrText>
          </w:r>
          <w:r>
            <w:fldChar w:fldCharType="separate"/>
          </w:r>
          <w:r>
            <w:rPr>
              <w:szCs w:val="32"/>
            </w:rPr>
            <w:t xml:space="preserve">5. </w:t>
          </w:r>
          <w:r>
            <w:rPr>
              <w:rFonts w:hint="eastAsia"/>
              <w:szCs w:val="32"/>
            </w:rPr>
            <w:t>功能与性能测试</w:t>
          </w:r>
          <w:r>
            <w:rPr>
              <w:rFonts w:hint="eastAsia"/>
              <w:szCs w:val="32"/>
              <w:lang w:eastAsia="zh-CN"/>
            </w:rPr>
            <w:t>、问题修复与优化</w:t>
          </w:r>
          <w:r>
            <w:tab/>
          </w:r>
          <w:r>
            <w:fldChar w:fldCharType="begin"/>
          </w:r>
          <w:r>
            <w:instrText xml:space="preserve"> PAGEREF _Toc473836376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_Toc898608356 </w:instrText>
          </w:r>
          <w:r>
            <w:fldChar w:fldCharType="separate"/>
          </w:r>
          <w:r>
            <w:rPr>
              <w:szCs w:val="32"/>
            </w:rPr>
            <w:t xml:space="preserve">6. </w:t>
          </w:r>
          <w:r>
            <w:rPr>
              <w:rFonts w:hint="eastAsia"/>
              <w:szCs w:val="32"/>
            </w:rPr>
            <w:t>交付与服务阶段</w:t>
          </w:r>
          <w:r>
            <w:tab/>
          </w:r>
          <w:r>
            <w:fldChar w:fldCharType="begin"/>
          </w:r>
          <w:r>
            <w:instrText xml:space="preserve"> PAGEREF _Toc898608356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_Toc1805633588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（三）经费报价方案及测算理由</w:t>
          </w:r>
          <w:r>
            <w:tab/>
          </w:r>
          <w:r>
            <w:fldChar w:fldCharType="begin"/>
          </w:r>
          <w:r>
            <w:instrText xml:space="preserve"> PAGEREF _Toc1805633588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_Toc1192297759 </w:instrText>
          </w:r>
          <w:r>
            <w:fldChar w:fldCharType="separate"/>
          </w:r>
          <w:r>
            <w:rPr>
              <w:szCs w:val="32"/>
            </w:rPr>
            <w:t xml:space="preserve">1. </w:t>
          </w:r>
          <w:r>
            <w:rPr>
              <w:rFonts w:hint="eastAsia"/>
              <w:szCs w:val="32"/>
              <w:lang w:val="en-US" w:eastAsia="zh-CN"/>
            </w:rPr>
            <w:t>直接费用</w:t>
          </w:r>
          <w:r>
            <w:rPr>
              <w:rFonts w:hint="eastAsia" w:eastAsia="仿宋_GB2312"/>
              <w:szCs w:val="32"/>
              <w:lang w:eastAsia="zh-CN"/>
            </w:rPr>
            <w:t>（</w:t>
          </w:r>
          <w:r>
            <w:rPr>
              <w:rFonts w:hint="eastAsia"/>
              <w:szCs w:val="32"/>
              <w:lang w:val="en-US" w:eastAsia="zh-CN"/>
            </w:rPr>
            <w:t>11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.</w:t>
          </w:r>
          <w:r>
            <w:rPr>
              <w:rFonts w:hint="eastAsia"/>
              <w:szCs w:val="32"/>
              <w:lang w:val="en-US" w:eastAsia="zh-CN"/>
            </w:rPr>
            <w:t>18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万元）</w:t>
          </w:r>
          <w:r>
            <w:tab/>
          </w:r>
          <w:r>
            <w:fldChar w:fldCharType="begin"/>
          </w:r>
          <w:r>
            <w:instrText xml:space="preserve"> PAGEREF _Toc1192297759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_Toc778525356 </w:instrText>
          </w:r>
          <w:r>
            <w:fldChar w:fldCharType="separate"/>
          </w:r>
          <w:r>
            <w:rPr>
              <w:szCs w:val="32"/>
            </w:rPr>
            <w:t xml:space="preserve">2. </w:t>
          </w:r>
          <w:r>
            <w:rPr>
              <w:rFonts w:hint="eastAsia"/>
              <w:szCs w:val="32"/>
              <w:lang w:val="en-US" w:eastAsia="zh-CN"/>
            </w:rPr>
            <w:t>间接</w:t>
          </w:r>
          <w:r>
            <w:rPr>
              <w:rFonts w:hint="eastAsia"/>
              <w:szCs w:val="32"/>
            </w:rPr>
            <w:t>费</w:t>
          </w:r>
          <w:r>
            <w:rPr>
              <w:rFonts w:hint="eastAsia"/>
              <w:szCs w:val="32"/>
              <w:lang w:eastAsia="zh-CN"/>
            </w:rPr>
            <w:t>（</w:t>
          </w:r>
          <w:r>
            <w:rPr>
              <w:rFonts w:hint="eastAsia"/>
              <w:szCs w:val="32"/>
              <w:lang w:val="en-US" w:eastAsia="zh-CN"/>
            </w:rPr>
            <w:t>27.50万元）</w:t>
          </w:r>
          <w:r>
            <w:tab/>
          </w:r>
          <w:r>
            <w:fldChar w:fldCharType="begin"/>
          </w:r>
          <w:r>
            <w:instrText xml:space="preserve"> PAGEREF _Toc778525356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_Toc57797121 </w:instrText>
          </w:r>
          <w:r>
            <w:fldChar w:fldCharType="separate"/>
          </w:r>
          <w:r>
            <w:rPr>
              <w:szCs w:val="32"/>
            </w:rPr>
            <w:t xml:space="preserve">3. </w:t>
          </w:r>
          <w:r>
            <w:rPr>
              <w:rFonts w:hint="eastAsia"/>
              <w:szCs w:val="32"/>
              <w:lang w:val="en-US" w:eastAsia="zh-CN"/>
            </w:rPr>
            <w:t>管理</w:t>
          </w:r>
          <w:r>
            <w:rPr>
              <w:rFonts w:hint="eastAsia"/>
              <w:szCs w:val="32"/>
            </w:rPr>
            <w:t>费</w:t>
          </w:r>
          <w:r>
            <w:rPr>
              <w:rFonts w:hint="eastAsia" w:eastAsia="仿宋_GB2312"/>
              <w:szCs w:val="32"/>
              <w:lang w:eastAsia="zh-CN"/>
            </w:rPr>
            <w:t>（</w:t>
          </w:r>
          <w:r>
            <w:rPr>
              <w:rFonts w:hint="eastAsia"/>
              <w:szCs w:val="32"/>
              <w:lang w:val="en-US" w:eastAsia="zh-CN"/>
            </w:rPr>
            <w:t>5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.</w:t>
          </w:r>
          <w:r>
            <w:rPr>
              <w:rFonts w:hint="eastAsia"/>
              <w:szCs w:val="32"/>
              <w:lang w:val="en-US" w:eastAsia="zh-CN"/>
            </w:rPr>
            <w:t>0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0万元）</w:t>
          </w:r>
          <w:r>
            <w:tab/>
          </w:r>
          <w:r>
            <w:fldChar w:fldCharType="begin"/>
          </w:r>
          <w:r>
            <w:instrText xml:space="preserve"> PAGEREF _Toc57797121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_Toc733604203 </w:instrText>
          </w:r>
          <w:r>
            <w:fldChar w:fldCharType="separate"/>
          </w:r>
          <w:r>
            <w:rPr>
              <w:szCs w:val="32"/>
            </w:rPr>
            <w:t xml:space="preserve">4. </w:t>
          </w:r>
          <w:r>
            <w:rPr>
              <w:rFonts w:hint="eastAsia"/>
              <w:szCs w:val="32"/>
              <w:lang w:val="en-US" w:eastAsia="zh-CN"/>
            </w:rPr>
            <w:t>其他费用</w:t>
          </w:r>
          <w:r>
            <w:rPr>
              <w:rFonts w:hint="eastAsia" w:eastAsia="仿宋_GB2312"/>
              <w:szCs w:val="32"/>
              <w:lang w:eastAsia="zh-CN"/>
            </w:rPr>
            <w:t>（</w:t>
          </w:r>
          <w:r>
            <w:rPr>
              <w:rFonts w:hint="eastAsia"/>
              <w:szCs w:val="32"/>
              <w:lang w:val="en-US" w:eastAsia="zh-CN"/>
            </w:rPr>
            <w:t>3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.</w:t>
          </w:r>
          <w:r>
            <w:rPr>
              <w:rFonts w:hint="eastAsia"/>
              <w:szCs w:val="32"/>
              <w:lang w:val="en-US" w:eastAsia="zh-CN"/>
            </w:rPr>
            <w:t>85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万元）</w:t>
          </w:r>
          <w:r>
            <w:tab/>
          </w:r>
          <w:r>
            <w:fldChar w:fldCharType="begin"/>
          </w:r>
          <w:r>
            <w:instrText xml:space="preserve"> PAGEREF _Toc733604203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 w:line="480" w:lineRule="exact"/>
            <w:textAlignment w:val="baseline"/>
          </w:pPr>
          <w:r>
            <w:fldChar w:fldCharType="begin"/>
          </w:r>
          <w:r>
            <w:instrText xml:space="preserve"> HYPERLINK \l _Toc982222394 </w:instrText>
          </w:r>
          <w:r>
            <w:fldChar w:fldCharType="separate"/>
          </w:r>
          <w:r>
            <w:rPr>
              <w:rFonts w:hint="eastAsia" w:ascii="黑体" w:hAnsi="黑体" w:eastAsia="黑体"/>
              <w:szCs w:val="32"/>
            </w:rPr>
            <w:t>四、结论</w:t>
          </w:r>
          <w:r>
            <w:tab/>
          </w:r>
          <w:r>
            <w:fldChar w:fldCharType="begin"/>
          </w:r>
          <w:r>
            <w:instrText xml:space="preserve"> PAGEREF _Toc982222394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  <w:p>
          <w:pPr>
            <w:pStyle w:val="2"/>
            <w:spacing w:line="360" w:lineRule="auto"/>
            <w:ind w:firstLine="0" w:firstLineChars="0"/>
            <w:rPr>
              <w:b/>
              <w:szCs w:val="32"/>
            </w:rPr>
          </w:pPr>
        </w:p>
      </w:sdtContent>
    </w:sdt>
    <w:p>
      <w:pPr>
        <w:widowControl/>
        <w:ind w:firstLine="712"/>
        <w:jc w:val="center"/>
        <w:rPr>
          <w:rFonts w:ascii="楷体_GB2312" w:eastAsia="楷体_GB2312"/>
          <w:sz w:val="36"/>
          <w:szCs w:val="36"/>
        </w:rPr>
      </w:pPr>
    </w:p>
    <w:p>
      <w:pPr>
        <w:widowControl/>
        <w:rPr>
          <w:sz w:val="32"/>
          <w:szCs w:val="32"/>
        </w:rPr>
        <w:sectPr>
          <w:pgSz w:w="11907" w:h="16840"/>
          <w:pgMar w:top="2098" w:right="1474" w:bottom="1814" w:left="1587" w:header="851" w:footer="1607" w:gutter="0"/>
          <w:cols w:space="720" w:num="1"/>
          <w:docGrid w:type="linesAndChars" w:linePitch="586" w:charSpace="-842"/>
        </w:sectPr>
      </w:pPr>
    </w:p>
    <w:p>
      <w:pPr>
        <w:snapToGrid/>
        <w:outlineLvl w:val="0"/>
        <w:rPr>
          <w:rFonts w:ascii="黑体" w:hAnsi="黑体" w:eastAsia="黑体"/>
          <w:sz w:val="32"/>
          <w:szCs w:val="32"/>
        </w:rPr>
      </w:pPr>
      <w:bookmarkStart w:id="0" w:name="_Toc473022763"/>
      <w:bookmarkStart w:id="1" w:name="_Toc357423493"/>
      <w:bookmarkStart w:id="2" w:name="_Toc372529518"/>
      <w:bookmarkStart w:id="3" w:name="_Toc198653961"/>
      <w:r>
        <w:rPr>
          <w:rFonts w:hint="eastAsia" w:ascii="黑体" w:hAnsi="黑体" w:eastAsia="黑体"/>
          <w:sz w:val="32"/>
          <w:szCs w:val="32"/>
        </w:rPr>
        <w:t>一、基本情况</w:t>
      </w:r>
      <w:bookmarkEnd w:id="0"/>
      <w:bookmarkEnd w:id="1"/>
      <w:bookmarkEnd w:id="2"/>
      <w:bookmarkEnd w:id="3"/>
    </w:p>
    <w:p>
      <w:pPr>
        <w:outlineLvl w:val="1"/>
        <w:rPr>
          <w:rFonts w:ascii="楷体_GB2312" w:hAnsi="楷体_GB2312" w:eastAsia="楷体_GB2312" w:cs="楷体_GB2312"/>
          <w:sz w:val="32"/>
          <w:szCs w:val="32"/>
        </w:rPr>
      </w:pPr>
      <w:bookmarkStart w:id="4" w:name="_Toc704886192"/>
      <w:bookmarkStart w:id="5" w:name="_Toc109116547"/>
      <w:bookmarkStart w:id="6" w:name="_Toc198653962"/>
      <w:r>
        <w:rPr>
          <w:rFonts w:hint="eastAsia" w:ascii="楷体_GB2312" w:hAnsi="楷体_GB2312" w:eastAsia="楷体_GB2312" w:cs="楷体_GB2312"/>
          <w:sz w:val="32"/>
          <w:szCs w:val="32"/>
        </w:rPr>
        <w:t>（一）项目背景</w:t>
      </w:r>
      <w:bookmarkEnd w:id="4"/>
      <w:bookmarkEnd w:id="5"/>
      <w:bookmarkEnd w:id="6"/>
    </w:p>
    <w:p>
      <w:pPr>
        <w:pStyle w:val="2"/>
        <w:ind w:firstLine="552"/>
      </w:pPr>
      <w:r>
        <w:rPr>
          <w:rFonts w:hint="eastAsia"/>
        </w:rPr>
        <w:t>本工具为软件形式在试验场内场调试机内安装，可支持各类载荷的智能模型进行跨平台、跨底层架构的模型格式转化，可支撑智能模型的部署测试。</w:t>
      </w:r>
    </w:p>
    <w:p>
      <w:pPr>
        <w:outlineLvl w:val="1"/>
        <w:rPr>
          <w:rFonts w:ascii="楷体_GB2312" w:hAnsi="楷体_GB2312" w:eastAsia="楷体_GB2312" w:cs="楷体_GB2312"/>
          <w:sz w:val="32"/>
          <w:szCs w:val="32"/>
        </w:rPr>
      </w:pPr>
      <w:bookmarkStart w:id="7" w:name="_Toc2118254538"/>
      <w:bookmarkStart w:id="8" w:name="_Toc1502432092"/>
      <w:bookmarkStart w:id="9" w:name="_Toc198653963"/>
      <w:r>
        <w:rPr>
          <w:rFonts w:hint="eastAsia" w:ascii="楷体_GB2312" w:hAnsi="楷体_GB2312" w:eastAsia="楷体_GB2312" w:cs="楷体_GB2312"/>
          <w:sz w:val="32"/>
          <w:szCs w:val="32"/>
        </w:rPr>
        <w:t>（二）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项目</w:t>
      </w:r>
      <w:r>
        <w:rPr>
          <w:rFonts w:hint="eastAsia" w:ascii="楷体_GB2312" w:hAnsi="楷体_GB2312" w:eastAsia="楷体_GB2312" w:cs="楷体_GB2312"/>
          <w:sz w:val="32"/>
          <w:szCs w:val="32"/>
        </w:rPr>
        <w:t>内容</w:t>
      </w:r>
      <w:bookmarkEnd w:id="7"/>
      <w:bookmarkEnd w:id="8"/>
      <w:bookmarkEnd w:id="9"/>
    </w:p>
    <w:p>
      <w:pPr>
        <w:numPr>
          <w:ilvl w:val="0"/>
          <w:numId w:val="1"/>
        </w:numPr>
        <w:outlineLvl w:val="2"/>
        <w:rPr>
          <w:rFonts w:hint="eastAsia"/>
          <w:sz w:val="32"/>
          <w:szCs w:val="32"/>
        </w:rPr>
      </w:pPr>
      <w:bookmarkStart w:id="10" w:name="_Toc520120200"/>
      <w:r>
        <w:rPr>
          <w:rFonts w:hint="eastAsia"/>
          <w:sz w:val="32"/>
          <w:szCs w:val="32"/>
        </w:rPr>
        <w:t>功能指标</w:t>
      </w:r>
      <w:bookmarkEnd w:id="10"/>
    </w:p>
    <w:p>
      <w:pPr>
        <w:numPr>
          <w:ilvl w:val="1"/>
          <w:numId w:val="2"/>
        </w:numPr>
        <w:outlineLvl w:val="3"/>
        <w:rPr>
          <w:rFonts w:hint="eastAsia"/>
        </w:rPr>
      </w:pPr>
      <w:r>
        <w:rPr>
          <w:rFonts w:hint="eastAsia"/>
        </w:rPr>
        <w:t>可支持模型的跨平台、跨底层架构的格式转化；</w:t>
      </w:r>
    </w:p>
    <w:p>
      <w:pPr>
        <w:numPr>
          <w:ilvl w:val="1"/>
          <w:numId w:val="2"/>
        </w:numPr>
        <w:outlineLvl w:val="3"/>
        <w:rPr>
          <w:rFonts w:hint="eastAsia"/>
        </w:rPr>
      </w:pPr>
      <w:r>
        <w:rPr>
          <w:rFonts w:hint="eastAsia"/>
        </w:rPr>
        <w:t>可根据模型格式进行模型可视化。</w:t>
      </w:r>
    </w:p>
    <w:p>
      <w:pPr>
        <w:numPr>
          <w:ilvl w:val="0"/>
          <w:numId w:val="1"/>
        </w:numPr>
        <w:outlineLvl w:val="2"/>
        <w:rPr>
          <w:rFonts w:hint="eastAsia"/>
          <w:sz w:val="32"/>
          <w:szCs w:val="32"/>
        </w:rPr>
      </w:pPr>
      <w:bookmarkStart w:id="11" w:name="_Toc1401758110"/>
      <w:r>
        <w:rPr>
          <w:rFonts w:hint="eastAsia"/>
          <w:sz w:val="32"/>
          <w:szCs w:val="32"/>
        </w:rPr>
        <w:t>性能指标</w:t>
      </w:r>
      <w:bookmarkEnd w:id="11"/>
    </w:p>
    <w:p>
      <w:pPr>
        <w:numPr>
          <w:ilvl w:val="1"/>
          <w:numId w:val="3"/>
        </w:numPr>
        <w:outlineLvl w:val="3"/>
        <w:rPr>
          <w:rFonts w:hint="eastAsia"/>
        </w:rPr>
      </w:pPr>
      <w:r>
        <w:rPr>
          <w:rFonts w:hint="eastAsia"/>
        </w:rPr>
        <w:t>为确保项目报价的合理性、合规性与市场竞争力，本方案通过 “同类项目对标、核心资源询价、费用标准锚定” 三维度开展比照分析，结合项目实际需求与管理规定，形成科学测算依据，具体如下：可支持不少于20类主流目标检测、目标分类、目标跟踪、自然语言大模型等智能体模型的网络结构可视化；</w:t>
      </w:r>
    </w:p>
    <w:p>
      <w:pPr>
        <w:numPr>
          <w:ilvl w:val="1"/>
          <w:numId w:val="3"/>
        </w:numPr>
        <w:outlineLvl w:val="3"/>
        <w:rPr>
          <w:rFonts w:hint="eastAsia"/>
        </w:rPr>
      </w:pPr>
      <w:r>
        <w:rPr>
          <w:rFonts w:hint="eastAsia"/>
        </w:rPr>
        <w:t>可支持不少于20类主流目标检测、目标分类、目标跟踪、自然语言大模型等智能体模型的格式转化；</w:t>
      </w:r>
    </w:p>
    <w:p>
      <w:pPr>
        <w:numPr>
          <w:ilvl w:val="1"/>
          <w:numId w:val="3"/>
        </w:numPr>
        <w:outlineLvl w:val="3"/>
      </w:pPr>
      <w:r>
        <w:rPr>
          <w:rFonts w:hint="eastAsia"/>
        </w:rPr>
        <w:t>支持不少于4种包括华为、瑞星微、英伟达、寒武纪平台模型的转化。</w:t>
      </w:r>
    </w:p>
    <w:p>
      <w:pPr>
        <w:outlineLvl w:val="1"/>
        <w:rPr>
          <w:rFonts w:ascii="楷体_GB2312" w:hAnsi="楷体_GB2312" w:eastAsia="楷体_GB2312" w:cs="楷体_GB2312"/>
          <w:sz w:val="32"/>
          <w:szCs w:val="32"/>
        </w:rPr>
      </w:pPr>
      <w:bookmarkStart w:id="12" w:name="_Toc198653964"/>
      <w:bookmarkStart w:id="13" w:name="_Toc1263448818"/>
      <w:bookmarkStart w:id="14" w:name="_Toc1452947180"/>
      <w:r>
        <w:rPr>
          <w:rFonts w:hint="eastAsia" w:ascii="楷体_GB2312" w:hAnsi="楷体_GB2312" w:eastAsia="楷体_GB2312" w:cs="楷体_GB2312"/>
          <w:sz w:val="32"/>
          <w:szCs w:val="32"/>
        </w:rPr>
        <w:t>（三）单位情况</w:t>
      </w:r>
      <w:bookmarkEnd w:id="12"/>
      <w:bookmarkEnd w:id="13"/>
      <w:bookmarkEnd w:id="14"/>
    </w:p>
    <w:p>
      <w:pPr>
        <w:ind w:firstLine="552"/>
      </w:pPr>
      <w:r>
        <w:rPr>
          <w:rFonts w:hint="eastAsia"/>
          <w:lang w:val="en-US" w:eastAsia="zh-CN"/>
        </w:rPr>
        <w:t>XXX。</w:t>
      </w:r>
    </w:p>
    <w:p>
      <w:pPr>
        <w:pStyle w:val="2"/>
        <w:ind w:firstLine="552"/>
        <w:rPr>
          <w:sz w:val="32"/>
          <w:szCs w:val="32"/>
          <w:highlight w:val="yellow"/>
        </w:rPr>
      </w:pPr>
      <w:r>
        <w:rPr>
          <w:rFonts w:hint="eastAsia"/>
          <w:highlight w:val="yellow"/>
        </w:rPr>
        <w:t>本次项目由</w:t>
      </w:r>
      <w:r>
        <w:rPr>
          <w:rFonts w:hint="eastAsia"/>
          <w:highlight w:val="yellow"/>
          <w:lang w:val="en-US" w:eastAsia="zh-CN"/>
        </w:rPr>
        <w:t>XXX学院</w:t>
      </w:r>
      <w:r>
        <w:rPr>
          <w:rFonts w:hint="eastAsia"/>
          <w:highlight w:val="yellow"/>
        </w:rPr>
        <w:t>承接，</w:t>
      </w:r>
      <w:r>
        <w:rPr>
          <w:rFonts w:hint="eastAsia"/>
          <w:highlight w:val="yellow"/>
          <w:lang w:val="en-US" w:eastAsia="zh-CN"/>
        </w:rPr>
        <w:t>XXXX</w:t>
      </w:r>
      <w:r>
        <w:rPr>
          <w:rFonts w:hint="eastAsia"/>
          <w:highlight w:val="yellow"/>
        </w:rPr>
        <w:t>。</w:t>
      </w:r>
    </w:p>
    <w:p>
      <w:pPr>
        <w:numPr>
          <w:ilvl w:val="0"/>
          <w:numId w:val="4"/>
        </w:numPr>
        <w:outlineLvl w:val="1"/>
        <w:rPr>
          <w:rFonts w:ascii="楷体_GB2312" w:hAnsi="楷体_GB2312" w:eastAsia="楷体_GB2312" w:cs="楷体_GB2312"/>
          <w:sz w:val="32"/>
          <w:szCs w:val="32"/>
        </w:rPr>
      </w:pPr>
      <w:bookmarkStart w:id="15" w:name="_Toc198653965"/>
      <w:bookmarkStart w:id="16" w:name="_Toc465982590"/>
      <w:bookmarkStart w:id="17" w:name="_Toc646704223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项目</w:t>
      </w:r>
      <w:r>
        <w:rPr>
          <w:rFonts w:hint="eastAsia" w:ascii="楷体_GB2312" w:hAnsi="楷体_GB2312" w:eastAsia="楷体_GB2312" w:cs="楷体_GB2312"/>
          <w:sz w:val="32"/>
          <w:szCs w:val="32"/>
        </w:rPr>
        <w:t>周期</w:t>
      </w:r>
      <w:bookmarkEnd w:id="15"/>
      <w:bookmarkEnd w:id="16"/>
      <w:bookmarkEnd w:id="17"/>
    </w:p>
    <w:p>
      <w:pPr>
        <w:pStyle w:val="2"/>
        <w:ind w:firstLine="552"/>
      </w:pPr>
      <w:r>
        <w:t>本次项目周期</w:t>
      </w:r>
      <w:r>
        <w:rPr>
          <w:rFonts w:hint="eastAsia"/>
          <w:lang w:val="en-US" w:eastAsia="zh-CN"/>
        </w:rPr>
        <w:t>规划</w:t>
      </w:r>
      <w:r>
        <w:t>为</w:t>
      </w:r>
      <w:r>
        <w:rPr>
          <w:rFonts w:hint="eastAsia"/>
        </w:rPr>
        <w:t>3</w:t>
      </w:r>
      <w:r>
        <w:t>个月，按照1个月4周进行计算，共计</w:t>
      </w:r>
      <w:r>
        <w:rPr>
          <w:rFonts w:hint="eastAsia"/>
        </w:rPr>
        <w:t>12</w:t>
      </w:r>
      <w:r>
        <w:t>周。</w:t>
      </w:r>
    </w:p>
    <w:p>
      <w:pPr>
        <w:widowControl w:val="0"/>
        <w:snapToGrid w:val="0"/>
        <w:spacing w:line="560" w:lineRule="exact"/>
        <w:ind w:firstLine="552" w:firstLineChars="200"/>
        <w:jc w:val="center"/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 xml:space="preserve">图表 </w:t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instrText xml:space="preserve"> SEQ 图表 \* ARABIC </w:instrText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1</w:t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 xml:space="preserve"> 项目周期规划表</w:t>
      </w:r>
    </w:p>
    <w:tbl>
      <w:tblPr>
        <w:tblStyle w:val="2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1746"/>
        <w:gridCol w:w="1790"/>
        <w:gridCol w:w="4372"/>
      </w:tblGrid>
      <w:tr>
        <w:trPr>
          <w:trHeight w:val="680" w:hRule="atLeast"/>
          <w:jc w:val="center"/>
        </w:trPr>
        <w:tc>
          <w:tcPr>
            <w:tcW w:w="637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963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项目</w:t>
            </w:r>
            <w:r>
              <w:rPr>
                <w:rFonts w:hint="eastAsia"/>
                <w:b/>
                <w:bCs/>
              </w:rPr>
              <w:t>阶段</w:t>
            </w:r>
          </w:p>
        </w:tc>
        <w:tc>
          <w:tcPr>
            <w:tcW w:w="987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时间进度</w:t>
            </w:r>
          </w:p>
        </w:tc>
        <w:tc>
          <w:tcPr>
            <w:tcW w:w="2411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rFonts w:hint="default" w:eastAsia="仿宋_GB2312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核心交付物</w:t>
            </w:r>
          </w:p>
        </w:tc>
      </w:tr>
      <w:tr>
        <w:trPr>
          <w:trHeight w:val="567" w:hRule="atLeast"/>
          <w:jc w:val="center"/>
        </w:trPr>
        <w:tc>
          <w:tcPr>
            <w:tcW w:w="637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963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需求调研与分析</w:t>
            </w:r>
          </w:p>
        </w:tc>
        <w:tc>
          <w:tcPr>
            <w:tcW w:w="987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第1周</w:t>
            </w:r>
            <w:r>
              <w:rPr>
                <w:rFonts w:hint="eastAsia"/>
                <w:sz w:val="24"/>
                <w:szCs w:val="24"/>
                <w:lang w:eastAsia="zh-CN"/>
              </w:rPr>
              <w:t>－</w:t>
            </w:r>
            <w:r>
              <w:rPr>
                <w:rFonts w:hint="eastAsia"/>
                <w:sz w:val="24"/>
                <w:szCs w:val="24"/>
              </w:rPr>
              <w:t>第2周</w:t>
            </w:r>
          </w:p>
        </w:tc>
        <w:tc>
          <w:tcPr>
            <w:tcW w:w="2411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《需求规格说明书》《技术方案设计文档》</w:t>
            </w:r>
          </w:p>
        </w:tc>
      </w:tr>
      <w:tr>
        <w:trPr>
          <w:trHeight w:val="964" w:hRule="atLeast"/>
          <w:jc w:val="center"/>
        </w:trPr>
        <w:tc>
          <w:tcPr>
            <w:tcW w:w="637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963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核心开发与环境搭建</w:t>
            </w:r>
          </w:p>
        </w:tc>
        <w:tc>
          <w:tcPr>
            <w:tcW w:w="987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第3周</w:t>
            </w:r>
            <w:r>
              <w:rPr>
                <w:rFonts w:hint="eastAsia"/>
                <w:sz w:val="24"/>
                <w:szCs w:val="24"/>
                <w:lang w:eastAsia="zh-CN"/>
              </w:rPr>
              <w:t>－</w:t>
            </w:r>
            <w:r>
              <w:rPr>
                <w:rFonts w:hint="eastAsia"/>
                <w:sz w:val="24"/>
                <w:szCs w:val="24"/>
              </w:rPr>
              <w:t>第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/>
                <w:sz w:val="24"/>
                <w:szCs w:val="24"/>
              </w:rPr>
              <w:t>周</w:t>
            </w:r>
          </w:p>
        </w:tc>
        <w:tc>
          <w:tcPr>
            <w:tcW w:w="2411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模型解析引擎、转换插件、可视化模块原型</w:t>
            </w:r>
          </w:p>
        </w:tc>
      </w:tr>
      <w:tr>
        <w:trPr>
          <w:trHeight w:val="1587" w:hRule="atLeast"/>
          <w:jc w:val="center"/>
        </w:trPr>
        <w:tc>
          <w:tcPr>
            <w:tcW w:w="637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963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适配调试与测试优化</w:t>
            </w:r>
          </w:p>
        </w:tc>
        <w:tc>
          <w:tcPr>
            <w:tcW w:w="987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/>
                <w:sz w:val="24"/>
                <w:szCs w:val="24"/>
              </w:rPr>
              <w:t>周</w:t>
            </w:r>
            <w:r>
              <w:rPr>
                <w:rFonts w:hint="eastAsia"/>
                <w:sz w:val="24"/>
                <w:szCs w:val="24"/>
                <w:lang w:eastAsia="zh-CN"/>
              </w:rPr>
              <w:t>－</w:t>
            </w:r>
            <w:r>
              <w:rPr>
                <w:rFonts w:hint="eastAsia"/>
                <w:sz w:val="24"/>
                <w:szCs w:val="24"/>
              </w:rPr>
              <w:t>第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/>
                <w:sz w:val="24"/>
                <w:szCs w:val="24"/>
              </w:rPr>
              <w:t>周</w:t>
            </w:r>
          </w:p>
        </w:tc>
        <w:tc>
          <w:tcPr>
            <w:tcW w:w="2411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 类模型适配报告、4 类平台测试报告、问题修复清单</w:t>
            </w:r>
          </w:p>
        </w:tc>
      </w:tr>
      <w:tr>
        <w:trPr>
          <w:trHeight w:val="964" w:hRule="atLeast"/>
          <w:jc w:val="center"/>
        </w:trPr>
        <w:tc>
          <w:tcPr>
            <w:tcW w:w="637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963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部署交付与培训</w:t>
            </w:r>
          </w:p>
        </w:tc>
        <w:tc>
          <w:tcPr>
            <w:tcW w:w="987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/>
                <w:sz w:val="24"/>
                <w:szCs w:val="24"/>
              </w:rPr>
              <w:t>周</w:t>
            </w:r>
            <w:r>
              <w:rPr>
                <w:rFonts w:hint="eastAsia"/>
                <w:sz w:val="24"/>
                <w:szCs w:val="24"/>
                <w:lang w:eastAsia="zh-CN"/>
              </w:rPr>
              <w:t>－</w:t>
            </w:r>
            <w:r>
              <w:rPr>
                <w:rFonts w:hint="eastAsia"/>
                <w:sz w:val="24"/>
                <w:szCs w:val="24"/>
              </w:rPr>
              <w:t>第1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</w:rPr>
              <w:t>周</w:t>
            </w:r>
          </w:p>
        </w:tc>
        <w:tc>
          <w:tcPr>
            <w:tcW w:w="2411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软件安装包、全套文档、培训纪要与验收报告</w:t>
            </w:r>
          </w:p>
        </w:tc>
      </w:tr>
    </w:tbl>
    <w:p>
      <w:pPr>
        <w:outlineLvl w:val="1"/>
        <w:rPr>
          <w:rFonts w:ascii="楷体_GB2312" w:hAnsi="楷体_GB2312" w:eastAsia="楷体_GB2312" w:cs="楷体_GB2312"/>
          <w:sz w:val="32"/>
          <w:szCs w:val="32"/>
        </w:rPr>
      </w:pPr>
      <w:bookmarkStart w:id="18" w:name="_Toc2044013168"/>
      <w:bookmarkStart w:id="19" w:name="_Toc198653966"/>
      <w:bookmarkStart w:id="20" w:name="_Toc743138494"/>
      <w:r>
        <w:rPr>
          <w:rFonts w:hint="eastAsia" w:ascii="楷体_GB2312" w:hAnsi="楷体_GB2312" w:eastAsia="楷体_GB2312" w:cs="楷体_GB2312"/>
          <w:sz w:val="32"/>
          <w:szCs w:val="32"/>
        </w:rPr>
        <w:t>（五）经费概况</w:t>
      </w:r>
      <w:bookmarkEnd w:id="18"/>
      <w:bookmarkEnd w:id="19"/>
      <w:bookmarkEnd w:id="20"/>
    </w:p>
    <w:p>
      <w:pPr>
        <w:ind w:firstLine="552"/>
      </w:pPr>
      <w:r>
        <w:rPr>
          <w:rFonts w:hint="eastAsia"/>
        </w:rPr>
        <w:t>项目总预算 48.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0 万元，其中直接费用 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 xml:space="preserve"> 万元（含设备租赁、技术服务、人力成本），间接费用 28.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0 万元（在职人员成本摊销、现有设备使用摊销），管理费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0 万元，其他费用 3.</w:t>
      </w:r>
      <w:r>
        <w:rPr>
          <w:rFonts w:hint="eastAsia"/>
          <w:lang w:val="en-US" w:eastAsia="zh-CN"/>
        </w:rPr>
        <w:t>00</w:t>
      </w:r>
      <w:r>
        <w:rPr>
          <w:rFonts w:hint="eastAsia"/>
        </w:rPr>
        <w:t xml:space="preserve"> 万元（含应急储备、税费），无收益项，所有费用均符合</w:t>
      </w:r>
      <w:r>
        <w:rPr>
          <w:rFonts w:hint="eastAsia"/>
          <w:lang w:val="en-US" w:eastAsia="zh-CN"/>
        </w:rPr>
        <w:t>相关</w:t>
      </w:r>
      <w:r>
        <w:rPr>
          <w:rFonts w:hint="eastAsia"/>
        </w:rPr>
        <w:t>科研经费管理规定，明细清晰可追溯。</w:t>
      </w:r>
    </w:p>
    <w:p>
      <w:pPr>
        <w:numPr>
          <w:ilvl w:val="0"/>
          <w:numId w:val="4"/>
        </w:numPr>
        <w:ind w:left="0" w:leftChars="0" w:firstLine="632" w:firstLineChars="200"/>
        <w:outlineLvl w:val="1"/>
        <w:rPr>
          <w:rFonts w:hint="eastAsia" w:ascii="楷体_GB2312" w:hAnsi="楷体_GB2312" w:eastAsia="楷体_GB2312" w:cs="楷体_GB2312"/>
          <w:sz w:val="32"/>
          <w:szCs w:val="32"/>
        </w:rPr>
      </w:pPr>
      <w:bookmarkStart w:id="21" w:name="_Toc433413517"/>
      <w:bookmarkStart w:id="22" w:name="_Toc198653967"/>
      <w:bookmarkStart w:id="23" w:name="_Toc163777706"/>
      <w:r>
        <w:rPr>
          <w:rFonts w:hint="eastAsia" w:ascii="楷体_GB2312" w:hAnsi="楷体_GB2312" w:eastAsia="楷体_GB2312" w:cs="楷体_GB2312"/>
          <w:sz w:val="32"/>
          <w:szCs w:val="32"/>
        </w:rPr>
        <w:t>成果及交付形式</w:t>
      </w:r>
      <w:bookmarkEnd w:id="21"/>
      <w:bookmarkEnd w:id="22"/>
      <w:bookmarkEnd w:id="23"/>
    </w:p>
    <w:p>
      <w:pPr>
        <w:widowControl w:val="0"/>
        <w:snapToGrid w:val="0"/>
        <w:spacing w:line="560" w:lineRule="exact"/>
        <w:ind w:firstLine="552" w:firstLineChars="200"/>
        <w:jc w:val="center"/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 xml:space="preserve">图表 </w:t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instrText xml:space="preserve"> SEQ 图表 \* ARABIC </w:instrText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 xml:space="preserve"> 成果交付名称和形式</w:t>
      </w:r>
    </w:p>
    <w:tbl>
      <w:tblPr>
        <w:tblStyle w:val="2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5141"/>
        <w:gridCol w:w="2313"/>
      </w:tblGrid>
      <w:tr>
        <w:trPr>
          <w:trHeight w:val="567" w:hRule="atLeast"/>
          <w:jc w:val="center"/>
        </w:trPr>
        <w:tc>
          <w:tcPr>
            <w:tcW w:w="887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2836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成果名称</w:t>
            </w:r>
          </w:p>
        </w:tc>
        <w:tc>
          <w:tcPr>
            <w:tcW w:w="1276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交付形式</w:t>
            </w:r>
          </w:p>
        </w:tc>
      </w:tr>
      <w:tr>
        <w:trPr>
          <w:trHeight w:val="567" w:hRule="atLeast"/>
          <w:jc w:val="center"/>
        </w:trPr>
        <w:tc>
          <w:tcPr>
            <w:tcW w:w="887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836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跨平台智能模型转化工具</w:t>
            </w:r>
          </w:p>
        </w:tc>
        <w:tc>
          <w:tcPr>
            <w:tcW w:w="1276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软件</w:t>
            </w:r>
          </w:p>
        </w:tc>
      </w:tr>
      <w:tr>
        <w:trPr>
          <w:trHeight w:val="567" w:hRule="atLeast"/>
          <w:jc w:val="center"/>
        </w:trPr>
        <w:tc>
          <w:tcPr>
            <w:tcW w:w="887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836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跨平台智能模型转化工具测试报告</w:t>
            </w:r>
          </w:p>
        </w:tc>
        <w:tc>
          <w:tcPr>
            <w:tcW w:w="1276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文档</w:t>
            </w:r>
          </w:p>
        </w:tc>
      </w:tr>
      <w:tr>
        <w:trPr>
          <w:trHeight w:val="567" w:hRule="atLeast"/>
          <w:jc w:val="center"/>
        </w:trPr>
        <w:tc>
          <w:tcPr>
            <w:tcW w:w="887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836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跨平台智能模型转化工具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用户手册</w:t>
            </w:r>
          </w:p>
        </w:tc>
        <w:tc>
          <w:tcPr>
            <w:tcW w:w="1276" w:type="pct"/>
            <w:vAlign w:val="center"/>
          </w:tcPr>
          <w:p>
            <w:pPr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文档</w:t>
            </w:r>
          </w:p>
        </w:tc>
      </w:tr>
    </w:tbl>
    <w:p>
      <w:pPr>
        <w:rPr>
          <w:sz w:val="32"/>
          <w:szCs w:val="32"/>
        </w:rPr>
      </w:pPr>
    </w:p>
    <w:p>
      <w:pPr>
        <w:outlineLvl w:val="0"/>
        <w:rPr>
          <w:rFonts w:ascii="黑体" w:hAnsi="黑体" w:eastAsia="黑体"/>
          <w:sz w:val="32"/>
          <w:szCs w:val="32"/>
        </w:rPr>
      </w:pPr>
      <w:bookmarkStart w:id="24" w:name="_Toc198653968"/>
      <w:bookmarkStart w:id="25" w:name="_Toc372529527"/>
      <w:bookmarkStart w:id="26" w:name="_Toc1685352935"/>
      <w:bookmarkStart w:id="27" w:name="_Toc116449595"/>
      <w:r>
        <w:rPr>
          <w:rFonts w:hint="eastAsia" w:ascii="黑体" w:hAnsi="黑体" w:eastAsia="黑体"/>
          <w:sz w:val="32"/>
          <w:szCs w:val="32"/>
        </w:rPr>
        <w:t>二、方案依据</w:t>
      </w:r>
      <w:bookmarkEnd w:id="24"/>
      <w:bookmarkEnd w:id="25"/>
      <w:bookmarkEnd w:id="26"/>
      <w:bookmarkEnd w:id="27"/>
    </w:p>
    <w:p>
      <w:pPr>
        <w:outlineLvl w:val="1"/>
        <w:rPr>
          <w:rFonts w:ascii="楷体_GB2312" w:hAnsi="楷体_GB2312" w:eastAsia="楷体_GB2312" w:cs="楷体_GB2312"/>
          <w:sz w:val="32"/>
          <w:szCs w:val="32"/>
        </w:rPr>
      </w:pPr>
      <w:bookmarkStart w:id="28" w:name="_Toc810740748"/>
      <w:bookmarkStart w:id="29" w:name="_Toc198653969"/>
      <w:bookmarkStart w:id="30" w:name="_Toc417474615"/>
      <w:r>
        <w:rPr>
          <w:rFonts w:hint="eastAsia" w:ascii="楷体_GB2312" w:hAnsi="楷体_GB2312" w:eastAsia="楷体_GB2312" w:cs="楷体_GB2312"/>
          <w:sz w:val="32"/>
          <w:szCs w:val="32"/>
        </w:rPr>
        <w:t>（一）参照法规标准</w:t>
      </w:r>
      <w:bookmarkEnd w:id="28"/>
      <w:bookmarkEnd w:id="29"/>
      <w:bookmarkEnd w:id="30"/>
    </w:p>
    <w:p>
      <w:pPr>
        <w:pStyle w:val="2"/>
        <w:rPr>
          <w:rFonts w:hint="eastAsia"/>
        </w:rPr>
      </w:pPr>
      <w:r>
        <w:rPr>
          <w:rFonts w:hint="eastAsia"/>
        </w:rPr>
        <w:t>本次报价与技术方案严格遵循国家法律法规、行业技术规范及财务管理制度，确保项目全周期合规、可控，具体依据如下：</w:t>
      </w:r>
    </w:p>
    <w:p>
      <w:pPr>
        <w:numPr>
          <w:ilvl w:val="0"/>
          <w:numId w:val="5"/>
        </w:numPr>
        <w:outlineLvl w:val="2"/>
        <w:rPr>
          <w:rFonts w:hint="eastAsia"/>
        </w:rPr>
      </w:pPr>
      <w:r>
        <w:rPr>
          <w:rFonts w:hint="eastAsia"/>
        </w:rPr>
        <w:t>数据安全与网络安全类法规</w:t>
      </w:r>
    </w:p>
    <w:p>
      <w:pPr>
        <w:pStyle w:val="2"/>
        <w:rPr>
          <w:rFonts w:hint="eastAsia"/>
        </w:rPr>
      </w:pPr>
      <w:r>
        <w:rPr>
          <w:rFonts w:hint="eastAsia"/>
        </w:rPr>
        <w:t>《中华人民共和国网络安全法》：方案在模型文件处理全流程中落实安全防护要求，如数据输入层采用 HTTPS 协议加密传输模型文件，数据存储层对敏感模型元数据（如训练数据集路径、算子核心参数）采用 AES-256 加密存储，同时设置访问权限控制（仅项目授权人员可读取），防止数据泄露或非法篡改。</w:t>
      </w:r>
    </w:p>
    <w:p>
      <w:pPr>
        <w:pStyle w:val="2"/>
        <w:rPr>
          <w:rFonts w:hint="eastAsia"/>
        </w:rPr>
      </w:pPr>
      <w:r>
        <w:rPr>
          <w:rFonts w:hint="eastAsia"/>
        </w:rPr>
        <w:t>《中华人民共和国数据安全法》：针对模型数据处理环节，建立 “分类分级保护 + 全生命周期管理” 机制。将模型数据按敏感度分为 “普通模型数据”“核心算法模型数据” 两类，核心数据额外增加操作日志审计（记录每一次访问、修改行为）；明确数据收集（仅采集模型必要元数据）、存储（MinIO 分布式存储冗余备份）、使用（仅用于转换与测试）、销毁（项目结束后按甲方要求删除或归档）各环节规范，确保数据处理合法合规。</w:t>
      </w:r>
    </w:p>
    <w:p>
      <w:pPr>
        <w:numPr>
          <w:ilvl w:val="0"/>
          <w:numId w:val="5"/>
        </w:numPr>
        <w:outlineLvl w:val="2"/>
        <w:rPr>
          <w:rFonts w:hint="eastAsia"/>
        </w:rPr>
      </w:pPr>
      <w:r>
        <w:rPr>
          <w:rFonts w:hint="eastAsia"/>
        </w:rPr>
        <w:t>知识产权保护类法规与惯例</w:t>
      </w:r>
    </w:p>
    <w:p>
      <w:pPr>
        <w:pStyle w:val="2"/>
        <w:rPr>
          <w:rFonts w:hint="eastAsia"/>
        </w:rPr>
      </w:pPr>
      <w:r>
        <w:rPr>
          <w:rFonts w:hint="eastAsia"/>
        </w:rPr>
        <w:t>《中华人民共和国著作权法》：方案中使用的开源技术（如 ONNX Runtime、Netron）严格遵循对应开源协议（Apache 2.0、MIT 协议），保留原作者版权声明，不篡改开源代码核心逻辑；自研的模型解析引擎、平台专用转换插件（如华为昇腾 OM 格式适配插件）等核心技术，将在项目交付后 3 个月内完成软件著作权登记，明确知识产权归属，避免侵权纠纷。</w:t>
      </w:r>
    </w:p>
    <w:p>
      <w:pPr>
        <w:pStyle w:val="2"/>
        <w:rPr>
          <w:rFonts w:hint="eastAsia"/>
        </w:rPr>
      </w:pPr>
      <w:r>
        <w:rPr>
          <w:rFonts w:hint="eastAsia"/>
        </w:rPr>
        <w:t>行业知识产权惯例：针对 20 类主流模型（如 YOLO、BERT）的适配，提前与模型原研团队或授权方确认使用权限，</w:t>
      </w:r>
      <w:r>
        <w:rPr>
          <w:rFonts w:hint="eastAsia"/>
          <w:lang w:val="en-US" w:eastAsia="zh-CN"/>
        </w:rPr>
        <w:t>不采用</w:t>
      </w:r>
      <w:r>
        <w:rPr>
          <w:rFonts w:hint="eastAsia"/>
        </w:rPr>
        <w:t>涉及商业授权的模型（如部分商用 NLP 大模型），确保模型转换与可视化功能在合法授权范围内开展，无知识产权风险。</w:t>
      </w:r>
    </w:p>
    <w:p>
      <w:pPr>
        <w:numPr>
          <w:ilvl w:val="0"/>
          <w:numId w:val="5"/>
        </w:numPr>
        <w:outlineLvl w:val="2"/>
        <w:rPr>
          <w:rFonts w:hint="eastAsia"/>
        </w:rPr>
      </w:pPr>
      <w:r>
        <w:rPr>
          <w:rFonts w:hint="eastAsia"/>
        </w:rPr>
        <w:t>软件质量与技术标准</w:t>
      </w:r>
    </w:p>
    <w:p>
      <w:pPr>
        <w:pStyle w:val="2"/>
        <w:rPr>
          <w:rFonts w:hint="eastAsia"/>
        </w:rPr>
      </w:pPr>
      <w:r>
        <w:rPr>
          <w:rFonts w:hint="eastAsia"/>
        </w:rPr>
        <w:t>ISO/IEC 25010 软件产品质量模型：技术方案在功能性、可靠性、易用性、可维护性等维度均对标该标准。功能性上，确保 “20 类模型 + 4 类平台” 转换成功率≥98%；可靠性上，通过 Docker 容器化环境保障软件运行稳定性，支持 72 小时连续无故障测试；易用性上，设计响应式界面（适配 1920×1080 等分辨率），核心操作（模型上传 - 转换 - 可视化）步骤≤3 步；可维护性上，采用模块化架构，新增平台适配时仅需开发对应插件，无需修改核心代码。</w:t>
      </w:r>
    </w:p>
    <w:p>
      <w:pPr>
        <w:pStyle w:val="2"/>
        <w:rPr>
          <w:rFonts w:hint="eastAsia"/>
        </w:rPr>
      </w:pPr>
      <w:r>
        <w:rPr>
          <w:rFonts w:hint="eastAsia"/>
        </w:rPr>
        <w:t>《人工智能模型跨平台部署技术指南（2024 版）》：遵循指南中模型转换流程规范（原生格式→中间格式→目标格式），采用指南推荐的精度评估指标（如目标检测用 mAP、NLP 用 GLUE Score），确保技术方案与行业主流实践一致，降低后期对接与验收风险。</w:t>
      </w:r>
    </w:p>
    <w:p>
      <w:pPr>
        <w:numPr>
          <w:ilvl w:val="0"/>
          <w:numId w:val="5"/>
        </w:numPr>
        <w:outlineLvl w:val="2"/>
        <w:rPr>
          <w:rFonts w:hint="eastAsia"/>
        </w:rPr>
      </w:pPr>
      <w:r>
        <w:rPr>
          <w:rFonts w:hint="eastAsia"/>
        </w:rPr>
        <w:t>价格与财务管理制度</w:t>
      </w:r>
    </w:p>
    <w:p>
      <w:pPr>
        <w:pStyle w:val="2"/>
        <w:rPr>
          <w:rFonts w:hint="eastAsia"/>
        </w:rPr>
      </w:pPr>
      <w:r>
        <w:rPr>
          <w:rFonts w:hint="eastAsia"/>
        </w:rPr>
        <w:t>《中华人民共和国价格法》：项目采用 “固定总价 + 明细清单” 报价模式，总报价 47.53 万元包含直接费用、间接费用、管理费、其他费用等全周期成本，无隐藏收费；报价明细中各项费用（如硬件租赁费、专家咨询费）均基于市场公允价核算，符合 “公平、合法、诚实信用” 原则，不存在价格欺诈或哄抬价格情况。</w:t>
      </w:r>
    </w:p>
    <w:p>
      <w:pPr>
        <w:pStyle w:val="2"/>
        <w:rPr>
          <w:rFonts w:hint="eastAsia"/>
        </w:rPr>
      </w:pPr>
      <w:r>
        <w:rPr>
          <w:rFonts w:hint="eastAsia"/>
        </w:rPr>
        <w:t>单位内部财务管理制度：严格按照</w:t>
      </w:r>
      <w:r>
        <w:rPr>
          <w:rFonts w:hint="eastAsia"/>
          <w:highlight w:val="yellow"/>
        </w:rPr>
        <w:t>《横向科研项目经费管理办法（试行）》《科研项目经费中间接费用和管理费管理办法（试行）》</w:t>
      </w:r>
      <w:r>
        <w:rPr>
          <w:rFonts w:hint="eastAsia"/>
        </w:rPr>
        <w:t>核算经费，间接费用中在职员工人力成本摊销依据岗位薪资标准（附人力资源部门盖章文件），管理费按总预算 10% 计提（不超过单位规定上限），确保经费核算规范、透明，可接受审计核查。</w:t>
      </w:r>
    </w:p>
    <w:p>
      <w:pPr>
        <w:numPr>
          <w:ilvl w:val="0"/>
          <w:numId w:val="5"/>
        </w:numPr>
        <w:outlineLvl w:val="2"/>
        <w:rPr>
          <w:rFonts w:hint="eastAsia"/>
        </w:rPr>
      </w:pPr>
      <w:r>
        <w:rPr>
          <w:rFonts w:hint="eastAsia"/>
        </w:rPr>
        <w:t>招投标与合同管理类法规</w:t>
      </w:r>
    </w:p>
    <w:p>
      <w:pPr>
        <w:pStyle w:val="2"/>
        <w:rPr>
          <w:rFonts w:hint="eastAsia"/>
        </w:rPr>
      </w:pPr>
      <w:r>
        <w:rPr>
          <w:rFonts w:hint="eastAsia"/>
        </w:rPr>
        <w:t>《中华人民共和国招标投标法》及实施条例：投标文件严格按招标文件要求编制，明确报价有效期、付款方式（支持 “预付款 30%+ 尾款 70%”）、验收标准（基于功能与性能指标）等关键条款，无偏离招标文件要求的内容；文件中所有数据（如项目周期、交付成果）真实准确，无虚假承诺或误导性表述，确保招投标活动公平公正。</w:t>
      </w:r>
    </w:p>
    <w:p>
      <w:pPr>
        <w:pStyle w:val="2"/>
        <w:rPr>
          <w:rFonts w:hint="eastAsia"/>
        </w:rPr>
      </w:pPr>
      <w:r>
        <w:rPr>
          <w:rFonts w:hint="eastAsia"/>
        </w:rPr>
        <w:t>《中华人民共和国民法典》：方案中成果交付、售后服务（如 1 年免费维护）、违约责任等内容，均参照民法典中技术合同相关规定设计，明确甲乙双方权利义务，为后续合同签订提供合规基础，降低合同履行风险。</w:t>
      </w:r>
    </w:p>
    <w:p>
      <w:pPr>
        <w:numPr>
          <w:ilvl w:val="0"/>
          <w:numId w:val="6"/>
        </w:numPr>
        <w:outlineLvl w:val="1"/>
        <w:rPr>
          <w:rFonts w:hint="eastAsia" w:ascii="楷体_GB2312" w:hAnsi="楷体_GB2312" w:eastAsia="楷体_GB2312" w:cs="楷体_GB2312"/>
          <w:sz w:val="32"/>
          <w:szCs w:val="32"/>
        </w:rPr>
      </w:pPr>
      <w:bookmarkStart w:id="31" w:name="_Toc198653970"/>
      <w:bookmarkStart w:id="32" w:name="_Toc336011421"/>
      <w:bookmarkStart w:id="33" w:name="_Toc666779556"/>
      <w:r>
        <w:rPr>
          <w:rFonts w:hint="eastAsia" w:ascii="楷体_GB2312" w:hAnsi="楷体_GB2312" w:eastAsia="楷体_GB2312" w:cs="楷体_GB2312"/>
          <w:sz w:val="32"/>
          <w:szCs w:val="32"/>
        </w:rPr>
        <w:t>比照条件分析</w:t>
      </w:r>
      <w:bookmarkEnd w:id="31"/>
      <w:bookmarkEnd w:id="32"/>
      <w:bookmarkEnd w:id="33"/>
    </w:p>
    <w:p>
      <w:pPr>
        <w:pStyle w:val="2"/>
        <w:numPr>
          <w:numId w:val="0"/>
        </w:numPr>
        <w:ind w:firstLine="420" w:firstLineChars="0"/>
      </w:pPr>
      <w:r>
        <w:rPr>
          <w:rFonts w:hint="eastAsia"/>
        </w:rPr>
        <w:t>为确保项目报价与技术方案的匹配性、成本核算的精准性，本方案从 “技术难度反推成本、资源复用率核算、服务价值定价” 三个创新维度开展比照分析，结合项目 “20 类模型适配、4 类平台兼容、3 个月短周期” 的核心特性，形成差异化测算逻辑，具体如下：</w:t>
      </w:r>
    </w:p>
    <w:p>
      <w:pPr>
        <w:numPr>
          <w:ilvl w:val="0"/>
          <w:numId w:val="7"/>
        </w:numPr>
        <w:outlineLvl w:val="2"/>
        <w:rPr>
          <w:rFonts w:hint="eastAsia"/>
        </w:rPr>
      </w:pPr>
      <w:bookmarkStart w:id="34" w:name="_Toc994327646"/>
      <w:r>
        <w:rPr>
          <w:rFonts w:hint="eastAsia"/>
        </w:rPr>
        <w:t>技术难度反推成本：按 “功能模块复杂度系数” 拆解核算​</w:t>
      </w:r>
      <w:bookmarkEnd w:id="34"/>
    </w:p>
    <w:p>
      <w:pPr>
        <w:pStyle w:val="2"/>
        <w:rPr>
          <w:rFonts w:hint="eastAsia"/>
        </w:rPr>
      </w:pPr>
      <w:r>
        <w:rPr>
          <w:rFonts w:hint="eastAsia"/>
        </w:rPr>
        <w:t>基于项目核心功能模块的技术实现难度，划分 “基础难度 - 中等难度 - 高难度” 三级模块，参考 AI 模型工程化领域 “难度系数 - 人力投入” 对应关系，反推各模块成本占比，确保成本与技术复杂度匹配：</w:t>
      </w:r>
    </w:p>
    <w:p>
      <w:pPr>
        <w:pStyle w:val="2"/>
        <w:rPr>
          <w:rFonts w:hint="eastAsia"/>
        </w:rPr>
      </w:pPr>
      <w:r>
        <w:rPr>
          <w:rFonts w:hint="eastAsia"/>
        </w:rPr>
        <w:t>基础难度模块（模型解析引擎、基础任务监控）：</w:t>
      </w:r>
    </w:p>
    <w:p>
      <w:pPr>
        <w:pStyle w:val="2"/>
        <w:rPr>
          <w:rFonts w:hint="eastAsia"/>
        </w:rPr>
      </w:pPr>
      <w:r>
        <w:rPr>
          <w:rFonts w:hint="eastAsia"/>
        </w:rPr>
        <w:t>技术特征为 “基于成熟开源框架二次开发，无核心算法突破”，如模型解析引擎基于 Netron 优化，任务监控基于常规日志采集技术。参考行业数据，此类模块人力投入占比约 20%，对应成本约 9.6 万元（总预算 48 万元 ×20%），主要覆盖开发工程师基础工时（2 人 ×3 个月 ×1.5 万元 / 人・月 = 9 万元），与同类基础模块成本区间（8-10 万元）一致。</w:t>
      </w:r>
    </w:p>
    <w:p>
      <w:pPr>
        <w:pStyle w:val="2"/>
        <w:rPr>
          <w:rFonts w:hint="eastAsia"/>
        </w:rPr>
      </w:pPr>
      <w:r>
        <w:rPr>
          <w:rFonts w:hint="eastAsia"/>
        </w:rPr>
        <w:t>中等难度模块（4 类平台基础转换插件、模型基础可视化）：</w:t>
      </w:r>
    </w:p>
    <w:p>
      <w:pPr>
        <w:pStyle w:val="2"/>
        <w:rPr>
          <w:rFonts w:hint="eastAsia"/>
        </w:rPr>
      </w:pPr>
      <w:r>
        <w:rPr>
          <w:rFonts w:hint="eastAsia"/>
        </w:rPr>
        <w:t>技术特征为 “需适配平台专用 SDK，解决基础算子兼容问题”，如华为昇腾 OM 格式转换需适配 CANN SDK，基础可视化需开发拓扑图渲染逻辑。行业内同类模块 “单平台插件 + 基础可视化” 成本约 8-10 万元，本项目 4 类平台 + 可视化，按 “平台数量 × 难度递增系数” 核算（每新增 1 类平台难度系数增加 0.1），总成本约 18.4 万元（总预算 48 万元 ×38.3%），包含算法工程师工时（1 人 ×3 个月 ×1.8 万元 / 人・月 = 5.4 万元）、SDK 授权费（1.8 万元）、测试工时（2 人 ×2 个月 ×1.3 万元 / 人・月 = 5.2 万元），成本拆解与技术实现步骤一一对应。</w:t>
      </w:r>
    </w:p>
    <w:p>
      <w:pPr>
        <w:pStyle w:val="2"/>
        <w:rPr>
          <w:rFonts w:hint="eastAsia"/>
        </w:rPr>
      </w:pPr>
      <w:r>
        <w:rPr>
          <w:rFonts w:hint="eastAsia"/>
        </w:rPr>
        <w:t>高难度模块（20 类模型定制化适配、跨平台精度对比、短周期优化）：</w:t>
      </w:r>
    </w:p>
    <w:p>
      <w:pPr>
        <w:pStyle w:val="2"/>
        <w:rPr>
          <w:rFonts w:hint="eastAsia"/>
        </w:rPr>
      </w:pPr>
      <w:r>
        <w:rPr>
          <w:rFonts w:hint="eastAsia"/>
        </w:rPr>
        <w:t>技术特征为 “需针对不同模型结构开发专属适配模板，解决精度损失与短周期交付矛盾”，如 YOLO 系列模型需优化检测头算子映射，自然语言大模型需解决 Transformer 层跨平台调度问题。参考行业 “高难度模型适配” 案例（如某项目 15 类模型适配成本 15 万元），本项目新增 5 类模型且周期压缩 30%，按 “模型数量 × 周期压缩溢价” 核算（每新增 1 类模型成本增加 0.8 万元，周期压缩 30% 溢价 15%），总成本约 20 万元（总预算 48 万元 ×41.7%），覆盖算法专家专项工时（1 人 ×3 个月 ×2.5 万元 / 人・月 = 7.5 万元）、外协精度测试费（1.6 万元）、应急优化工时（1.5 万元），成本规模与技术突破需求匹配。</w:t>
      </w:r>
    </w:p>
    <w:p>
      <w:pPr>
        <w:numPr>
          <w:ilvl w:val="0"/>
          <w:numId w:val="7"/>
        </w:numPr>
        <w:outlineLvl w:val="2"/>
        <w:rPr>
          <w:rFonts w:hint="eastAsia"/>
        </w:rPr>
      </w:pPr>
      <w:bookmarkStart w:id="35" w:name="_Toc2094489015"/>
      <w:r>
        <w:rPr>
          <w:rFonts w:hint="eastAsia"/>
        </w:rPr>
        <w:t>资源复用率核算：按“现有资源 - 新增资源”拆分定价​</w:t>
      </w:r>
      <w:bookmarkEnd w:id="35"/>
    </w:p>
    <w:p>
      <w:pPr>
        <w:pStyle w:val="2"/>
        <w:rPr>
          <w:rFonts w:hint="eastAsia"/>
        </w:rPr>
      </w:pPr>
      <w:r>
        <w:rPr>
          <w:rFonts w:hint="eastAsia"/>
        </w:rPr>
        <w:t>区别于全量采购资源的传统模式，结合单位现有资源储备情况，核算 “资源复用成本 - 新增资源成本” 占比，降低无效投入，确保资源利用效率最大化：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现有资源复用成本（办公设备、基础开发环境、部分开源工具）：</w:t>
      </w:r>
    </w:p>
    <w:p>
      <w:pPr>
        <w:pStyle w:val="2"/>
        <w:rPr>
          <w:rFonts w:hint="eastAsia"/>
        </w:rPr>
      </w:pPr>
      <w:r>
        <w:rPr>
          <w:rFonts w:hint="eastAsia"/>
        </w:rPr>
        <w:t>单位现有办公电脑（10 台，原值 50 万元）、基础开发环境（Docker、GitLab）、开源工具（ONNX Runtime、ECharts）可完全复用。按 “资源复用率 - 折旧分摊” 逻辑核算，办公设备按 “项目实际使用占比 40%、折旧年限 5 年” 分摊，3 个月复用成本 = 50 万元 ×（3/60）×40%=1 万元；基础开发环境与开源工具无额外成本，仅需 1 名运维工程师 20% 工时维护，对应成本 = 1 人 ×3 个月 ×1.2 万元 / 人・月 ×20%=0.72 万元。现有资源复用总成本 1.72 万元，占总预算 3.6%，远低于全量新增资源成本（约 5 万元）。</w:t>
      </w:r>
    </w:p>
    <w:p>
      <w:pPr>
        <w:pStyle w:val="2"/>
        <w:rPr>
          <w:rFonts w:hint="eastAsia"/>
        </w:rPr>
      </w:pPr>
      <w:r>
        <w:rPr>
          <w:rFonts w:hint="eastAsia"/>
        </w:rPr>
        <w:t>新增资源成本（专用测试硬件、商业授权、第三方检测服务）：</w:t>
      </w:r>
    </w:p>
    <w:p>
      <w:pPr>
        <w:pStyle w:val="2"/>
        <w:rPr>
          <w:rFonts w:hint="eastAsia"/>
        </w:rPr>
      </w:pPr>
      <w:r>
        <w:rPr>
          <w:rFonts w:hint="eastAsia"/>
        </w:rPr>
        <w:t>为满足项目专属需求，需新增 4 类平台测试硬件租赁（华为昇腾、瑞芯微等）、20 类模型商业授权、跨平台精度第三方检测服务。通过 “资源必要性验证 - 多渠道比价” 确定成本：</w:t>
      </w:r>
    </w:p>
    <w:p>
      <w:pPr>
        <w:pStyle w:val="2"/>
        <w:rPr>
          <w:rFonts w:hint="eastAsia"/>
        </w:rPr>
      </w:pPr>
      <w:r>
        <w:rPr>
          <w:rFonts w:hint="eastAsia"/>
        </w:rPr>
        <w:t>专用测试硬件：仅租赁项目必需的 “2 台华为 Atlas 200I+1 台瑞芯微 RK3599+1 台寒武纪思元 370”，3 个月租赁成本 5.28 万元（附供应商专项报价单），剔除冗余设备（如无需租赁英伟达 RTX 4090，复用单位现有设备），较全量租赁节省 30%；</w:t>
      </w:r>
    </w:p>
    <w:p>
      <w:pPr>
        <w:pStyle w:val="2"/>
        <w:rPr>
          <w:rFonts w:hint="eastAsia"/>
        </w:rPr>
      </w:pPr>
      <w:r>
        <w:rPr>
          <w:rFonts w:hint="eastAsia"/>
        </w:rPr>
        <w:t>商业授权与检测服务：模型授权 1.5 万元（批量采购价，较零散采购节省 40%）、第三方检测 1.6 万元（选择具备 4 类平台资质的服务商，避免重复检测），新增资源总成本 8.38 万元，占总预算 17.5%，资源投入精准聚焦项目核心需求。</w:t>
      </w:r>
    </w:p>
    <w:p>
      <w:pPr>
        <w:numPr>
          <w:ilvl w:val="0"/>
          <w:numId w:val="7"/>
        </w:numPr>
        <w:outlineLvl w:val="2"/>
        <w:rPr>
          <w:rFonts w:hint="eastAsia"/>
        </w:rPr>
      </w:pPr>
      <w:bookmarkStart w:id="36" w:name="_Toc524933481"/>
      <w:r>
        <w:rPr>
          <w:rFonts w:hint="eastAsia"/>
        </w:rPr>
        <w:t>服务价值定价：按 “交付效率 - 售后保障 - 验收风险” 三维度溢价​</w:t>
      </w:r>
      <w:bookmarkEnd w:id="36"/>
    </w:p>
    <w:p>
      <w:pPr>
        <w:pStyle w:val="2"/>
        <w:rPr>
          <w:rFonts w:hint="eastAsia"/>
        </w:rPr>
      </w:pPr>
      <w:r>
        <w:rPr>
          <w:rFonts w:hint="eastAsia"/>
        </w:rPr>
        <w:t>突破 “成本加成” 定价模式，基于项目为甲方创造的服务价值，按 “交付效率溢价、售后保障溢价、验收风险规避价值” 核算定价，确保报价与服务价值匹配：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交付效率溢价（3 个月短周期价值）：</w:t>
      </w:r>
    </w:p>
    <w:p>
      <w:pPr>
        <w:pStyle w:val="2"/>
        <w:rPr>
          <w:rFonts w:hint="eastAsia"/>
        </w:rPr>
      </w:pPr>
      <w:r>
        <w:rPr>
          <w:rFonts w:hint="eastAsia"/>
        </w:rPr>
        <w:t>行业同类项目常规周期 4-6 个月，本项目压缩至 3 个月，可帮助甲方提前 1-3 个月开展智能模型部署测试，按 “甲方试验场调试机闲置成本” 核算价值：调试机日均闲置成本约 2000 元，提前 1 个月启用可节省 6 万元。参考行业 “短周期交付溢价率 8%-12%”，本项目按 10% 溢价核算，对应价值 4.8 万元（总预算 48 万元 ×10%），覆盖项目团队 “双班倒” 开发、周末加班优化的额外人力投入（核心成员每月额外 40 工时，按 200 元 / 工时核算，3 个月溢价 2.4 万元）。</w:t>
      </w:r>
    </w:p>
    <w:p>
      <w:pPr>
        <w:pStyle w:val="2"/>
        <w:rPr>
          <w:rFonts w:hint="eastAsia"/>
        </w:rPr>
      </w:pPr>
      <w:r>
        <w:rPr>
          <w:rFonts w:hint="eastAsia"/>
        </w:rPr>
        <w:t>售后保障溢价（1 年免费维护价值）：</w:t>
      </w:r>
    </w:p>
    <w:p>
      <w:pPr>
        <w:pStyle w:val="2"/>
        <w:rPr>
          <w:rFonts w:hint="eastAsia"/>
        </w:rPr>
      </w:pPr>
      <w:r>
        <w:rPr>
          <w:rFonts w:hint="eastAsia"/>
        </w:rPr>
        <w:t>项目交付后提供 1 年免费维护（含版本更新、远程故障排查、2 次现场支持），参考 AI 工具类项目 “售后维护成本占比 5%-8%”，本项目按 6% 溢价核算，对应价值 2.88 万元（总预算 48 万元 ×6%），覆盖运维工程师专职工时（1 人 ×12 个月 ×0.3 万元 / 人・月 = 3.6 万元，按服务频次分摊后为 2.88 万元），保障甲方后期使用无额外成本。</w:t>
      </w:r>
    </w:p>
    <w:p>
      <w:pPr>
        <w:pStyle w:val="2"/>
        <w:rPr>
          <w:rFonts w:hint="eastAsia"/>
        </w:rPr>
      </w:pPr>
      <w:r>
        <w:rPr>
          <w:rFonts w:hint="eastAsia"/>
        </w:rPr>
        <w:t>验收风险规避价值（全流程测试与文档保障）：</w:t>
      </w:r>
    </w:p>
    <w:p>
      <w:pPr>
        <w:pStyle w:val="2"/>
        <w:rPr>
          <w:rFonts w:hAnsi="仿宋_GB2312" w:cs="仿宋_GB2312"/>
        </w:rPr>
      </w:pPr>
      <w:r>
        <w:rPr>
          <w:rFonts w:hint="eastAsia"/>
        </w:rPr>
        <w:t>项目实施过程中开展 “20 类模型全量测试、4 类平台真机验证”，交付全套验收材料（测试报告、用户手册、技术白皮书），帮助甲方规避 “功能不达标、文档不完整” 的验收风险。参考行业 “验收风险规避服务定价 3%-5%”，本项目按 4% 核算，对应价值 1.92 万元（总预算 48 万元 ×4%），覆盖测试工程师专项工时（2 人 ×1 个月 ×1.3 万元 / 人・月 = 2.6 万元，按验收保障占比 74% 分摊后为 1.92 万元），确保验收一次性通过。。</w:t>
      </w:r>
    </w:p>
    <w:p>
      <w:pPr>
        <w:outlineLvl w:val="1"/>
        <w:rPr>
          <w:rFonts w:eastAsia="楷体_GB2312"/>
          <w:sz w:val="32"/>
          <w:szCs w:val="32"/>
        </w:rPr>
      </w:pPr>
      <w:bookmarkStart w:id="37" w:name="_Toc198653971"/>
      <w:bookmarkStart w:id="38" w:name="_Toc1609444784"/>
      <w:bookmarkStart w:id="39" w:name="_Toc694193291"/>
      <w:r>
        <w:rPr>
          <w:rFonts w:hint="eastAsia" w:ascii="楷体_GB2312" w:hAnsi="楷体_GB2312" w:eastAsia="楷体_GB2312" w:cs="楷体_GB2312"/>
          <w:sz w:val="32"/>
          <w:szCs w:val="32"/>
        </w:rPr>
        <w:t>（三）论证方法</w:t>
      </w:r>
      <w:bookmarkEnd w:id="37"/>
      <w:bookmarkEnd w:id="38"/>
      <w:bookmarkEnd w:id="39"/>
    </w:p>
    <w:p>
      <w:pPr>
        <w:ind w:firstLine="552"/>
        <w:rPr>
          <w:rFonts w:hint="eastAsia"/>
        </w:rPr>
      </w:pPr>
      <w:r>
        <w:rPr>
          <w:rFonts w:hint="eastAsia"/>
        </w:rPr>
        <w:t>为确保项目技术方案可行性与经费报价合规性，结合 “跨平台智能模型转化工具” 项目特性（软件内嵌试验场调试机、需适配 20 类模型与 4 类平台），从“技术-成本-风险”协同视角，采用以下三种差异化论证方法，形成闭环验证逻辑。</w:t>
      </w:r>
    </w:p>
    <w:p>
      <w:pPr>
        <w:numPr>
          <w:ilvl w:val="0"/>
          <w:numId w:val="8"/>
        </w:numPr>
        <w:outlineLvl w:val="2"/>
        <w:rPr>
          <w:rFonts w:hint="eastAsia"/>
        </w:rPr>
      </w:pPr>
      <w:bookmarkStart w:id="40" w:name="_Toc27987686"/>
      <w:r>
        <w:rPr>
          <w:rFonts w:hint="eastAsia"/>
        </w:rPr>
        <w:t>技术模块倒推论证法​</w:t>
      </w:r>
      <w:bookmarkEnd w:id="40"/>
    </w:p>
    <w:p>
      <w:pPr>
        <w:pStyle w:val="2"/>
        <w:rPr>
          <w:rFonts w:hint="eastAsia"/>
        </w:rPr>
      </w:pPr>
      <w:r>
        <w:rPr>
          <w:rFonts w:hint="eastAsia"/>
        </w:rPr>
        <w:t>围绕项目 “系统设计-架构搭建-功能落地” 全技术链路，按 “核心模块 - 技术指标 - 资源投入”倒推验证，确保技术方案与资源配置匹配：</w:t>
      </w:r>
    </w:p>
    <w:p>
      <w:pPr>
        <w:pStyle w:val="2"/>
        <w:rPr>
          <w:rFonts w:hint="eastAsia"/>
        </w:rPr>
      </w:pPr>
      <w:r>
        <w:rPr>
          <w:rFonts w:hint="eastAsia"/>
        </w:rPr>
        <w:t>第一步：拆解核心技术模块：将整体技术方案拆分为 “模型解析引擎”“跨平台转换插件”“可视化渲染系统”“推理测试集群” 4 大核心模块，每个模块明确关键技术节点（如转换插件需实现 “ONNX→4 类平台格式” 两步转换）。</w:t>
      </w:r>
    </w:p>
    <w:p>
      <w:pPr>
        <w:pStyle w:val="2"/>
        <w:rPr>
          <w:rFonts w:hint="eastAsia"/>
        </w:rPr>
      </w:pPr>
      <w:r>
        <w:rPr>
          <w:rFonts w:hint="eastAsia"/>
        </w:rPr>
        <w:t>第二步：锚定模块技术指标：针对每个技术节点，设定可量化的技术达标标准，如 “模型解析引擎需支持 PyTorch/TensorFlow/ONNX 3 类原生格式，解析成功率≥99%”“跨平台转换插件针对 YOLOv8 模型的转换耗时≤5 分钟”。</w:t>
      </w:r>
    </w:p>
    <w:p>
      <w:pPr>
        <w:pStyle w:val="2"/>
        <w:rPr>
          <w:rFonts w:hint="eastAsia"/>
        </w:rPr>
      </w:pPr>
      <w:r>
        <w:rPr>
          <w:rFonts w:hint="eastAsia"/>
        </w:rPr>
        <w:t>第三步：倒推资源投入合理性：根据技术指标反推所需资源，如 “实现 4 类平台转换插件需 1 名算法工程师 3 个月工时（专注算子适配）+4 类平台 SDK 授权（华为 CANN / 瑞芯微 RKNN 等）”“推理测试集群需租赁 4 类平台真机各 1 台，3 个月租赁期”，并与经费报价中的 “人力成本”“设备费” 对应，验证资源投入与技术需求无偏差。​</w:t>
      </w:r>
    </w:p>
    <w:p>
      <w:pPr>
        <w:numPr>
          <w:ilvl w:val="0"/>
          <w:numId w:val="8"/>
        </w:numPr>
        <w:outlineLvl w:val="2"/>
        <w:rPr>
          <w:rFonts w:hint="eastAsia"/>
        </w:rPr>
      </w:pPr>
      <w:bookmarkStart w:id="41" w:name="_Toc90119909"/>
      <w:r>
        <w:rPr>
          <w:rFonts w:hint="eastAsia"/>
        </w:rPr>
        <w:t>成本-功能联动论证法​</w:t>
      </w:r>
      <w:bookmarkEnd w:id="41"/>
    </w:p>
    <w:p>
      <w:pPr>
        <w:pStyle w:val="2"/>
        <w:rPr>
          <w:rFonts w:hint="eastAsia" w:eastAsia="仿宋_GB2312"/>
          <w:lang w:val="en-US" w:eastAsia="zh-CN"/>
        </w:rPr>
      </w:pPr>
      <w:r>
        <w:rPr>
          <w:rFonts w:hint="eastAsia" w:eastAsia="仿宋_GB2312"/>
          <w:lang w:val="en-US" w:eastAsia="zh-CN"/>
        </w:rPr>
        <w:t>建立“功能复杂度-成本消耗”联动模型，通过量化功能权重，验证每笔经费支出均对应明确功能产出，杜绝无效成本：</w:t>
      </w:r>
    </w:p>
    <w:p>
      <w:pPr>
        <w:pStyle w:val="2"/>
        <w:rPr>
          <w:rFonts w:hint="eastAsia" w:eastAsia="仿宋_GB2312"/>
          <w:lang w:val="en-US" w:eastAsia="zh-CN"/>
        </w:rPr>
      </w:pPr>
      <w:r>
        <w:rPr>
          <w:rFonts w:hint="eastAsia" w:eastAsia="仿宋_GB2312"/>
          <w:lang w:val="en-US" w:eastAsia="zh-CN"/>
        </w:rPr>
        <w:t>第一步：功能权重量化：按 “核心功能（跨平台转换、模型可视化）- 基础功能（任务监控、模型管理）- 辅助功能（日志导出、权限管理）” 分类，采用 “德尔菲法” 邀请 5 名 AI 工程专家对功能权重打分，最终确定核心功能占比 60%、基础功能占比 30%、辅助功能占比 10%。</w:t>
      </w:r>
    </w:p>
    <w:p>
      <w:pPr>
        <w:pStyle w:val="2"/>
        <w:rPr>
          <w:rFonts w:hint="eastAsia" w:eastAsia="仿宋_GB2312"/>
          <w:lang w:val="en-US" w:eastAsia="zh-CN"/>
        </w:rPr>
      </w:pPr>
      <w:r>
        <w:rPr>
          <w:rFonts w:hint="eastAsia" w:eastAsia="仿宋_GB2312"/>
          <w:lang w:val="en-US" w:eastAsia="zh-CN"/>
        </w:rPr>
        <w:t>第二步：成本按功能分摊：将总预算 48 万元按功能权重分摊，核心功能对应 28.8 万元（48×60%）、基础功能对应 14.4 万元（48×30%）、辅助功能对应 4.8 万元（48×10%）。</w:t>
      </w:r>
    </w:p>
    <w:p>
      <w:pPr>
        <w:pStyle w:val="2"/>
        <w:rPr>
          <w:rFonts w:hint="eastAsia" w:eastAsia="仿宋_GB2312"/>
          <w:lang w:val="en-US" w:eastAsia="zh-CN"/>
        </w:rPr>
      </w:pPr>
      <w:r>
        <w:rPr>
          <w:rFonts w:hint="eastAsia" w:eastAsia="仿宋_GB2312"/>
          <w:lang w:val="en-US" w:eastAsia="zh-CN"/>
        </w:rPr>
        <w:t>第三步：联动验证：逐一核对成本与功能的匹配性，如核心功能中的 “跨平台转换” 对应经费 15.6 万元（含算法工程师工时 7.5 万元 + 硬件租赁 5.28 万元 + SDK 授权 1.8 万元），占核心功能成本的 54.2%，与该功能 “需适配 4 类平台 + 20 类模型” 的高复杂度匹配；基础功能中的 “任务监控” 对应经费 3.2 万元（含后端开发工时 2.7 万元 + 日志存储 0.5 万元），占基础功能成本的 22.2%，符合其 “基于常规技术开发” 的低复杂度特性，确保成本消耗与功能价值成正比。</w:t>
      </w:r>
    </w:p>
    <w:p>
      <w:pPr>
        <w:numPr>
          <w:ilvl w:val="0"/>
          <w:numId w:val="8"/>
        </w:numPr>
        <w:outlineLvl w:val="2"/>
        <w:rPr>
          <w:rFonts w:hint="eastAsia"/>
        </w:rPr>
      </w:pPr>
      <w:bookmarkStart w:id="42" w:name="_Toc669339428"/>
      <w:r>
        <w:rPr>
          <w:rFonts w:hint="eastAsia"/>
        </w:rPr>
        <w:t>风险-预案-成本预留论证法​</w:t>
      </w:r>
      <w:bookmarkEnd w:id="42"/>
    </w:p>
    <w:p>
      <w:pPr>
        <w:ind w:firstLine="552"/>
        <w:rPr>
          <w:rFonts w:hint="eastAsia"/>
        </w:rPr>
      </w:pPr>
      <w:r>
        <w:rPr>
          <w:rFonts w:hint="eastAsia"/>
        </w:rPr>
        <w:t>针对项目实施中的潜在风险（如模型适配失败、平台测试节点故障），通过“风险识别-预案制定-成本预留”三步论证，验证“其他费用”中应急储备的合理性，保障项目抗风险能力：</w:t>
      </w:r>
    </w:p>
    <w:p>
      <w:pPr>
        <w:ind w:firstLine="552"/>
        <w:rPr>
          <w:rFonts w:hint="eastAsia"/>
        </w:rPr>
      </w:pPr>
      <w:r>
        <w:rPr>
          <w:rFonts w:hint="eastAsia"/>
        </w:rPr>
        <w:t>第一步：风险识别与分级：采用 “故障树分析法” 梳理风险，确定 “20 类模型中某类模型算子不兼容（发生概率 15%，影响程度高）”“华为昇腾测试节点临时离线（发生概率 10%，影响程度中）” 等 5 类核心风险，按 “高-中-低” 风险等级标注。</w:t>
      </w:r>
    </w:p>
    <w:p>
      <w:pPr>
        <w:ind w:firstLine="552"/>
        <w:rPr>
          <w:rFonts w:hint="eastAsia"/>
        </w:rPr>
      </w:pPr>
      <w:r>
        <w:rPr>
          <w:rFonts w:hint="eastAsia"/>
        </w:rPr>
        <w:t>第二步：制定应对预案：针对高风险项 “模型算子不兼容”，制定 “备用算子库开发” 预案，需额外投入 0.6 万元（算法工程师 0.5 个月工时）；针对中风险项 “测试节点离线”，制定 “备用节点租赁” 预案，需额外投入 0.4 万元（1 台设备 1 个月短租）。</w:t>
      </w:r>
    </w:p>
    <w:p>
      <w:pPr>
        <w:ind w:firstLine="552"/>
      </w:pPr>
      <w:r>
        <w:rPr>
          <w:rFonts w:hint="eastAsia"/>
        </w:rPr>
        <w:t>第三步：成本预留验证：将各类风险预案所需成本汇总（0.6+0.4 + 其他低风险预案 0.2=1.2 万元），与经费报价中 “其他费用” 的 “应急技术支持费 0.8 万元” 对比，同时结合 “税费 1.2 万元”，验证其他费用 3 万元的预留规模既能覆盖风险预案，又无超额储备，符合 “适度冗余、成本可控” 原则。</w:t>
      </w:r>
    </w:p>
    <w:p>
      <w:pPr>
        <w:numPr>
          <w:ilvl w:val="0"/>
          <w:numId w:val="9"/>
        </w:numPr>
        <w:outlineLvl w:val="0"/>
        <w:rPr>
          <w:rFonts w:hint="eastAsia" w:ascii="黑体" w:hAnsi="黑体" w:eastAsia="黑体"/>
          <w:sz w:val="32"/>
          <w:szCs w:val="32"/>
        </w:rPr>
      </w:pPr>
      <w:bookmarkStart w:id="43" w:name="_Toc234467076"/>
      <w:bookmarkStart w:id="44" w:name="_Toc1068423410"/>
      <w:bookmarkStart w:id="45" w:name="_Toc372529530"/>
      <w:bookmarkStart w:id="46" w:name="_Toc198653972"/>
      <w:r>
        <w:rPr>
          <w:rFonts w:hint="eastAsia" w:ascii="黑体" w:hAnsi="黑体" w:eastAsia="黑体"/>
          <w:sz w:val="32"/>
          <w:szCs w:val="32"/>
        </w:rPr>
        <w:t>项目技术内容与经费报价方案及测算理由</w:t>
      </w:r>
      <w:bookmarkEnd w:id="43"/>
      <w:bookmarkEnd w:id="44"/>
      <w:bookmarkEnd w:id="45"/>
      <w:bookmarkEnd w:id="46"/>
    </w:p>
    <w:p>
      <w:pPr>
        <w:outlineLvl w:val="1"/>
        <w:rPr>
          <w:rFonts w:hint="eastAsia" w:ascii="楷体_GB2312" w:hAnsi="楷体_GB2312" w:eastAsia="楷体_GB2312" w:cs="楷体_GB2312"/>
          <w:sz w:val="32"/>
          <w:szCs w:val="32"/>
        </w:rPr>
      </w:pPr>
      <w:bookmarkStart w:id="47" w:name="_Toc1881479303"/>
      <w:bookmarkStart w:id="48" w:name="_Toc55654087"/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一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）</w:t>
      </w:r>
      <w:r>
        <w:rPr>
          <w:rFonts w:hint="eastAsia" w:ascii="楷体_GB2312" w:hAnsi="楷体_GB2312" w:eastAsia="楷体_GB2312" w:cs="楷体_GB2312"/>
          <w:sz w:val="32"/>
          <w:szCs w:val="32"/>
        </w:rPr>
        <w:t>技术方案</w:t>
      </w:r>
      <w:bookmarkEnd w:id="47"/>
      <w:bookmarkEnd w:id="48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本项目技术方案聚焦 “跨平台智能模型转化工具” 在试验场内场调试机的内嵌应用需求，以 “解决模型跨架构格式壁垒、降低模型理解门槛” 为核心目标，构建 “B/S 架构支撑 + 核心功能模块 + 全流程管控” 的技术体系，严格匹配 “20 类模型适配、4 类平台兼容” 的性能指标与 “跨平台转换、模型可视化” 的功能指标。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系统采用分层架构设计，自下而上分为硬件资源层、数据存储层、应用服务层与用户层：硬件资源层部署华为昇腾、瑞芯微、英伟达、寒武纪 4 类平台真机测试节点，通过 Docker 容器化统一管理运行环境；数据存储层采用 MySQL+MinIO+Redis 混合架构，分别存储结构化任务数据、非结构化模型文件与高频缓存数据；应用服务层拆分为转换系统、可视化系统与支撑服务，实现微服务化协同；用户层支持主流浏览器与响应式界面，确保调试机操作便捷。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核心功能模块围绕两大指标展开：一是跨平台格式转换模块，通过 “原生格式→ONNX 中间格式→目标平台格式” 两步流程，集成 4 类平台专用转换工具（华为 ATC、瑞芯微 RKNN Toolkit 等），开发 20 类模型专属适配模板，解决算子不兼容与精度损失问题，转换成功率≥98%；二是模型可视化模块，基于 Netron 二次开发，支持网络结构拓扑图展示、层参数详情查看与跨平台结构对比，针对计算机视觉与 NLP 模型提供差异化视图，可视化响应时间≤2 秒。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同时，配套开发跨平台推理测试模块与任务监控模块：推理测试模块从功能、性能、精度三维度验证模型适配效果，自动生成可视化报告；任务监控模块实现全流程任务跟踪与异常告警，确保 3 个月短周期内高效交付。整体技术方案兼顾兼容性、稳定性与易用性，可直接支撑试验场智能模型部署测试需求。</w:t>
      </w:r>
    </w:p>
    <w:p>
      <w:pPr>
        <w:numPr>
          <w:ilvl w:val="0"/>
          <w:numId w:val="10"/>
        </w:numPr>
        <w:outlineLvl w:val="2"/>
        <w:rPr>
          <w:sz w:val="32"/>
          <w:szCs w:val="32"/>
        </w:rPr>
      </w:pPr>
      <w:bookmarkStart w:id="49" w:name="_Toc325943446"/>
      <w:r>
        <w:rPr>
          <w:rFonts w:hint="eastAsia"/>
          <w:sz w:val="32"/>
          <w:szCs w:val="32"/>
          <w:lang w:val="en-US" w:eastAsia="zh-CN"/>
        </w:rPr>
        <w:t>系统设计</w:t>
      </w:r>
      <w:bookmarkEnd w:id="49"/>
    </w:p>
    <w:p>
      <w:pPr>
        <w:numPr>
          <w:ilvl w:val="1"/>
          <w:numId w:val="10"/>
        </w:numPr>
        <w:outlineLvl w:val="3"/>
      </w:pPr>
      <w:r>
        <w:rPr>
          <w:rFonts w:hint="eastAsia"/>
        </w:rPr>
        <w:t>轻量化 B/S 架构支撑系统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作为工具运行的基础骨架，该系统以 “资源精简、响应高效” 为设计原则，适配调试机内网环境与有限硬件资源：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用户层：仅支持 Chrome、Edge 两款主流浏览器（减少兼容性开发成本），界面采用 “功能分区 + 快捷工具栏” 设计，核心操作（模型上传、转换配置、结果查看）均在首页完成，无需多页跳转。支持单文件拖拽上传（最大支持 3GB 模型，适配调试机存储容量）、转换参数一键保存（常用配置可预设为模板），进度展示采用 “环形进度条 + 关键节点提示”，直观呈现任务状态。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应用服务层：采用 “核心服务 + 插件扩展” 架构，仅保留模型解析、转换调度、可视化渲染 3 个核心服务，其余功能（如日志管理、权限控制）以轻量化插件形式加载，减少调试机内存占用。前端基于 Vue3+Vite 开发（构建速度提升 60%），界面元素采用按需加载；后端基于 Flask 框架（轻量型 Python 框架），接口响应时间≤300ms，适配调试机低算力环境。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数据存储层：采用 “精简混合存储” 方案，MySQL 8.0 仅存储任务基础信息（任务 ID、模型名称、转换状态）与用户配置，剔除冗余字段；MinIO 采用单节点部署（初期无需分布式扩展），仅存储原始模型、转换后模型两类核心文件，日志文件按 “7 天自动清理” 策略管理，避免调试机存储空间溢出；Redis 仅缓存任务实时状态与高频访问的模型元数据（输入输出维度、算子数量），缓存有效期缩短至 12 小时，释放内存资源。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硬件资源层：每类平台仅部署 1 台核心测试节点（华为昇腾 Atlas 200I、瑞芯微 RK3588、英伟达 Jetson AGX Orin、寒武纪思元 370），通过 Conda 虚拟环境替代 Docker 容器（减少调试机虚拟化资源消耗），为每类平台预置最小化运行环境（仅含驱动、核心 SDK 与依赖库），环境部署时间≤2 小时，适配调试机快速调试需求。</w:t>
      </w:r>
    </w:p>
    <w:p>
      <w:pPr>
        <w:numPr>
          <w:ilvl w:val="1"/>
          <w:numId w:val="10"/>
        </w:numPr>
        <w:outlineLvl w:val="3"/>
        <w:rPr>
          <w:rFonts w:hint="eastAsia"/>
        </w:rPr>
      </w:pPr>
      <w:r>
        <w:rPr>
          <w:rFonts w:hint="eastAsia"/>
        </w:rPr>
        <w:t>高效跨平台模型转换系统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聚焦 “低精度损失、高转换效率”，针对调试机场景优化转换流程，核心包含四大模块：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精简转换工具集：以 ONNX Runtime 为基础框架，仅集成 4 类平台必需的转换工具，剔除冗余功能。华为昇腾采用 ATC 工具轻量版（仅保留格式转换与基础算子融合功能）；瑞芯微选用 RKNN Toolkit Lite（内存占用降低 40%），仅支持 Min-Max 量化（满足调试机快速量化需求）；英伟达采用 TensorRT 简化版（关闭动态形状优化，减少计算资源消耗）；寒武纪使用 MagicMind 基础版，仅保留核心算子映射。同时集成 ONNX Simplifier 轻量插件，仅执行冗余算子删除、常量节点合并两项简化操作，简化耗时缩短至原流程的 50%。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模型适配模板库：针对 20 类主流模型（目标检测：YOLOv5/v8、Faster R-CNN；目标分类：ResNet50、MobileNetV3；目标跟踪：SORT、DeepSORT；NLP 大模型：BERT-base、GPT-2），开发 “最小化适配模板”，每个模板仅保留模型结构解析规则与关键算子映射表，剔除非必要优化策略。例如 YOLO 模板仅聚焦检测头 Anchor 信息保留与 backbone 算子适配，BERT 模板仅优化 Transformer 层注意力计算逻辑，模板文件大小均控制在 100KB 以内，加载速度提升 3 倍。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两步式转换逻辑模块：优化 “原生格式→ONNX→目标平台格式” 流程，第一步仅解析模型拓扑结构与核心参数（忽略权重细节校验），PyTorch/TensorFlow 模型解析耗时≤1 分钟；第二步根据目标平台自动选择 “快速转换模式”，华为昇腾跳过算子性能优化、瑞芯微关闭量化校准数据生成，转换耗时较常规流程缩短 40%。转换过程仅记录关键日志（解析开始 / 结束、转换成功 / 失败、错误信息），日志文件大小控制在 10MB 以内，适配调试机存储需求。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轻量任务调度模块：采用 “本地任务队列 + 单节点调度” 替代分布式架构，用户提交的转换任务直接进入调试机本地队列，按 “提交时间先后” 排序（无需负载均衡，减少调度开销）。任务状态仅包含 “等待中、处理中、成功、失败”4 种，无中间过渡状态，前端通过定时轮询（轮询间隔 5 秒）获取状态更新，减少调试机网络通信压力；转换完成后仅校验输入输出维度一致性，跳过权重哈希值对比，校验耗时≤10 秒。</w:t>
      </w:r>
    </w:p>
    <w:p>
      <w:pPr>
        <w:numPr>
          <w:ilvl w:val="1"/>
          <w:numId w:val="10"/>
        </w:numPr>
        <w:outlineLvl w:val="3"/>
      </w:pPr>
      <w:r>
        <w:rPr>
          <w:rFonts w:hint="eastAsia"/>
        </w:rPr>
        <w:t>直观化模型可视化系统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以 “简洁清晰、重点突出” 为原则，针对调试机小屏显示优化可视化效果，核心包含三大模块：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基础网络结构可视化模块：基于 Netron 核心解析能力开发精简版渲染引擎，仅提取模型关键层（输入层、卷积层、全连接层、输出层）与层间连接关系，忽略 BN 层、激活层等次要结构，拓扑图节点数量减少 60%。不同层类型仅用 “颜色 + 图标” 简单区分（卷积层蓝色方块、全连接层绿色圆形），支持鼠标滚轮缩放（缩放范围 50%-200%）与节点单击查看基础参数（仅显示算子类型、输入输出维度），避免界面信息过载。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场景化可视化适配模块：仅针对计算机视觉、NLP 两类模型开发专用视图，计算机视觉模型采用 “纵向分层” 展示（输入层→backbone→输出层），标注每层输出特征图尺寸；NLP 模型采用 “横向链式” 展示（词嵌入层→Transformer 层→分类层），仅突出注意力头数量与隐藏层维度两个关键参数。不支持自定义配置功能，仅保留 “默认视图 + 黑白主题” 两种展示模式，减少调试机渲染压力。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快速渲染优化模块：采用 “预渲染 + 局部更新” 策略，模型上传后先预渲染整体拓扑结构，用户点击节点时仅局部加载该节点参数，初始渲染时间≤2 秒；采用 Canvas 绘图替代 SVG（减少 DOM 元素数量），大模型（500 层以上）可视化界面帧率保持在 30fps 以上；权重数据不支持可视化展示，仅提供 “参数范围文本提示”（如 “权重值范围：-1.2~1.5”），平衡展示需求与调试机性能。</w:t>
      </w:r>
    </w:p>
    <w:p>
      <w:pPr>
        <w:numPr>
          <w:ilvl w:val="1"/>
          <w:numId w:val="10"/>
        </w:numPr>
        <w:outlineLvl w:val="3"/>
      </w:pPr>
      <w:r>
        <w:rPr>
          <w:rFonts w:hint="eastAsia"/>
        </w:rPr>
        <w:t>实用化硬件集成验证系统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聚焦调试机 “快速验证、问题定位” 需求，简化验证流程，核心包含三大模块：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精简硬件测试集群：每类平台仅保留 1 台测试节点，节点状态仅监测 “在线 / 离线” 与 “CPU/NPU 利用率” 两项核心指标，通过简单指示灯（绿色在线、红色离线）在界面展示，无需复杂监控面板。节点访问采用 SSH 直连方式，避免部署额外监控服务，减少调试机资源消耗。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基础验证模块：仅开展功能验证与简易性能测试，功能验证仅检查模型是否能正常推理（输出非空结果），不校验结果格式合法性；性能测试仅采集单轮推理延迟（取 10 轮平均值），不计算吞吐量与资源占用峰值，测试数据直接以文本形式展示（如 “推理延迟：250ms”），无需生成复杂图表。精度对比仅针对目标检测模型（YOLO 系列）与分类模型（ResNet 系列），采用 mAP 与 Top-1 Accuracy 两个核心指标，以英伟达 Jetson AGX Orin（FP32 精度）为基准，精度损失阈值放宽至≤8%，减少调试机测试时间。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简易报告生成模块：验证完成后生成 TXT 格式简易报告，仅包含测试模型名称、目标平台、测试时间、功能验证结果（成功 / 失败）、推理延迟、精度损失 6 项核心信息，报告大小≤100KB，支持直接在调试机打开查看，无需额外安装 PDF/HTML 阅读器，适配调试机简化需求。</w:t>
      </w:r>
    </w:p>
    <w:p>
      <w:pPr>
        <w:numPr>
          <w:ilvl w:val="0"/>
          <w:numId w:val="10"/>
        </w:numPr>
        <w:outlineLvl w:val="2"/>
        <w:rPr>
          <w:sz w:val="32"/>
          <w:szCs w:val="32"/>
        </w:rPr>
      </w:pPr>
      <w:bookmarkStart w:id="50" w:name="_Toc2048197072"/>
      <w:r>
        <w:rPr>
          <w:rFonts w:hint="eastAsia"/>
          <w:sz w:val="32"/>
          <w:szCs w:val="32"/>
        </w:rPr>
        <w:t>架构设计</w:t>
      </w:r>
      <w:bookmarkEnd w:id="50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本项目架构突破传统分层架构局限，针对 “试验场内场调试机内嵌” 场景，采用 “核心引擎 + 场景化插件 + 轻量化支撑” 的三维架构设计，以 “低资源占用、高适配效率、快响应速度” 为核心目标，实现 20 类模型与 4 类平台的精准适配，同时满足调试机轻量化运行需求，架构分为 “核心引擎层、场景化插件层、轻量化支撑层” 三层，各层职责明确且协同高效。</w:t>
      </w:r>
    </w:p>
    <w:p>
      <w:pPr>
        <w:numPr>
          <w:ilvl w:val="1"/>
          <w:numId w:val="10"/>
        </w:numPr>
        <w:outlineLvl w:val="3"/>
      </w:pPr>
      <w:r>
        <w:rPr>
          <w:rFonts w:hint="eastAsia"/>
        </w:rPr>
        <w:t>核心引擎层：架构核心驱动力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作为整个工具的技术底座，聚焦 “模型解析、格式转换、结构可视化” 三大核心能力，提供标准化接口供上层调用，所有引擎均做轻量化优化，适配调试机有限算力：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多格式模型解析引擎：整合 ONNX Runtime 基础解析能力与自定义格式适配逻辑，仅保留 PyTorch（.pth/.pt）、TensorFlow（.pb/.saved_model）、ONNX（.onnx）三类核心原生格式解析功能，剔除小众格式支持，解析时仅提取模型拓扑结构、输入输出维度、核心算子类型三类关键信息，解析耗时≤90 秒（1GB 模型），内存占用控制在 512MB 以内。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跨平台转换核心引擎：以 ONNX 为中间格式枢纽，内置 “原生格式→ONNX” 统一转换逻辑与 “ONNX 优化器”（仅保留算子融合、常量折叠两项核心优化），对外提供标准化 “ONNX→目标平台格式” 转换接口，支持 4 类平台插件接入，引擎自身不包含平台专用逻辑，确保轻量可扩展。</w:t>
      </w:r>
    </w:p>
    <w:p>
      <w:pPr>
        <w:pStyle w:val="2"/>
        <w:ind w:firstLine="552"/>
      </w:pPr>
      <w:r>
        <w:rPr>
          <w:rFonts w:hint="eastAsia"/>
        </w:rPr>
        <w:t>模型可视化渲染引擎：基于 Netron 精简版内核开发，仅保留网络结构拓扑图渲染、层参数基础展示两项核心功能，采用 “静态预渲染 + 局部交互” 模式，加载模型时先生成整体拓扑图静态画面，用户点击节点时再动态加载该节点参数，渲染响应时间≤1.5 秒（500 层模型），不支持复杂动画效果，降低调试机 GPU 消耗。</w:t>
      </w:r>
    </w:p>
    <w:p>
      <w:pPr>
        <w:numPr>
          <w:ilvl w:val="1"/>
          <w:numId w:val="10"/>
        </w:numPr>
        <w:outlineLvl w:val="3"/>
      </w:pPr>
      <w:r>
        <w:rPr>
          <w:rFonts w:hint="eastAsia"/>
        </w:rPr>
        <w:t>场景化插件层：功能扩展载体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围绕 “4 类平台适配、20 类模型优化” 场景需求，以插件形式实现差异化功能，插件可按需加载 / 卸载，避免资源浪费，核心插件包括：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平台专属转换插件：为华为昇腾、瑞芯微、英伟达、寒武纪 4 类平台各开发 1 个轻量化插件，仅包含该平台专用转换工具调用逻辑（如华为插件调用 ATC 工具、瑞芯微插件调用 RKNN Toolkit）与基础算子映射表，插件大小均控制在 50MB 以内，加载时间≤10 秒，支持独立更新（无需重启核心引擎）。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模型适配优化插件：针对 20 类主流模型（目标检测 6 类、目标分类 5 类、目标跟踪 4 类、NLP 大模型 5 类），每类模型开发 1 个适配插件，仅包含该模型专属结构解析规则（如 YOLO 插件保留检测头 Anchor 信息、BERT 插件优化 Transformer 层逻辑）与精度校准参数，插件可通过 “模板导入” 快速新增，无需修改核心代码。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推理测试简化插件：仅包含功能验证（检查推理输出非空）、基础性能测试（采集单轮推理延迟）两项测试逻辑，支持 4 类平台测试节点接入，测试时不生成复杂图表，仅输出文本化测试结果，插件内存占用≤256MB，适配调试机快速验证需求。</w:t>
      </w:r>
    </w:p>
    <w:p>
      <w:pPr>
        <w:numPr>
          <w:ilvl w:val="1"/>
          <w:numId w:val="10"/>
        </w:numPr>
        <w:outlineLvl w:val="3"/>
      </w:pPr>
      <w:r>
        <w:rPr>
          <w:rFonts w:hint="eastAsia"/>
        </w:rPr>
        <w:t>轻量化支撑层：运行保障基础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为核心引擎与插件提供基础支撑，所有组件均做精简设计，满足调试机内网环境与低资源需求：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资源调度组件：采用 “本地任务队列 + 单节点调度” 模式，不依赖分布式框架，用户提交的转换、测试任务直接进入调试机本地队列，按 “提交时间” 排序执行，仅监控 CPU 利用率（阈值≤80%）、内存占用（阈值≤85%）两项节点负载指标，避免调度逻辑复杂导致的资源消耗。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数据存储组件：采用 “极简混合存储” 方案，MySQL 仅存储任务基础信息（任务 ID、模型名称、状态）与用户配置，MinIO 单节点部署仅存储原始模型、转换后模型两类核心文件（日志文件 7 天自动清理），Redis 仅缓存任务实时状态（有效期 6 小时），三类存储组件总内存占用控制在 2GB 以内。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用户交互组件：开发轻量化 Web 前端，仅包含模型上传、转换配置、可视化查看、任务监控四大核心功能界面，采用 “单页应用” 设计，不支持多标签页操作，界面元素按需加载（滚动时加载可视区域内容），前端资源总大小≤2MB，首次加载时间≤3 秒，适配调试机内网低带宽环境。</w:t>
      </w:r>
    </w:p>
    <w:p>
      <w:pPr>
        <w:numPr>
          <w:ilvl w:val="0"/>
          <w:numId w:val="10"/>
        </w:numPr>
        <w:outlineLvl w:val="2"/>
        <w:rPr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核心引擎层：架构核心驱动力</w:t>
      </w:r>
    </w:p>
    <w:p>
      <w:pPr>
        <w:pStyle w:val="2"/>
        <w:ind w:firstLine="552"/>
      </w:pPr>
      <w:r>
        <w:rPr>
          <w:rFonts w:hint="eastAsia"/>
        </w:rPr>
        <w:t>模型管理作为系统核心基础功能，覆盖智能模型从“接入-维护-版本控制-存储-检索”的全生命周期管理，需兼容主流光模块及交换机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网络传输基础能力不是本项目重点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，同时满足 20 类智能模型（目标检测/分类/跟踪/NLP 大模型）的高效管理需求，为后续跨平台转换、可视化展示提供标准化模型数据源。</w:t>
      </w:r>
    </w:p>
    <w:p>
      <w:pPr>
        <w:numPr>
          <w:ilvl w:val="1"/>
          <w:numId w:val="10"/>
        </w:numPr>
        <w:outlineLvl w:val="3"/>
      </w:pPr>
      <w:r>
        <w:rPr>
          <w:rFonts w:hint="eastAsia"/>
        </w:rPr>
        <w:t>功能描述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核心引擎层承担模型处理全流程的核心逻辑，不包含场景化适配细节（如平台专用算子映射、模型专属优化策略），仅提供通用化、可扩展的基础能力，具体功能如下：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多格式模型解析功能：支持 PyTorch（.pth/.pt）、TensorFlow（.pb/.saved_model）、ONNX（.onnx）三类主流原生格式的解析，自动提取模型关键信息 —— 拓扑结构（层与层的连接关系）、输入输出维度（如 [1,3,640,640]）、核心算子类型（如 Conv2d、Linear、MultiHeadAttention），忽略权重数据校验、冗余算子详情等非必要信息，确保解析效率；解析结果以标准化 JSON 格式输出，包含 “layers”（层信息数组）、“connections”（层连接关系数组）、“io_info”（输入输出信息）三类核心字段，供转换引擎与可视化引擎调用。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跨平台转换基础功能：实现 “原生格式→ONNX 中间格式” 的统一转换，支持自动处理不同框架的格式差异（如 TensorFlow 的 NHWC 数据排布转为 ONNX 标准的 NCHW 格式、PyTorch 的动态 BatchSize 标记为固定维度）；内置 ONNX 优化模块，仅保留 “算子融合”（如 Conv+BN+ReLU 合并为单个算子）、“常量折叠”（将常量节点与计算节点合并）两项核心优化，减少后续平台转换的复杂度；对外提供 “ONNX→目标平台格式” 的标准化接口，支持 4 类平台插件接入，引擎自身不存储任何平台专用逻辑，确保功能通用性。</w:t>
      </w:r>
    </w:p>
    <w:p>
      <w:pPr>
        <w:pStyle w:val="2"/>
        <w:ind w:firstLine="552"/>
      </w:pPr>
      <w:r>
        <w:rPr>
          <w:rFonts w:hint="eastAsia"/>
        </w:rPr>
        <w:t>模型可视化基础功能：支持模型网络结构的静态拓扑图渲染，自动按层类型分配差异化标识（卷积层用蓝色方块、全连接层用绿色圆形、Transformer 层用紫色菱形），清晰展示层间数据流向；提供基础交互能力，用户点击层节点时可查看该层的核心参数（算子类型、输入输出维度、卷积核大小 / 步长等关键配置），不支持复杂交互（如节点拖拽、多层级折叠）；可视化结果支持导出为 PNG 格式（分辨率默认 1920×1080，适配调试机显示），无 SVG、PDF 等复杂格式导出功能，降低资源消耗。​</w:t>
      </w:r>
    </w:p>
    <w:p>
      <w:pPr>
        <w:numPr>
          <w:ilvl w:val="1"/>
          <w:numId w:val="10"/>
        </w:numPr>
        <w:outlineLvl w:val="3"/>
      </w:pPr>
      <w:r>
        <w:rPr>
          <w:rFonts w:hint="eastAsia"/>
        </w:rPr>
        <w:t>技术实现方案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围绕 “轻量化、高效化、可扩展” 原则，采用精简开发策略与模块化设计，确保引擎在调试机环境下稳定运行，具体技术方案如下：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多格式模型解析引擎实现：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基于 ONNX Runtime 1.15 基础解析库，整合 PyTorch、TensorFlow 的专用解析工具（torch.onnx.export、tf2onnx），通过 “格式判断→工具调用→信息提取→标准化输出” 四步流程实现解析；格式判断通过文件后缀与头部标识双重判定（如.pth 文件匹配 “PK” 头部标识），避免格式误判。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解析过程采用 “异步处理 + 内存限制” 策略，通过 Python 多线程异步执行解析任务，避免阻塞主线程；利用 memory_profiler 工具监控内存占用，当解析 1GB 以上模型时自动触发 “分块解析”（按层结构拆分模型，逐块提取信息），将内存占用控制在 512MB 以内；解析耗时通过 “关键步骤计时” 优化，如 PyTorch 模型解析时跳过权重加载仅提取结构信息，解析耗时缩短至 90 秒以内（1GB 模型）。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解析结果采用 “最小化 JSON” 格式，剔除 “层描述备注”“算子版本号” 等冗余字段，仅保留 “layer_id”“layer_type”“input_shape”“output_shape”“key_params”（核心参数）等必要信息，JSON 文件大小控制在 100KB 以内（500 层模型），便于后续引擎快速读取。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跨平台转换核心引擎实现：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采用 “中间格式解耦” 架构，“原生格式→ONNX” 转换逻辑通过统一封装的 Python 类实现（如 Pytorch2OnnxConverter、TensorFlow2OnnxConverter），类内包含格式差异处理函数（如 NHWC2NCHW ()、Dynamic2FixedBatch ()），确保转换结果符合 ONNX 1.8~1.12 版本规范。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ONNX 优化模块基于 onnxoptimizer 开源库，仅启用 “fuse_conv_bn”“fold_constants” 两项优化 pass（移除 “eliminate_unused_initializers”“fuse_pad_into_conv” 等非必要优化），优化耗时控制在 30 秒以内（1GB 模型）；优化后的 ONNX 模型自动生成 “优化报告”（TXT 格式），记录融合算子数量、常量折叠节点数，便于问题排查。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标准化接口设计采用 RESTful 风格，定义 “POST /api/engine/convert” 接口，接收 “onnx_path”（ONNX 模型路径）、“platform_type”（目标平台类型）、“plugin_config”（插件配置）三类参数，返回 “conversion_status”（转换状态）、“target_model_path”（目标模型路径）、“log_path”（转换日志路径），接口响应时间≤500ms，支持插件通过接口注入平台专用转换逻辑。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模型可视化渲染引擎实现：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基于 Netron 7.0 精简版内核，移除 “3D 视图渲染”“动态特征图展示” 等复杂功能，仅保留 2D 拓扑图渲染核心代码；采用 “静态预渲染” 策略，加载模型时先通过内核生成 SVG 格式的整体拓扑图静态文件，存储于调试机本地临时目录，前端直接加载静态文件展示整体结构，减少实时渲染压力。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交互功能通过 “前端局部请求” 实现，用户点击层节点时，前端发起 “GET /api/engine/visual/layer” 请求，传入 “layer_id” 参数，引擎从解析结果 JSON 中提取该层核心参数并返回，前端通过弹窗展示参数详情（不刷新整个页面），交互响应时间≤300ms；层标识采用 “颜色 + 图标” 极简设计，定义 4 类核心层类型的专属标识（卷积层：蓝色方块 +“Conv” 字样、全连接层：绿色圆形 +“FC” 字样、Transformer 层：紫色菱形 +“TF” 字样、输入 / 输出层：灰色三角形 +“IO” 字样），避免标识混乱。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资源占用优化通过 “渲染缓存” 与 “内存释放” 实现，渲染完成后将 SVG 静态文件缓存 12 小时（有效期内重复加载模型直接复用缓存），关闭可视化界面时自动调用内存释放函数（如 clear_svg_cache ()、free_layer_data ()），释放渲染过程中占用的内存，确保引擎整体内存占用≤768MB（1000 层模型）。</w:t>
      </w:r>
    </w:p>
    <w:p>
      <w:pPr>
        <w:numPr>
          <w:ilvl w:val="0"/>
          <w:numId w:val="10"/>
        </w:numPr>
        <w:outlineLvl w:val="2"/>
        <w:rPr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场景化插件层：功能扩展载体</w:t>
      </w:r>
    </w:p>
    <w:p>
      <w:pPr>
        <w:pStyle w:val="2"/>
      </w:pPr>
      <w:r>
        <w:rPr>
          <w:rFonts w:hint="eastAsia"/>
        </w:rPr>
        <w:t>加载、独立扩展、低资源占用” 为设计原则，通过插件形式承接核心引擎无法覆盖的差异化需求，既避免核心引擎冗余，又适配试验场内场调试机的轻量化运行要求，所有插件均支持单独更新与卸载，不影响整体系统稳定性。</w:t>
      </w:r>
    </w:p>
    <w:p>
      <w:pPr>
        <w:numPr>
          <w:ilvl w:val="1"/>
          <w:numId w:val="10"/>
        </w:numPr>
        <w:outlineLvl w:val="3"/>
      </w:pPr>
      <w:r>
        <w:rPr>
          <w:rFonts w:hint="eastAsia"/>
        </w:rPr>
        <w:t>功能描述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场景化插件层围绕项目核心性能指标（支持 20 类模型、4 类平台）与功能需求（跨平台转换、推理测试），提供三类专项插件，具体功能如下：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平台专属转换插件：为华为昇腾、瑞芯微、英伟达、寒武纪 4 类平台分别提供专属插件，核心功能是承接核心引擎输出的 ONNX 模型，调用对应平台的专用转换工具完成格式转换，并处理平台特有的算子兼容问题。例如华为昇腾插件支持调用 ATC 工具将 ONNX 模型转为 OM 格式，自动执行算子融合（如 Conv+BN+ReLU 合并）与数据排布优化（NCHW 转 NHWC）；瑞芯微插件支持调用 RKNN Toolkit 实现 ONNX 到 RKNN 格式转换，提供 Min-Max 量化算法选项，适配 RK3588/RK3599 的 NPU 算力特性。插件仅输出转换后的目标平台模型文件与简化日志（记录转换耗时、成功 / 失败状态），无额外冗余功能。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模型适配优化插件：针对 20 类主流智能模型（目标检测类：YOLOv5/v7/v8、Faster R-CNN、SSD、RetinaNet；目标分类类：ResNet50/101、EfficientNet-B0/B4、MobileNetV3；目标跟踪类：SORT、DeepSORT、ByteTrack、OC-SORT；自然语言大模型类：BERT-base、RoBERTa、GPT-2、T5-small、DistilBERT），每类模型开发 1 个适配插件。核心功能是向核心引擎注入该模型的专属适配规则，如 YOLO 系列插件预设检测头 Anchor 信息解析逻辑，确保转换时保留目标框预测关键参数；BERT 类插件优化 Transformer 层算子调用顺序，减少跨平台精度损失；插件同时支持加载该模型的测试基准参数（如输入维度、精度阈值），辅助后续推理测试。</w:t>
      </w:r>
    </w:p>
    <w:p>
      <w:pPr>
        <w:pStyle w:val="2"/>
        <w:ind w:firstLine="552"/>
      </w:pPr>
      <w:r>
        <w:rPr>
          <w:rFonts w:hint="eastAsia"/>
        </w:rPr>
        <w:t>推理测试简化插件：聚焦调试机 “快速验证转换效果” 需求，提供轻量化推理测试功能，核心支持 4 类平台测试节点接入，可完成功能验证与基础性能测试。功能验证环节仅检查转换后模型在目标平台是否能正常推理（输出非空结果，如目标检测模型输出 bounding box、NLP 模型输出文本预测结果）；基础性能测试环节仅采集单轮推理延迟（取 10 轮平均值，单位 ms），不计算复杂指标（如吞吐量、资源占用峰值）；测试完成后输出 TXT 格式简易报告，包含模型名称、目标平台、测试时间、推理结果状态、平均延迟 5 项核心信息，适配调试机快速排查问题的需求。</w:t>
      </w:r>
    </w:p>
    <w:p>
      <w:pPr>
        <w:numPr>
          <w:ilvl w:val="1"/>
          <w:numId w:val="10"/>
        </w:numPr>
        <w:outlineLvl w:val="3"/>
      </w:pPr>
      <w:r>
        <w:rPr>
          <w:rFonts w:hint="eastAsia"/>
        </w:rPr>
        <w:t>技术实现方案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围绕 “轻量化、可扩展、低耦合” 原则，采用 “插件注册 - 逻辑封装 - 接口对接” 的技术路径，确保插件与核心引擎高效协同，同时控制资源消耗，具体实现方案如下：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平台专属转换插件实现：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插件结构设计：采用 “配置文件 + 核心逻辑脚本” 的极简结构，配置文件（JSON 格式）记录平台名称、支持的转换工具版本（如华为插件配置 “tool_version: ATC 7.0”）、算子映射表（如 “ONNX Conv2d→昇腾 Conv2D”），文件大小≤10KB；核心逻辑脚本（Python 语言）仅包含工具调用函数（如华为插件的 atc_convert ()、瑞芯微插件的 rknn_convert ()）与错误处理逻辑（如工具调用失败时重试 2 次，超时时间设为 300 秒），脚本代码量控制在 500 行以内，整体插件大小≤50MB。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核心引擎对接：通过核心引擎的 “插件注册接口”（POST /api/engine/plugin/register）完成接入，接口传入插件 ID、平台类型、配置文件路径三类参数，核心引擎验证通过后将插件纳入 “平台插件库”；转换时核心引擎通过 “调用接口”（POST /api/engine/plugin/execute）向插件传递 ONNX 模型路径与转换参数，插件调用对应平台工具执行转换后，通过接口返回目标模型路径与日志路径，接口响应时间≤100ms；插件支持独立更新，通过 “插件更新接口”（PUT /api/engine/plugin/update）上传新版本脚本与配置文件，无需重启核心引擎，更新耗时≤30 秒。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算子兼容处理：针对平台不支持的算子（如华为昇腾不支持 TensorFlow Unique 算子、瑞芯微不支持大 kernel 11×11 卷积），插件内置 “算子替换库”，华为插件将 Unique 算子替换为 “Sort+Deduplicate” 组合算子，瑞芯微插件将 11×11 卷积拆分为 3×3+3×3+5×5 组合卷积，替换逻辑封装为独立函数（如 replace_unique_op ()、split_conv_op ()），确保功能等价且性能损失≤10%；算子替换规则可通过配置文件动态更新，无需修改插件核心代码。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模型适配优化插件实现：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适配规则封装：采用 “模板化” 设计，每类模型的适配规则封装为 JSON 格式模板，包含 “模型结构特征”（如 YOLO 模板标注 “backbone: CSPDarknet, neck: FPN, head: Detect”）、“关键层解析规则”（如 BERT 模板标注 “Transformer 层需提取注意力头数量: 12”）、“精度优化参数”（如 MobileNetV3 模板配置 “量化精度: INT8, 校准数据集抽样数: 100”），模板文件大小≤5KB，支持用户通过前端 “模板导入” 功能新增模型适配（无需开发代码）。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插件加载逻辑：插件启动时自动读取模板文件，通过 “规则注入接口”（POST /api/engine/plugin/inject）将适配规则传入核心引擎的模型解析模块与转换模块；核心引擎解析对应模型时，调用插件注入的结构特征识别函数（如 is_yolo_model ()、is_bert_model ()），快速匹配模型类型并加载解析规则；转换时插件向核心引擎传递该模型的精度优化参数，如为 YOLO 检测头配置 FP32 精度、为 ResNet backbone 配置 FP16 精度，平衡精度与性能。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兼容性验证：插件内置 “模型兼容性校验函数”（如 validate_yolo_compatibility ()），加载模型后先校验模型结构是否与模板匹配（如检查 YOLO 模型是否包含 Detect 头），若不匹配则生成 “不兼容报告”（提示缺失的关键层）；同时支持 “版本适配”，如 YOLOv5 与 YOLOv8 模板共享基础解析规则，仅差异化配置检测头参数，减少模板冗余，20 类模型插件可共享 80% 基础代码，开发效率提升 60%。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推理测试简化插件实现：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测试逻辑封装：采用 “测试用例配置 + 核心测试脚本” 结构，测试用例配置文件（JSON 格式）记录测试数据路径（如 COCO 验证集图像路径、GLUE 文本数据路径）、测试次数（默认 10 次）、结果判定规则（如 “推理输出非空即判定为功能正常”），文件大小≤5KB；核心测试脚本（Python 语言）包含 “模型加载函数”（load_model ()，调用平台专用 SDK 加载模型）、“推理执行函数”（run_inference ()，执行推理并记录延迟）、“结果处理函数”（process_result ()，判断结果是否非空并计算平均延迟），代码量控制在 300 行以内，插件整体内存占用≤256MB。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硬件节点对接：通过 “节点注册接口”（POST /api/plugin/test/node/register）接入 4 类平台测试节点，接口传入节点 IP、平台类型、SDK 版本，插件验证节点在线状态后将其纳入 “测试节点库”；测试时插件根据目标平台自动选择对应节点，通过 SSH 协议远程执行测试脚本，实时接收测试数据（如每轮推理延迟），测试完成后自动生成 TXT 格式报告，报告存储路径通过 “结果回调接口”（POST /api/plugin/test/result/callback）同步至核心引擎，供前端查看。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资源优化：测试过程中采用 “单节点单任务” 调度策略，避免多任务并发导致调试机资源过载；测试完成后自动清理临时文件（如测试日志、中间推理结果），调用内存释放函数（free_test_resources ()）释放 SDK 占用的内存；支持 “测试任务暂停 / 取消”，通过 “任务控制接口”（PUT /api/plugin/test/task/control）发送暂停 / 取消指令，插件立即停止测试并释放节点资源，响应时间≤500ms，适配调试机动态调整测试需求的场景。</w:t>
      </w:r>
    </w:p>
    <w:p>
      <w:pPr>
        <w:numPr>
          <w:ilvl w:val="0"/>
          <w:numId w:val="10"/>
        </w:numPr>
        <w:outlineLvl w:val="2"/>
        <w:rPr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轻量化支撑层：运行保障基础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轻量化支撑层是整个系统稳定运行的基础保障，聚焦 “试验场内场调试机低算力、有限存储、内网环境” 三大约束，以 “资源精简、逻辑简化、适配高效” 为核心设计原则，通过极简的组件设计与协同逻辑，为核心引擎层、场景化插件层提供资源调度、数据存储、用户交互三大基础支撑，确保系统整体运行流畅且资源占用可控。</w:t>
      </w:r>
    </w:p>
    <w:p>
      <w:pPr>
        <w:numPr>
          <w:ilvl w:val="1"/>
          <w:numId w:val="10"/>
        </w:numPr>
        <w:outlineLvl w:val="3"/>
      </w:pPr>
      <w:r>
        <w:rPr>
          <w:rFonts w:hint="eastAsia"/>
        </w:rPr>
        <w:t>功能描述</w:t>
      </w:r>
    </w:p>
    <w:p>
      <w:pPr>
        <w:pStyle w:val="2"/>
        <w:rPr>
          <w:rFonts w:hint="eastAsia"/>
        </w:rPr>
      </w:pPr>
      <w:r>
        <w:rPr>
          <w:rFonts w:hint="eastAsia"/>
        </w:rPr>
        <w:t>轻量化支撑层不承担业务逻辑，仅专注于基础运行保障，通过三类核心组件满足系统基础需求，具体功能如下：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资源调度组件：负责统筹核心引擎与插件的资源分配，以及转换、测试任务的有序执行。支持 “本地任务队列” 管理，用户提交的模型转换、推理测试任务直接进入调试机本地队列，按 “提交时间先后” 排序，避免分布式调度带来的资源消耗；实时监控调试机硬件负载（仅监测 CPU 利用率、内存占用率两项核心指标），当 CPU 利用率≥80% 或内存占用率≥85% 时，自动暂停新任务分配，待负载降至阈值以下再恢复执行；支持任务优先级手动调整（仅区分 “普通”“紧急” 两档，紧急任务可插入队列前端），以及任务暂停 / 取消操作（暂停后保留进度，取消后释放占用资源），适配调试机单节点运行场景。</w:t>
      </w:r>
    </w:p>
    <w:p>
      <w:pPr>
        <w:pStyle w:val="2"/>
        <w:rPr>
          <w:rFonts w:hint="eastAsia"/>
        </w:rPr>
      </w:pPr>
      <w:r>
        <w:rPr>
          <w:rFonts w:hint="eastAsia"/>
        </w:rPr>
        <w:t>数据存储组件：承担系统核心数据的存储与管理，仅保留 “任务数据、模型文件、高频缓存数据” 三类必要数据，剔除冗余存储。MySQL 数据库仅存储任务基础信息（任务 ID、模型名称、目标平台、转换状态、提交时间）与用户配置（常用转换参数模板），无复杂关联表设计；MinIO 存储仅保留原始模型文件、转换后目标平台模型文件两类核心非结构化数据，日志文件按 “7 天自动清理” 策略管理，避免调试机存储空间溢出；Redis 缓存仅存储任务实时状态（如 “处理中 - ONNX 转换阶段”）与高频访问的模型元数据（输入输出维度、算子数量），缓存有效期缩短至 6 小时，释放内存资源。</w:t>
      </w:r>
    </w:p>
    <w:p>
      <w:pPr>
        <w:pStyle w:val="2"/>
      </w:pPr>
      <w:r>
        <w:rPr>
          <w:rFonts w:hint="eastAsia"/>
        </w:rPr>
        <w:t>用户交互组件：提供调试机用户与系统的交互入口，界面设计聚焦 “核心功能快速触达”，仅包含模型上传、转换配置、可视化查看、任务监控四大核心功能模块。支持单文件拖拽上传（最大支持 3GB 模型，适配调试机存储容量），转换参数配置采用 “模板预设 + 简化选项”（如目标平台下拉选择、精度模式仅保留 FP32/FP16/INT8 三档），避免复杂参数配置；任务监控采用 “列表 + 环形进度条” 极简展示，仅显示任务 ID、模型名称、状态、进度四项关键信息，无多余数据可视化；所有交互操作均在单页完成，无需多页跳转，适配调试机快速操作需求。</w:t>
      </w:r>
    </w:p>
    <w:p>
      <w:pPr>
        <w:numPr>
          <w:ilvl w:val="1"/>
          <w:numId w:val="10"/>
        </w:numPr>
        <w:outlineLvl w:val="3"/>
      </w:pPr>
      <w:r>
        <w:rPr>
          <w:rFonts w:hint="eastAsia"/>
        </w:rPr>
        <w:t>技术实现方案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围绕 “低资源消耗、高响应速度、适配调试机环境” 目标，采用 “精简组件选型 + 轻量化开发” 技术路径，具体实现方案如下：</w:t>
      </w:r>
    </w:p>
    <w:p>
      <w:pPr>
        <w:pStyle w:val="2"/>
        <w:ind w:firstLine="552"/>
        <w:rPr>
          <w:rFonts w:hint="eastAsia"/>
          <w:lang w:eastAsia="zh-CN"/>
        </w:rPr>
      </w:pP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资源调度组件实现：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任务队列设计：基于 Python 内置的queue模块开发本地任务队列，不依赖 RabbitMQ、Kafka 等分布式消息中间件，队列容量设为 50（满足调试机单节点任务并发需求），任务入队时自动生成唯一任务 ID（UUID 格式），并关联模型路径、目标平台、参数配置等基础信息；队列采用 “FIFO + 优先级插入” 调度策略，普通任务按入队顺序执行，紧急任务通过insert(0, task)方法插入队列头部，调度逻辑代码量控制在 200 行以内，内存占用≤64MB。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负载监控实现：通过psutil库实时采集调试机硬件数据，每 5 秒获取一次 CPU 利用率（取所有核心平均值）、内存占用率（已用内存 / 总内存），数据采集逻辑封装为get_hardware_load()函数，避免频繁采集导致资源消耗；当负载超阈值时，触发pause_task_scheduling()函数暂停任务分配，同时在前端弹出 “资源紧张” 提示；负载恢复后自动调用resume_task_scheduling()函数重启调度，整个监控逻辑 CPU 占用率≤5%。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任务控制接口：开发 RESTful 风格的任务控制接口，POST /api/support/task/pause实现任务暂停（记录当前任务进度，如 “ONNX 转换 50%”）、POST /api/support/task/cancel实现任务取消（调用release_resource()函数释放 CPU / 内存资源，删除临时文件），接口响应时间≤100ms；任务状态更新采用 “前端定时轮询”（轮询间隔 5 秒），避免 WebSocket 长连接带来的内存占用，轮询请求仅返回任务状态与进度，数据量≤1KB，适配调试机内网低带宽环境。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数据存储组件实现：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MySQL 数据库优化：采用 MySQL 8.0 轻量版，仅创建task_info（任务信息）、user_config（用户配置）两张核心表，表结构剔除冗余字段（如task_info仅保留 10 个字段，无任务日志、历史记录等关联字段）；为task_info表的 “任务 ID” 字段建立主键索引、“状态 + 提交时间” 字段建立联合索引，将任务列表查询耗时控制在 50ms 以内；数据库连接采用 “连接池 + 按需创建” 策略，连接池最大连接数设为 10（满足调试机单用户并发需求），空闲连接超过 30 秒自动关闭，减少数据库资源占用。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MinIO 存储配置：采用单节点 MinIO 部署（无需分布式扩展），通过minio.Client初始化客户端，仅创建raw-model（原始模型）、converted-model（转换后模型）两个存储桶，桶内按 “任务 ID / 模型名称” 路径结构化存储文件（如 “task-123/yolov8.pt”）；启用 MinIO 的 “生命周期管理” 功能，为log文件夹配置 “7 天自动删除” 规则，通过set_bucket_lifecycle()函数实现；文件上传采用 “分片上传 + 断点续传”（基于 MinIO 的put_object()方法，分片大小设为 5MB），适配调试机内网文件传输需求，1GB 模型上传耗时≤5 分钟。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Redis 缓存设计：采用 Redis 6.0 精简版，仅使用 Hash 数据类型存储任务状态（Key：task:{taskId}，Field：status/progress）与模型元数据（Key：model:{modelId}，Field：input_shape/output_shape/op_count）；缓存有效期通过expire()函数设为 6 小时，避免长期占用内存；为减少 Redis 访问压力，核心引擎与插件更新任务状态时，先更新本地内存变量，再批量同步至 Redis（每 30 秒同步一次），同步逻辑封装为sync_task_status_to_redis()函数，Redis 整体内存占用控制在 256MB 以内。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用户交互组件实现：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前端技术选型：基于 Vue3+Vite 开发单页应用（SPA），Vite 构建工具相比 Webpack 可减少 50% 构建时间，前端资源打包后总大小≤2MB，首次加载时间≤3 秒（适配调试机内网低带宽）；UI 组件库选用 Element Plus 精简版，仅引入Upload（上传）、Select（下拉选择）、Progress（进度条）、Table（列表）4 类核心组件，剔除复杂组件（如Tree、Chart），减少资源加载；界面样式采用 “扁平化 + 少色彩” 设计，CSS 代码量控制在 500 行以内，避免复杂样式渲染消耗 GPU 资源。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核心功能开发：模型上传功能基于el-upload组件开发，仅支持单文件拖拽上传，上传前通过before-upload钩子函数校验文件大小（≤3GB）与格式（.pth/.pb/.onnx 等），校验不通过实时提示；转换配置功能采用 “模板下拉选择 + 简化选项”，预设 “华为昇腾 - FP16”“瑞芯微 - INT8” 等常用模板，参数配置项控制在 5 项以内；可视化查看功能通过iframe嵌入核心引擎生成的静态拓扑图，点击层节点时发起GET /api/support/visual/layer请求获取参数，弹窗展示核心信息；任务监控功能基于el-table组件开发，仅显示 4 列关键信息，表格数据通过setInterval每 5 秒刷新一次，避免频繁请求。</w:t>
      </w:r>
    </w:p>
    <w:p>
      <w:pPr>
        <w:pStyle w:val="2"/>
        <w:ind w:firstLine="552"/>
        <w:rPr>
          <w:rFonts w:hint="eastAsia"/>
          <w:lang w:eastAsia="zh-CN"/>
        </w:rPr>
      </w:pPr>
      <w:r>
        <w:rPr>
          <w:rFonts w:hint="eastAsia"/>
          <w:lang w:eastAsia="zh-CN"/>
        </w:rPr>
        <w:t>适配调试机环境：针对调试机可能的低分辨率（如 1920×1080），采用响应式布局，界面元素宽度使用%或vw单位，避免内容截断；支持键盘快捷键操作（如 Ctrl+U 快速上传、Ctrl+M 打开模型列表），提升操作效率；前端代码通过terser工具压缩，去除注释与无用代码，最终打包文件大小≤1.5MB，确保调试机快速加载。</w:t>
      </w:r>
    </w:p>
    <w:p>
      <w:pPr>
        <w:pStyle w:val="2"/>
        <w:rPr>
          <w:rFonts w:hint="eastAsia"/>
        </w:rPr>
      </w:pPr>
    </w:p>
    <w:p>
      <w:pPr>
        <w:outlineLvl w:val="1"/>
        <w:rPr>
          <w:rFonts w:ascii="楷体_GB2312" w:hAnsi="楷体_GB2312" w:eastAsia="楷体_GB2312" w:cs="楷体_GB2312"/>
          <w:sz w:val="32"/>
          <w:szCs w:val="32"/>
        </w:rPr>
      </w:pPr>
      <w:bookmarkStart w:id="51" w:name="_Toc1222853764"/>
      <w:bookmarkStart w:id="52" w:name="_Toc198653973"/>
      <w:bookmarkStart w:id="53" w:name="_Toc697281676"/>
      <w:bookmarkStart w:id="54" w:name="_Toc372529531"/>
      <w:r>
        <w:rPr>
          <w:rFonts w:hint="eastAsia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二</w:t>
      </w:r>
      <w:r>
        <w:rPr>
          <w:rFonts w:hint="eastAsia" w:ascii="楷体_GB2312" w:hAnsi="楷体_GB2312" w:eastAsia="楷体_GB2312" w:cs="楷体_GB2312"/>
          <w:sz w:val="32"/>
          <w:szCs w:val="32"/>
        </w:rPr>
        <w:t>）工作内容</w:t>
      </w:r>
      <w:bookmarkEnd w:id="51"/>
      <w:bookmarkEnd w:id="52"/>
      <w:bookmarkEnd w:id="53"/>
    </w:p>
    <w:p>
      <w:pPr>
        <w:ind w:firstLine="552"/>
        <w:jc w:val="left"/>
      </w:pPr>
      <w:r>
        <w:rPr>
          <w:rFonts w:hint="eastAsia"/>
        </w:rPr>
        <w:t>结合 “试验场调试机内嵌软件” 的场景约束与 “核心引擎 + 场景化插件 + 轻量化支撑”的技术架构，围绕 “20 类模型适配、4 类平台兼容、3 个月短周期交付” 核心目标，项目工作内容按 “需求-开发-验证-交付” 全流程拆解为 6 大阶段，各阶段任务聚焦技术落地与调试机适配，具体如下：</w:t>
      </w:r>
    </w:p>
    <w:p>
      <w:pPr>
        <w:numPr>
          <w:ilvl w:val="0"/>
          <w:numId w:val="11"/>
        </w:numPr>
        <w:outlineLvl w:val="2"/>
        <w:rPr>
          <w:sz w:val="32"/>
          <w:szCs w:val="32"/>
        </w:rPr>
      </w:pPr>
      <w:r>
        <w:rPr>
          <w:rFonts w:hint="eastAsia"/>
          <w:sz w:val="32"/>
          <w:szCs w:val="32"/>
        </w:rPr>
        <w:t>需求深度调研与方案细化</w:t>
      </w:r>
    </w:p>
    <w:p>
      <w:pPr>
        <w:ind w:firstLine="552"/>
        <w:rPr>
          <w:rFonts w:hint="eastAsia"/>
        </w:rPr>
      </w:pPr>
      <w:r>
        <w:rPr>
          <w:rFonts w:hint="eastAsia"/>
        </w:rPr>
        <w:t>核心目标是明确调试机环境约束与功能边界，输出可落地的技术方案，避免后期开发偏差：</w:t>
      </w:r>
    </w:p>
    <w:p>
      <w:pPr>
        <w:ind w:firstLine="552"/>
        <w:rPr>
          <w:rFonts w:hint="eastAsia"/>
        </w:rPr>
      </w:pPr>
      <w:r>
        <w:rPr>
          <w:rFonts w:hint="eastAsia"/>
        </w:rPr>
        <w:t>联合试验场甲方开展 “调试机硬件摸底”，确认调试机操作系统（Windows Server 2019/Linux CentOS 8）、算力配置（CPU 型号、内存容量、存储上限）、内网带宽等关键参数，形成《调试机环境适配报告》，作为后续轻量化开发的依据；</w:t>
      </w:r>
    </w:p>
    <w:p>
      <w:pPr>
        <w:ind w:firstLine="552"/>
        <w:rPr>
          <w:rFonts w:hint="eastAsia"/>
        </w:rPr>
      </w:pPr>
      <w:r>
        <w:rPr>
          <w:rFonts w:hint="eastAsia"/>
        </w:rPr>
        <w:t>细化 20 类模型清单（明确目标检测类含 YOLOv5/v7/v8 等 6 类、目标分类类含 ResNet50 等 5 类、目标跟踪类含 SORT 等 4 类、NLP 大模型类含 BERT-base 等 5 类）与 4 类平台技术参数（如华为昇腾 Atlas 200I 的 NPU 显存、瑞芯微 RK3588 的算力特性），输出《模型与平台适配清单》；</w:t>
      </w:r>
    </w:p>
    <w:p>
      <w:pPr>
        <w:ind w:firstLine="552"/>
      </w:pPr>
      <w:r>
        <w:rPr>
          <w:rFonts w:hint="eastAsia"/>
        </w:rPr>
        <w:t>确认可视化功能细节（如是否需支持注意力热力图、拓扑图交互复杂度）与推理测试简化需求（如仅保留核心精度指标），修订《需求规格说明书》并经甲方签字确认，同步输出《技术方案细化文档》，明确核心引擎与插件的接口定义。</w:t>
      </w:r>
    </w:p>
    <w:p>
      <w:pPr>
        <w:numPr>
          <w:ilvl w:val="0"/>
          <w:numId w:val="11"/>
        </w:numPr>
        <w:outlineLvl w:val="2"/>
        <w:rPr>
          <w:sz w:val="32"/>
          <w:szCs w:val="32"/>
        </w:rPr>
      </w:pPr>
      <w:r>
        <w:rPr>
          <w:rFonts w:hint="eastAsia"/>
          <w:sz w:val="32"/>
          <w:szCs w:val="32"/>
        </w:rPr>
        <w:t>资源筹备与轻量化环境搭建</w:t>
      </w:r>
    </w:p>
    <w:p>
      <w:pPr>
        <w:ind w:firstLine="552"/>
        <w:rPr>
          <w:rFonts w:hint="eastAsia"/>
        </w:rPr>
      </w:pPr>
      <w:r>
        <w:rPr>
          <w:rFonts w:hint="eastAsia"/>
        </w:rPr>
        <w:t>聚焦 “低资源占用” 目标，完成硬件租赁、软件部署与测试库搭建，为开发阶段铺路：</w:t>
      </w:r>
    </w:p>
    <w:p>
      <w:pPr>
        <w:ind w:firstLine="552"/>
        <w:rPr>
          <w:rFonts w:hint="eastAsia"/>
        </w:rPr>
      </w:pPr>
      <w:r>
        <w:rPr>
          <w:rFonts w:hint="eastAsia"/>
        </w:rPr>
        <w:t>硬件资源筹备：租赁 4 类平台核心测试节点（1 台华为昇腾 Atlas 200I、1 台瑞芯微 RK3588、1 台英伟达 Jetson AGX Orin、1 台寒武纪思元 370），接入试验场内网并完成 IP 绑定，通过 Conda 虚拟环境配置最小化运行环境（仅安装驱动、核心 SDK 与依赖库），输出《硬件环境部署报告》；</w:t>
      </w:r>
    </w:p>
    <w:p>
      <w:pPr>
        <w:ind w:firstLine="552"/>
        <w:rPr>
          <w:rFonts w:hint="eastAsia"/>
        </w:rPr>
      </w:pPr>
      <w:r>
        <w:rPr>
          <w:rFonts w:hint="eastAsia"/>
        </w:rPr>
        <w:t>软件工具链部署：部署开发工具链（ONNX Runtime 1.15、Netron 7.0 精简版、Flask 框架、Vue3+Vite 前端环境），搭建 “MySQL 8.0 轻量版 + 单节点 MinIO+Redis 6.0 精简版” 存储环境，配置日志 7 天自动清理策略，确保调试机存储无溢出风险；</w:t>
      </w:r>
    </w:p>
    <w:p>
      <w:pPr>
        <w:ind w:firstLine="552"/>
      </w:pPr>
      <w:r>
        <w:rPr>
          <w:rFonts w:hint="eastAsia"/>
        </w:rPr>
        <w:t>测试资源搭建：收集 20 类模型原生文件（PyTorch/TensorFlow/ONNX 格式），整理标准测试数据集（COCO 2017 验证集、ImageNet 精简集、GLUE 文本集），建立 “模型测试库” 与 “数据测试库”，标注每类模型的输入输出维度、精度基准值，便于后续适配调试。</w:t>
      </w:r>
    </w:p>
    <w:p>
      <w:pPr>
        <w:numPr>
          <w:ilvl w:val="0"/>
          <w:numId w:val="11"/>
        </w:numPr>
        <w:outlineLvl w:val="2"/>
        <w:rPr>
          <w:sz w:val="32"/>
          <w:szCs w:val="32"/>
        </w:rPr>
      </w:pPr>
      <w:r>
        <w:rPr>
          <w:rFonts w:hint="eastAsia"/>
          <w:sz w:val="32"/>
          <w:szCs w:val="32"/>
        </w:rPr>
        <w:t>核心引擎与场景化插件开发</w:t>
      </w:r>
    </w:p>
    <w:p>
      <w:pPr>
        <w:ind w:firstLine="552"/>
        <w:rPr>
          <w:rFonts w:hint="eastAsia"/>
        </w:rPr>
      </w:pPr>
      <w:r>
        <w:rPr>
          <w:rFonts w:hint="eastAsia"/>
        </w:rPr>
        <w:t>按 “引擎先行、插件跟进” 逻辑，完成架构核心模块开发，确保功能与轻量化需求匹配：</w:t>
      </w:r>
    </w:p>
    <w:p>
      <w:pPr>
        <w:ind w:firstLine="552"/>
        <w:rPr>
          <w:rFonts w:hint="eastAsia"/>
        </w:rPr>
      </w:pPr>
      <w:r>
        <w:rPr>
          <w:rFonts w:hint="eastAsia"/>
        </w:rPr>
        <w:t>核心引擎开发：完成多格式模型解析引擎（支持 PyTorch/TensorFlow/ONNX 三类格式，解析耗时≤90 秒）、跨平台转换核心引擎（实现 “原生格式→ONNX” 统一转换与算子融合优化）、模型可视化渲染引擎（支持静态拓扑图渲染与基础参数查看）开发，输出《核心引擎开发文档》，并通过单元测试（如解析成功率≥99%、渲染响应时间≤1.5 秒）；</w:t>
      </w:r>
    </w:p>
    <w:p>
      <w:pPr>
        <w:ind w:firstLine="552"/>
        <w:rPr>
          <w:rFonts w:hint="eastAsia"/>
        </w:rPr>
      </w:pPr>
      <w:r>
        <w:rPr>
          <w:rFonts w:hint="eastAsia"/>
        </w:rPr>
        <w:t>场景化插件开发：开发 4 类平台专属转换插件（每类插件≤50MB，加载时间≤10 秒），实现平台工具调用与算子兼容处理；开发 20 类模型适配优化插件（每类模型模板≤100KB），注入专属解析规则与精度参数；开发推理测试简化插件（内存占用≤256MB），实现功能验证与基础性能测试逻辑，输出《插件开发清单》；</w:t>
      </w:r>
    </w:p>
    <w:p>
      <w:pPr>
        <w:ind w:firstLine="552"/>
        <w:rPr>
          <w:rFonts w:hint="eastAsia"/>
        </w:rPr>
      </w:pPr>
      <w:r>
        <w:rPr>
          <w:rFonts w:hint="eastAsia"/>
        </w:rPr>
        <w:t>接口联调：完成核心引擎与插件的接口对接（通过注册接口、调用接口实现协同），验证 “引擎调用插件” 的流畅性（如 ONNX 模型调用华为插件转换为 OM 格式的响应时间≤500ms），修复接口兼容性问题，输出《接口联调报告》。</w:t>
      </w:r>
    </w:p>
    <w:p>
      <w:pPr>
        <w:numPr>
          <w:ilvl w:val="0"/>
          <w:numId w:val="11"/>
        </w:numPr>
        <w:outlineLvl w:val="2"/>
        <w:rPr>
          <w:sz w:val="32"/>
          <w:szCs w:val="32"/>
        </w:rPr>
      </w:pPr>
      <w:r>
        <w:rPr>
          <w:rFonts w:hint="eastAsia"/>
          <w:sz w:val="32"/>
          <w:szCs w:val="32"/>
        </w:rPr>
        <w:t>模型与平台适配调试</w:t>
      </w:r>
    </w:p>
    <w:p>
      <w:pPr>
        <w:pStyle w:val="2"/>
        <w:rPr>
          <w:rFonts w:hint="eastAsia"/>
        </w:rPr>
      </w:pPr>
      <w:r>
        <w:rPr>
          <w:rFonts w:hint="eastAsia"/>
        </w:rPr>
        <w:t>针对 20 类模型与 4 类平台开展全量适配，解决算子不兼容、精度损失等问题：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模型适配调试：基于 20 类模型适配插件，逐一调试模型转换流程（如 YOLO 模型确保检测头 Anchor 信息保留、BERT 模型优化 Transformer 层调度），记录每类模型的转换耗时、精度损失，针对精度损失超 8% 的模型（如 MobileNetV3），优化量化参数或算子映射规则，确保适配成功率≥95%，输出《20 类模型适配调试报告》；</w:t>
      </w:r>
    </w:p>
    <w:p>
      <w:pPr>
        <w:pStyle w:val="2"/>
        <w:rPr>
          <w:rFonts w:hint="eastAsia"/>
        </w:rPr>
      </w:pPr>
      <w:r>
        <w:rPr>
          <w:rFonts w:hint="eastAsia"/>
        </w:rPr>
        <w:t>平台兼容调试：在 4 类平台测试节点上，部署转换后模型并执行推理验证，解决平台特有的兼容性问题（如华为昇腾算子替换、瑞芯微卷积拆分），验证模型在调试机环境下的运行稳定性（连续推理 100 轮无崩溃），输出《4 类平台兼容调试报告》；</w:t>
      </w:r>
    </w:p>
    <w:p>
      <w:pPr>
        <w:pStyle w:val="2"/>
        <w:rPr>
          <w:rFonts w:hint="eastAsia"/>
        </w:rPr>
      </w:pPr>
      <w:r>
        <w:rPr>
          <w:rFonts w:hint="eastAsia"/>
        </w:rPr>
        <w:t>性能优化：针对调试机低算力特性，优化转换与推理流程（如缩短轮询间隔、减少临时文件生成），确保模型转换平均耗时≤5 分钟（1GB 模型）、推理延迟符合甲方要求（如瑞芯微 RK3588 运行 YOLOv8 的延迟≤300ms），输出《性能优化报告》。</w:t>
      </w:r>
    </w:p>
    <w:p>
      <w:pPr>
        <w:numPr>
          <w:ilvl w:val="0"/>
          <w:numId w:val="11"/>
        </w:numPr>
        <w:outlineLvl w:val="2"/>
        <w:rPr>
          <w:sz w:val="32"/>
          <w:szCs w:val="32"/>
        </w:rPr>
      </w:pPr>
      <w:r>
        <w:rPr>
          <w:rFonts w:hint="eastAsia"/>
          <w:sz w:val="32"/>
          <w:szCs w:val="32"/>
        </w:rPr>
        <w:t>功能性能测试与问题修复</w:t>
      </w:r>
    </w:p>
    <w:p>
      <w:pPr>
        <w:pStyle w:val="2"/>
        <w:rPr>
          <w:rFonts w:hint="eastAsia"/>
        </w:rPr>
      </w:pPr>
      <w:r>
        <w:rPr>
          <w:rFonts w:hint="eastAsia"/>
        </w:rPr>
        <w:t>开展全维度测试，确保软件满足调试机使用需求，避免验收风险：</w:t>
      </w:r>
    </w:p>
    <w:p>
      <w:pPr>
        <w:pStyle w:val="2"/>
        <w:rPr>
          <w:rFonts w:hint="eastAsia"/>
        </w:rPr>
      </w:pPr>
      <w:r>
        <w:rPr>
          <w:rFonts w:hint="eastAsia"/>
        </w:rPr>
        <w:t>功能测试：验证核心功能（模型解析、跨平台转换、可视化查看、推理测试）完整性，如测试 20 类模型的解析成功率、4 类平台的转换有效性、可视化界面的交互流畅性（点击节点参数加载≤300ms），输出《功能测试报告》；</w:t>
      </w:r>
    </w:p>
    <w:p>
      <w:pPr>
        <w:pStyle w:val="2"/>
        <w:rPr>
          <w:rFonts w:hint="eastAsia"/>
        </w:rPr>
      </w:pPr>
      <w:r>
        <w:rPr>
          <w:rFonts w:hint="eastAsia"/>
        </w:rPr>
        <w:t>性能测试：在调试机上测试软件资源占用（CPU 利用率≤80%、内存占用≤2GB）、任务并发处理能力（5 个任务同时执行无卡顿）、大模型处理效率（3GB NLP 模型解析耗时≤2 分钟），输出《性能测试报告》；</w:t>
      </w:r>
    </w:p>
    <w:p>
      <w:pPr>
        <w:pStyle w:val="2"/>
        <w:rPr>
          <w:rFonts w:hint="eastAsia"/>
        </w:rPr>
      </w:pPr>
      <w:r>
        <w:rPr>
          <w:rFonts w:hint="eastAsia"/>
        </w:rPr>
        <w:t>问题修复与优化：针对测试中发现的问题（如某类模型转换失败、可视化界面分辨率适配异常），集中修复并记录《问题修复清单》；根据内部预验收意见，优化软件交互（如简化转换参数配置步骤），确保符合调试机操作习惯。</w:t>
      </w:r>
    </w:p>
    <w:p>
      <w:pPr>
        <w:numPr>
          <w:ilvl w:val="0"/>
          <w:numId w:val="11"/>
        </w:numPr>
        <w:outlineLvl w:val="2"/>
        <w:rPr>
          <w:sz w:val="32"/>
          <w:szCs w:val="32"/>
        </w:rPr>
      </w:pPr>
      <w:r>
        <w:rPr>
          <w:rFonts w:hint="eastAsia"/>
          <w:sz w:val="32"/>
          <w:szCs w:val="32"/>
        </w:rPr>
        <w:t>部署交付与售后培训</w:t>
      </w: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完成调试机部署、成果交付与技术培训，确保甲方能独立使用：</w:t>
      </w:r>
    </w:p>
    <w:p>
      <w:pPr>
        <w:pStyle w:val="2"/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现场部署：在试验场内场调试机上安装软件（Windows/Linux 版适配），逐台验证全流程功能（模型上传 - 转换 - 可视化 - 推理测试），确保每台调试机的软件运行稳定（连续 72 小时无故障），输出《部署验收清单》；</w:t>
      </w: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成果交付：交付软件安装包（含部署脚本、环境配置手册）、全套技术文档（需求说明书、设计文档、测试报告、用户手册）、测试资源（模型测试库、数据测试库），并归档电子版与纸质版各 1 套，签署《成果交付确认单》；</w:t>
      </w: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技术培训与售后：开展 2 次现场培训（操作培训：软件使用与常见问题处理；维护培训：日志分析与版本更新），覆盖甲方所有技术人员，输出《培训纪要》；建立 1 年售后服务机制（远程支持 2 小时响应、2 次现场支持），明确售后联系方式与服务范围，确保甲方后续使用无顾虑。</w:t>
      </w:r>
    </w:p>
    <w:p>
      <w:pPr>
        <w:outlineLvl w:val="1"/>
        <w:rPr>
          <w:rFonts w:ascii="楷体_GB2312" w:hAnsi="楷体_GB2312" w:eastAsia="楷体_GB2312" w:cs="楷体_GB2312"/>
          <w:sz w:val="32"/>
          <w:szCs w:val="32"/>
        </w:rPr>
      </w:pPr>
      <w:bookmarkStart w:id="55" w:name="_Toc1084709758"/>
      <w:bookmarkStart w:id="56" w:name="_Toc1805633588"/>
      <w:bookmarkStart w:id="57" w:name="_Toc198653974"/>
      <w:r>
        <w:rPr>
          <w:rFonts w:hint="eastAsia" w:ascii="楷体_GB2312" w:hAnsi="楷体_GB2312" w:eastAsia="楷体_GB2312" w:cs="楷体_GB2312"/>
          <w:sz w:val="32"/>
          <w:szCs w:val="32"/>
        </w:rPr>
        <w:t>（三）经费报价方案及测算理由</w:t>
      </w:r>
      <w:bookmarkEnd w:id="55"/>
      <w:bookmarkEnd w:id="56"/>
      <w:bookmarkEnd w:id="57"/>
    </w:p>
    <w:p>
      <w:pPr>
        <w:ind w:firstLine="552"/>
        <w:rPr>
          <w:rFonts w:hint="eastAsia"/>
        </w:rPr>
      </w:pPr>
      <w:r>
        <w:rPr>
          <w:rFonts w:hint="eastAsia"/>
        </w:rPr>
        <w:t>本项目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《横向科研项目经费管理办法（试行）》、《科研项目经费中间接费用和管理费管理办法（试行）》相关规定。</w:t>
      </w:r>
    </w:p>
    <w:p>
      <w:pPr>
        <w:numPr>
          <w:ilvl w:val="0"/>
          <w:numId w:val="12"/>
        </w:numPr>
        <w:outlineLvl w:val="2"/>
        <w:rPr>
          <w:sz w:val="32"/>
          <w:szCs w:val="32"/>
        </w:rPr>
      </w:pPr>
      <w:bookmarkStart w:id="58" w:name="_Toc1192297759"/>
      <w:r>
        <w:rPr>
          <w:rFonts w:hint="eastAsia"/>
          <w:sz w:val="32"/>
          <w:szCs w:val="32"/>
          <w:lang w:val="en-US" w:eastAsia="zh-CN"/>
        </w:rPr>
        <w:t>直接费用</w:t>
      </w:r>
      <w:r>
        <w:rPr>
          <w:rFonts w:hint="eastAsia" w:eastAsia="仿宋_GB2312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12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.</w:t>
      </w:r>
      <w:r>
        <w:rPr>
          <w:rFonts w:hint="eastAsia"/>
          <w:sz w:val="32"/>
          <w:szCs w:val="32"/>
          <w:lang w:val="en-US" w:eastAsia="zh-CN"/>
        </w:rPr>
        <w:t>50</w:t>
      </w:r>
      <w:bookmarkStart w:id="67" w:name="_GoBack"/>
      <w:bookmarkEnd w:id="67"/>
      <w:r>
        <w:rPr>
          <w:rFonts w:hint="eastAsia" w:ascii="仿宋_GB2312" w:eastAsia="仿宋_GB2312"/>
          <w:sz w:val="32"/>
          <w:szCs w:val="32"/>
          <w:lang w:val="en-US" w:eastAsia="zh-CN"/>
        </w:rPr>
        <w:t>万元）</w:t>
      </w:r>
      <w:bookmarkEnd w:id="58"/>
    </w:p>
    <w:p>
      <w:pPr>
        <w:pStyle w:val="2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直接费用包括设备费、业务费和人力成本。</w:t>
      </w:r>
    </w:p>
    <w:p>
      <w:pPr>
        <w:numPr>
          <w:ilvl w:val="1"/>
          <w:numId w:val="13"/>
        </w:numPr>
        <w:outlineLvl w:val="3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设备</w:t>
      </w:r>
      <w:r>
        <w:rPr>
          <w:rFonts w:hint="eastAsia"/>
          <w:sz w:val="32"/>
          <w:szCs w:val="32"/>
        </w:rPr>
        <w:t>费</w:t>
      </w: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3.80万元）</w:t>
      </w:r>
    </w:p>
    <w:p>
      <w:pPr>
        <w:ind w:firstLine="552"/>
        <w:rPr>
          <w:rFonts w:hint="eastAsia"/>
        </w:rPr>
      </w:pPr>
      <w:r>
        <w:rPr>
          <w:rFonts w:hint="eastAsia"/>
        </w:rPr>
        <w:t>依据 “设备费需体现必要性，优先选择租赁或共享” 原则，核算内容包括：</w:t>
      </w:r>
    </w:p>
    <w:p>
      <w:pPr>
        <w:ind w:firstLine="552"/>
        <w:rPr>
          <w:rFonts w:hint="eastAsia"/>
        </w:rPr>
      </w:pPr>
      <w:r>
        <w:rPr>
          <w:rFonts w:hint="eastAsia"/>
        </w:rPr>
        <w:t>云服务器租赁：2 台 4 核 8G 配置（用于模型测试与临时部署），租赁期 3 个月，单价 0.3 万元 / 台 / 月，合计 1.80 万元（附云服务商询价单）；</w:t>
      </w:r>
    </w:p>
    <w:p>
      <w:pPr>
        <w:ind w:firstLine="552"/>
        <w:rPr>
          <w:rFonts w:hint="eastAsia"/>
        </w:rPr>
      </w:pPr>
      <w:r>
        <w:rPr>
          <w:rFonts w:hint="eastAsia"/>
        </w:rPr>
        <w:t>第三方技术授权：模型转换专用 SDK（如 ONNX 优化工具）、标准测试数据集（COCO 2017 全量标注集）授权费，合计 2.00 万元（附供应商授权报价单）。</w:t>
      </w:r>
    </w:p>
    <w:p>
      <w:pPr>
        <w:ind w:firstLine="552"/>
      </w:pPr>
      <w:r>
        <w:rPr>
          <w:rFonts w:hint="eastAsia"/>
        </w:rPr>
        <w:t>无设备购置支出。​</w:t>
      </w:r>
    </w:p>
    <w:p>
      <w:pPr>
        <w:numPr>
          <w:ilvl w:val="1"/>
          <w:numId w:val="13"/>
        </w:numPr>
        <w:outlineLvl w:val="3"/>
        <w:rPr>
          <w:sz w:val="32"/>
          <w:szCs w:val="32"/>
        </w:rPr>
      </w:pPr>
      <w:r>
        <w:rPr>
          <w:rFonts w:hint="eastAsia"/>
          <w:sz w:val="32"/>
          <w:szCs w:val="32"/>
        </w:rPr>
        <w:t>业务费</w:t>
      </w: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3.70万元）</w:t>
      </w:r>
    </w:p>
    <w:p>
      <w:pPr>
        <w:ind w:firstLine="552"/>
        <w:rPr>
          <w:rFonts w:hint="eastAsia"/>
        </w:rPr>
      </w:pPr>
      <w:r>
        <w:rPr>
          <w:rFonts w:hint="eastAsia"/>
        </w:rPr>
        <w:t>按 “业务费需按实际需求核算，杜绝铺张浪费” 标准，明细如下：</w:t>
      </w:r>
    </w:p>
    <w:p>
      <w:pPr>
        <w:ind w:firstLine="552"/>
        <w:rPr>
          <w:rFonts w:hint="eastAsia"/>
        </w:rPr>
      </w:pPr>
      <w:r>
        <w:rPr>
          <w:rFonts w:hint="eastAsia"/>
        </w:rPr>
        <w:t>差旅费：1.70 万元，覆盖 3 次现场调研（项目地至试验场），按 4 号文 “参照中央和国家机关差旅费标准” 核算（人均往返机票 1200 元、住宿 550 元 / 天・人，每次 2 人 3 天）；</w:t>
      </w:r>
    </w:p>
    <w:p>
      <w:pPr>
        <w:ind w:firstLine="552"/>
        <w:rPr>
          <w:rFonts w:hint="eastAsia"/>
        </w:rPr>
      </w:pPr>
      <w:r>
        <w:rPr>
          <w:rFonts w:hint="eastAsia"/>
        </w:rPr>
        <w:t>专家咨询费：1.60 万元，邀请 5 名行业专家（高校教授、企业高级工程师）参与需求论证与验收评审，按 4 号文 “技术咨询类专家人均 1600 元 / 天” 标准，共 2 天；</w:t>
      </w:r>
    </w:p>
    <w:p>
      <w:pPr>
        <w:ind w:firstLine="552"/>
      </w:pPr>
      <w:r>
        <w:rPr>
          <w:rFonts w:hint="eastAsia"/>
        </w:rPr>
        <w:t>文献资料费：0.40 万元，用于购买科研文献、技术标准手册，均为项目必需的参考资料。​</w:t>
      </w:r>
    </w:p>
    <w:p>
      <w:pPr>
        <w:numPr>
          <w:ilvl w:val="1"/>
          <w:numId w:val="13"/>
        </w:numPr>
        <w:outlineLvl w:val="3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人力成本（5.00万元）</w:t>
      </w:r>
    </w:p>
    <w:p>
      <w:pPr>
        <w:ind w:firstLine="552"/>
        <w:rPr>
          <w:rFonts w:hint="eastAsia"/>
        </w:rPr>
      </w:pPr>
      <w:r>
        <w:rPr>
          <w:rFonts w:hint="eastAsia"/>
        </w:rPr>
        <w:t>遵循“人力成本需规范用工，签订劳务协议” 要求，包括：</w:t>
      </w:r>
    </w:p>
    <w:p>
      <w:pPr>
        <w:ind w:firstLine="552"/>
      </w:pPr>
      <w:r>
        <w:rPr>
          <w:rFonts w:hint="eastAsia"/>
        </w:rPr>
        <w:t>第三方外协劳务费：3.50 万元，委托专业团队开展模型适配测试，按直接费用与间接费用合计的 10% 计提（（3.80+3.70+28.50）×10%≈3.50 万元）；临时聘用技术人员费：1.50 万元，聘用 2 名临时工程师参与代码调试，按 250 元 / 天・人核算，共 30 天，签订临时用工协议。</w:t>
      </w:r>
    </w:p>
    <w:p>
      <w:pPr>
        <w:numPr>
          <w:ilvl w:val="0"/>
          <w:numId w:val="12"/>
        </w:numPr>
        <w:outlineLvl w:val="2"/>
        <w:rPr>
          <w:sz w:val="32"/>
          <w:szCs w:val="32"/>
        </w:rPr>
      </w:pPr>
      <w:bookmarkStart w:id="59" w:name="_Toc778525356"/>
      <w:r>
        <w:rPr>
          <w:rFonts w:hint="eastAsia"/>
          <w:sz w:val="32"/>
          <w:szCs w:val="32"/>
          <w:lang w:val="en-US" w:eastAsia="zh-CN"/>
        </w:rPr>
        <w:t>间接</w:t>
      </w:r>
      <w:r>
        <w:rPr>
          <w:rFonts w:hint="eastAsia"/>
          <w:sz w:val="32"/>
          <w:szCs w:val="32"/>
        </w:rPr>
        <w:t>费</w:t>
      </w: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28.50万元）</w:t>
      </w:r>
      <w:bookmarkEnd w:id="59"/>
    </w:p>
    <w:p>
      <w:pPr>
        <w:ind w:firstLine="55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 “间接费用用于单位为项目提供的管理与支撑服务，需与实际贡献匹配” 核算，涉及 7 名核心成员，依据单位岗位薪资标准（附人力资源部门备案文件）及 “按参与项目工时分摊” 要求核算：</w:t>
      </w:r>
    </w:p>
    <w:p>
      <w:pPr>
        <w:pStyle w:val="2"/>
        <w:ind w:firstLine="0" w:firstLineChars="0"/>
        <w:jc w:val="center"/>
        <w:rPr>
          <w:b/>
          <w:bCs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 xml:space="preserve">图表 </w:t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instrText xml:space="preserve"> SEQ 图表 \* ARABIC </w:instrText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4</w:t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 xml:space="preserve"> 项目团队人员情况表</w:t>
      </w:r>
    </w:p>
    <w:tbl>
      <w:tblPr>
        <w:tblStyle w:val="25"/>
        <w:tblW w:w="5000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945"/>
        <w:gridCol w:w="2468"/>
        <w:gridCol w:w="1278"/>
        <w:gridCol w:w="1220"/>
        <w:gridCol w:w="1286"/>
        <w:gridCol w:w="1207"/>
      </w:tblGrid>
      <w:tr>
        <w:trPr>
          <w:trHeight w:val="1134" w:hRule="atLeast"/>
          <w:jc w:val="center"/>
        </w:trPr>
        <w:tc>
          <w:tcPr>
            <w:tcW w:w="363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521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361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单位</w:t>
            </w:r>
          </w:p>
        </w:tc>
        <w:tc>
          <w:tcPr>
            <w:tcW w:w="705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专业</w:t>
            </w:r>
          </w:p>
        </w:tc>
        <w:tc>
          <w:tcPr>
            <w:tcW w:w="673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职务/职称</w:t>
            </w:r>
          </w:p>
        </w:tc>
        <w:tc>
          <w:tcPr>
            <w:tcW w:w="709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项目职责</w:t>
            </w:r>
          </w:p>
        </w:tc>
        <w:tc>
          <w:tcPr>
            <w:tcW w:w="665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投入时间（月）</w:t>
            </w:r>
          </w:p>
        </w:tc>
      </w:tr>
      <w:tr>
        <w:trPr>
          <w:trHeight w:val="907" w:hRule="atLeast"/>
          <w:tblHeader/>
          <w:jc w:val="center"/>
        </w:trPr>
        <w:tc>
          <w:tcPr>
            <w:tcW w:w="363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521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361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705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计算机</w:t>
            </w:r>
          </w:p>
        </w:tc>
        <w:tc>
          <w:tcPr>
            <w:tcW w:w="673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工程师</w:t>
            </w:r>
          </w:p>
        </w:tc>
        <w:tc>
          <w:tcPr>
            <w:tcW w:w="709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项目经理</w:t>
            </w:r>
          </w:p>
        </w:tc>
        <w:tc>
          <w:tcPr>
            <w:tcW w:w="665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</w:tc>
      </w:tr>
      <w:tr>
        <w:trPr>
          <w:trHeight w:val="907" w:hRule="atLeast"/>
          <w:tblHeader/>
          <w:jc w:val="center"/>
        </w:trPr>
        <w:tc>
          <w:tcPr>
            <w:tcW w:w="363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21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361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705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673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09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算法工程师</w:t>
            </w:r>
          </w:p>
        </w:tc>
        <w:tc>
          <w:tcPr>
            <w:tcW w:w="665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</w:tc>
      </w:tr>
      <w:tr>
        <w:trPr>
          <w:trHeight w:val="907" w:hRule="atLeast"/>
          <w:tblHeader/>
          <w:jc w:val="center"/>
        </w:trPr>
        <w:tc>
          <w:tcPr>
            <w:tcW w:w="363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21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361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705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计算机</w:t>
            </w:r>
          </w:p>
        </w:tc>
        <w:tc>
          <w:tcPr>
            <w:tcW w:w="673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工程师</w:t>
            </w:r>
          </w:p>
        </w:tc>
        <w:tc>
          <w:tcPr>
            <w:tcW w:w="709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前后端</w:t>
            </w:r>
            <w:r>
              <w:rPr>
                <w:rFonts w:hint="eastAsia"/>
                <w:sz w:val="24"/>
                <w:szCs w:val="24"/>
              </w:rPr>
              <w:t>开发</w:t>
            </w:r>
          </w:p>
        </w:tc>
        <w:tc>
          <w:tcPr>
            <w:tcW w:w="665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</w:tc>
      </w:tr>
      <w:tr>
        <w:trPr>
          <w:trHeight w:val="907" w:hRule="atLeast"/>
          <w:tblHeader/>
          <w:jc w:val="center"/>
        </w:trPr>
        <w:tc>
          <w:tcPr>
            <w:tcW w:w="363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21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361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705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计算机</w:t>
            </w:r>
          </w:p>
        </w:tc>
        <w:tc>
          <w:tcPr>
            <w:tcW w:w="673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工程师</w:t>
            </w:r>
          </w:p>
        </w:tc>
        <w:tc>
          <w:tcPr>
            <w:tcW w:w="709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前后端开发</w:t>
            </w:r>
          </w:p>
        </w:tc>
        <w:tc>
          <w:tcPr>
            <w:tcW w:w="665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</w:tr>
      <w:tr>
        <w:trPr>
          <w:trHeight w:val="907" w:hRule="atLeast"/>
          <w:tblHeader/>
          <w:jc w:val="center"/>
        </w:trPr>
        <w:tc>
          <w:tcPr>
            <w:tcW w:w="363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21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361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705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计算机</w:t>
            </w:r>
          </w:p>
        </w:tc>
        <w:tc>
          <w:tcPr>
            <w:tcW w:w="673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工程师</w:t>
            </w:r>
          </w:p>
        </w:tc>
        <w:tc>
          <w:tcPr>
            <w:tcW w:w="709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default" w:eastAsia="仿宋_GB2312"/>
                <w:sz w:val="24"/>
                <w:szCs w:val="24"/>
                <w:lang w:val="en-US" w:eastAsia="zh-CN"/>
              </w:rPr>
              <w:t>前后端开发</w:t>
            </w:r>
          </w:p>
        </w:tc>
        <w:tc>
          <w:tcPr>
            <w:tcW w:w="665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</w:tc>
      </w:tr>
      <w:tr>
        <w:trPr>
          <w:trHeight w:val="907" w:hRule="atLeast"/>
          <w:tblHeader/>
          <w:jc w:val="center"/>
        </w:trPr>
        <w:tc>
          <w:tcPr>
            <w:tcW w:w="363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21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361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705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673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09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测试</w:t>
            </w:r>
          </w:p>
        </w:tc>
        <w:tc>
          <w:tcPr>
            <w:tcW w:w="665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</w:p>
        </w:tc>
      </w:tr>
      <w:tr>
        <w:trPr>
          <w:trHeight w:val="907" w:hRule="atLeast"/>
          <w:tblHeader/>
          <w:jc w:val="center"/>
        </w:trPr>
        <w:tc>
          <w:tcPr>
            <w:tcW w:w="363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21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361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705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计算机</w:t>
            </w:r>
          </w:p>
        </w:tc>
        <w:tc>
          <w:tcPr>
            <w:tcW w:w="673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工程师</w:t>
            </w:r>
          </w:p>
        </w:tc>
        <w:tc>
          <w:tcPr>
            <w:tcW w:w="709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</w:t>
            </w:r>
          </w:p>
        </w:tc>
        <w:tc>
          <w:tcPr>
            <w:tcW w:w="665" w:type="pct"/>
            <w:vAlign w:val="center"/>
          </w:tcPr>
          <w:p>
            <w:pPr>
              <w:pStyle w:val="2"/>
              <w:spacing w:line="240" w:lineRule="auto"/>
              <w:ind w:firstLine="0" w:firstLineChars="0"/>
              <w:jc w:val="center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</w:p>
        </w:tc>
      </w:tr>
    </w:tbl>
    <w:p>
      <w:pPr>
        <w:pStyle w:val="2"/>
        <w:ind w:left="0" w:leftChars="0" w:firstLine="0" w:firstLineChars="0"/>
        <w:rPr>
          <w:rFonts w:hint="default"/>
          <w:lang w:val="en-US" w:eastAsia="zh-CN"/>
        </w:rPr>
      </w:pPr>
    </w:p>
    <w:p>
      <w:pPr>
        <w:ind w:firstLine="552"/>
        <w:rPr>
          <w:rFonts w:hint="eastAsia"/>
        </w:rPr>
      </w:pPr>
      <w:r>
        <w:rPr>
          <w:rFonts w:hint="eastAsia"/>
        </w:rPr>
        <w:t>项目经理（1 人，3 个月）：2.0 万元 / 月 ×3 月 = 6.00 万元，负责项目整体管控；</w:t>
      </w:r>
    </w:p>
    <w:p>
      <w:pPr>
        <w:ind w:firstLine="552"/>
        <w:rPr>
          <w:rFonts w:hint="eastAsia"/>
        </w:rPr>
      </w:pPr>
      <w:r>
        <w:rPr>
          <w:rFonts w:hint="eastAsia"/>
        </w:rPr>
        <w:t>算法工程师（1 人，3 个月）：1.8 万元 / 月 ×3 月 = 5.40 万元，负责转换算法优化；</w:t>
      </w:r>
    </w:p>
    <w:p>
      <w:pPr>
        <w:ind w:firstLine="552"/>
        <w:rPr>
          <w:rFonts w:hint="eastAsia"/>
        </w:rPr>
      </w:pPr>
      <w:r>
        <w:rPr>
          <w:rFonts w:hint="eastAsia"/>
        </w:rPr>
        <w:t>后端 / 前端开发工程师（3 人，3 个月）：1.5 万元 / 人 / 月 ×3 人 ×3 月 = 13.50 万元，负责系统架构与界面开发；</w:t>
      </w:r>
    </w:p>
    <w:p>
      <w:pPr>
        <w:ind w:firstLine="552"/>
        <w:rPr>
          <w:rFonts w:hint="eastAsia"/>
        </w:rPr>
      </w:pPr>
      <w:r>
        <w:rPr>
          <w:rFonts w:hint="eastAsia"/>
        </w:rPr>
        <w:t>测试工程师（2 人，2 个月）：1.3 万元 / 人 / 月 ×2 人 ×2 月 = 2.60 万元，负责功能与性能测试。</w:t>
      </w:r>
    </w:p>
    <w:p>
      <w:pPr>
        <w:ind w:firstLine="552"/>
      </w:pPr>
      <w:r>
        <w:rPr>
          <w:rFonts w:hint="eastAsia"/>
        </w:rPr>
        <w:t>核算项目使用单位现有办公电脑、服务器的折旧费用</w:t>
      </w:r>
      <w:r>
        <w:rPr>
          <w:rFonts w:hint="eastAsia"/>
          <w:lang w:eastAsia="zh-CN"/>
        </w:rPr>
        <w:t>，</w:t>
      </w:r>
      <w:r>
        <w:rPr>
          <w:rFonts w:hint="eastAsia"/>
        </w:rPr>
        <w:t>设备原值 50 万元，折旧年限 5 年，项目使用时长 3 个月，摊销金额 = 50×（3/60）=2.5 万元，按“仅分摊与项目相关的部分” 调整为 1.00 万元</w:t>
      </w:r>
      <w:r>
        <w:t>。</w:t>
      </w:r>
    </w:p>
    <w:p>
      <w:pPr>
        <w:numPr>
          <w:ilvl w:val="0"/>
          <w:numId w:val="12"/>
        </w:numPr>
        <w:outlineLvl w:val="2"/>
        <w:rPr>
          <w:sz w:val="32"/>
          <w:szCs w:val="32"/>
        </w:rPr>
      </w:pPr>
      <w:bookmarkStart w:id="60" w:name="_Toc57797121"/>
      <w:r>
        <w:rPr>
          <w:rFonts w:hint="eastAsia"/>
          <w:sz w:val="32"/>
          <w:szCs w:val="32"/>
          <w:lang w:val="en-US" w:eastAsia="zh-CN"/>
        </w:rPr>
        <w:t>管理</w:t>
      </w:r>
      <w:r>
        <w:rPr>
          <w:rFonts w:hint="eastAsia"/>
          <w:sz w:val="32"/>
          <w:szCs w:val="32"/>
        </w:rPr>
        <w:t>费</w:t>
      </w:r>
      <w:r>
        <w:rPr>
          <w:rFonts w:hint="eastAsia" w:eastAsia="仿宋_GB2312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.</w:t>
      </w:r>
      <w:r>
        <w:rPr>
          <w:rFonts w:hint="eastAsia"/>
          <w:sz w:val="32"/>
          <w:szCs w:val="32"/>
          <w:lang w:val="en-US" w:eastAsia="zh-CN"/>
        </w:rPr>
        <w:t>0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0万元）</w:t>
      </w:r>
      <w:bookmarkEnd w:id="60"/>
    </w:p>
    <w:p>
      <w:pPr>
        <w:pStyle w:val="2"/>
        <w:rPr>
          <w:rFonts w:hint="eastAsia"/>
        </w:rPr>
      </w:pPr>
      <w:r>
        <w:rPr>
          <w:rFonts w:hint="eastAsia"/>
        </w:rPr>
        <w:t>严格按照 “管理费计提比例不超过项目总预算 10%” 上限，按总预算 8.33% 计提（48.00×8.33%≈4.00 万元），用于单位科研管理部门开展项目立项审核、进度监督、验收协调等工作，计提比例经单位财务部门备案，可追溯至具体管理服务记录。</w:t>
      </w:r>
    </w:p>
    <w:p>
      <w:pPr>
        <w:numPr>
          <w:ilvl w:val="0"/>
          <w:numId w:val="12"/>
        </w:numPr>
        <w:outlineLvl w:val="2"/>
        <w:rPr>
          <w:sz w:val="32"/>
          <w:szCs w:val="32"/>
        </w:rPr>
      </w:pPr>
      <w:bookmarkStart w:id="61" w:name="_Toc733604203"/>
      <w:r>
        <w:rPr>
          <w:rFonts w:hint="eastAsia"/>
          <w:sz w:val="32"/>
          <w:szCs w:val="32"/>
          <w:lang w:val="en-US" w:eastAsia="zh-CN"/>
        </w:rPr>
        <w:t>其他费用</w:t>
      </w:r>
      <w:r>
        <w:rPr>
          <w:rFonts w:hint="eastAsia" w:eastAsia="仿宋_GB2312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.</w:t>
      </w:r>
      <w:r>
        <w:rPr>
          <w:rFonts w:hint="eastAsia"/>
          <w:sz w:val="32"/>
          <w:szCs w:val="32"/>
          <w:lang w:val="en-US" w:eastAsia="zh-CN"/>
        </w:rPr>
        <w:t>00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万元）</w:t>
      </w:r>
      <w:bookmarkEnd w:id="61"/>
    </w:p>
    <w:p>
      <w:pPr>
        <w:pStyle w:val="2"/>
        <w:rPr>
          <w:rFonts w:hint="eastAsia"/>
        </w:rPr>
      </w:pPr>
      <w:r>
        <w:rPr>
          <w:rFonts w:hint="eastAsia"/>
        </w:rPr>
        <w:t>应急储备费用：1.20 万元，用于应对项目实施中不可预见的问题（如模型适配突发故障、硬件测试节点临时维护）；</w:t>
      </w:r>
    </w:p>
    <w:p>
      <w:pPr>
        <w:pStyle w:val="2"/>
        <w:rPr>
          <w:rFonts w:hint="default" w:eastAsia="仿宋_GB2312"/>
          <w:lang w:val="en-US" w:eastAsia="zh-CN"/>
        </w:rPr>
      </w:pPr>
      <w:r>
        <w:rPr>
          <w:rFonts w:hint="eastAsia"/>
        </w:rPr>
        <w:t>税费：1.80 万元，按 6% 税率核算（（12.50+28.50+4.00）×6%=45×6%=2.7 万元，结合“税费按实际缴纳标准核算” 调整为 1.80 万元）。</w:t>
      </w:r>
    </w:p>
    <w:bookmarkEnd w:id="54"/>
    <w:p>
      <w:pPr>
        <w:outlineLvl w:val="0"/>
        <w:rPr>
          <w:rFonts w:ascii="黑体" w:hAnsi="黑体" w:eastAsia="黑体"/>
          <w:sz w:val="32"/>
          <w:szCs w:val="32"/>
        </w:rPr>
      </w:pPr>
      <w:bookmarkStart w:id="62" w:name="_Toc372529533"/>
      <w:bookmarkStart w:id="63" w:name="_Toc728223323"/>
      <w:bookmarkStart w:id="64" w:name="_Toc198653976"/>
      <w:bookmarkStart w:id="65" w:name="_Toc982222394"/>
      <w:r>
        <w:rPr>
          <w:rFonts w:hint="eastAsia" w:ascii="黑体" w:hAnsi="黑体" w:eastAsia="黑体"/>
          <w:sz w:val="32"/>
          <w:szCs w:val="32"/>
        </w:rPr>
        <w:t>四</w:t>
      </w:r>
      <w:bookmarkEnd w:id="62"/>
      <w:bookmarkStart w:id="66" w:name="_Toc372529535"/>
      <w:r>
        <w:rPr>
          <w:rFonts w:hint="eastAsia" w:ascii="黑体" w:hAnsi="黑体" w:eastAsia="黑体"/>
          <w:sz w:val="32"/>
          <w:szCs w:val="32"/>
        </w:rPr>
        <w:t>、</w:t>
      </w:r>
      <w:bookmarkEnd w:id="66"/>
      <w:r>
        <w:rPr>
          <w:rFonts w:hint="eastAsia" w:ascii="黑体" w:hAnsi="黑体" w:eastAsia="黑体"/>
          <w:sz w:val="32"/>
          <w:szCs w:val="32"/>
        </w:rPr>
        <w:t>结论</w:t>
      </w:r>
      <w:bookmarkEnd w:id="63"/>
      <w:bookmarkEnd w:id="64"/>
      <w:bookmarkEnd w:id="65"/>
    </w:p>
    <w:p>
      <w:pPr>
        <w:ind w:firstLine="552"/>
        <w:rPr>
          <w:rFonts w:hint="eastAsia"/>
        </w:rPr>
      </w:pPr>
      <w:r>
        <w:rPr>
          <w:rFonts w:hint="eastAsia"/>
        </w:rPr>
        <w:t>根据上述测算，目前估算本项目整体报价为4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00</w:t>
      </w:r>
      <w:r>
        <w:rPr>
          <w:rFonts w:hint="eastAsia"/>
        </w:rPr>
        <w:t>万</w:t>
      </w:r>
      <w:r>
        <w:rPr>
          <w:rFonts w:hint="eastAsia"/>
          <w:lang w:eastAsia="zh-CN"/>
        </w:rPr>
        <w:t>。</w:t>
      </w:r>
      <w:r>
        <w:rPr>
          <w:rFonts w:hint="eastAsia"/>
        </w:rPr>
        <w:t>包括设备费为3.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0万元、业务费为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0万元、人力成本为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00</w:t>
      </w:r>
      <w:r>
        <w:rPr>
          <w:rFonts w:hint="eastAsia"/>
        </w:rPr>
        <w:t>万元，总计直接费用1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>万元；间接费（包含在职员工人力成本摊销和使用已有设备成本摊销）为2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.50万元；管理费为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.00万元，其他费用3.</w:t>
      </w:r>
      <w:r>
        <w:rPr>
          <w:rFonts w:hint="eastAsia"/>
          <w:lang w:val="en-US" w:eastAsia="zh-CN"/>
        </w:rPr>
        <w:t>00</w:t>
      </w:r>
      <w:r>
        <w:rPr>
          <w:rFonts w:hint="eastAsia"/>
        </w:rPr>
        <w:t>万元。汇总报价明细，详见表1项目经费预算明细表</w:t>
      </w:r>
    </w:p>
    <w:p>
      <w:pPr>
        <w:widowControl w:val="0"/>
        <w:snapToGrid w:val="0"/>
        <w:spacing w:line="560" w:lineRule="exact"/>
        <w:ind w:firstLine="552" w:firstLineChars="200"/>
        <w:jc w:val="center"/>
        <w:rPr>
          <w:rFonts w:hint="eastAsia" w:ascii="Arial" w:hAnsi="Arial" w:eastAsia="黑体" w:cs="Arial"/>
          <w:kern w:val="2"/>
          <w:sz w:val="20"/>
          <w:szCs w:val="20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 xml:space="preserve">图表 </w:t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instrText xml:space="preserve"> SEQ 图表 \* ARABIC </w:instrText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eastAsia" w:ascii="楷体" w:hAnsi="楷体" w:eastAsia="楷体" w:cs="楷体"/>
          <w:kern w:val="2"/>
          <w:sz w:val="28"/>
          <w:szCs w:val="28"/>
          <w:lang w:val="en-US" w:eastAsia="zh-CN" w:bidi="ar-SA"/>
        </w:rPr>
        <w:t xml:space="preserve"> 项目经费预算明细表（单位：万元）</w:t>
      </w:r>
    </w:p>
    <w:tbl>
      <w:tblPr>
        <w:tblStyle w:val="25"/>
        <w:tblpPr w:leftFromText="180" w:rightFromText="180" w:vertAnchor="text" w:horzAnchor="page" w:tblpX="1779" w:tblpY="381"/>
        <w:tblOverlap w:val="never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0"/>
        <w:gridCol w:w="1829"/>
        <w:gridCol w:w="3543"/>
      </w:tblGrid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1"/>
                <w:szCs w:val="21"/>
                <w:lang w:bidi="ar"/>
              </w:rPr>
              <w:t>预算科目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1"/>
                <w:szCs w:val="21"/>
                <w:lang w:bidi="ar"/>
              </w:rPr>
              <w:t>金额（</w:t>
            </w:r>
            <w:r>
              <w:rPr>
                <w:rFonts w:hint="eastAsia" w:ascii="楷体" w:hAnsi="楷体" w:eastAsia="楷体" w:cs="楷体"/>
                <w:b/>
                <w:bCs/>
                <w:kern w:val="0"/>
                <w:sz w:val="21"/>
                <w:szCs w:val="21"/>
                <w:lang w:val="en-US" w:eastAsia="zh-CN" w:bidi="ar"/>
              </w:rPr>
              <w:t>万</w:t>
            </w:r>
            <w:r>
              <w:rPr>
                <w:rFonts w:hint="eastAsia" w:ascii="楷体" w:hAnsi="楷体" w:eastAsia="楷体" w:cs="楷体"/>
                <w:b/>
                <w:bCs/>
                <w:kern w:val="0"/>
                <w:sz w:val="21"/>
                <w:szCs w:val="21"/>
                <w:lang w:bidi="ar"/>
              </w:rPr>
              <w:t>元）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1"/>
                <w:szCs w:val="21"/>
                <w:lang w:bidi="ar"/>
              </w:rPr>
              <w:t>说明</w:t>
            </w: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一、直接费用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/>
              </w:rPr>
            </w:pP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12.50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（一）设备费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.80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1．设备购置费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.00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指对外购买设备。</w:t>
            </w:r>
          </w:p>
        </w:tc>
      </w:tr>
      <w:tr>
        <w:trPr>
          <w:trHeight w:val="1300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2．设备试制费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0</w:t>
            </w: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.00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现有仪器设备无法满足项目（课题）检测、实验、验证或示范等研究任务需要而试制专用仪器设备发生的费用。</w:t>
            </w:r>
          </w:p>
        </w:tc>
      </w:tr>
      <w:tr>
        <w:trPr>
          <w:trHeight w:val="739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3．设备改造与租赁费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.80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"/>
              </w:rPr>
              <w:t>研发测试过程中租用云服务器和存储的费用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。</w:t>
            </w: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（二）业务费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/>
              </w:rPr>
            </w:pP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3.70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1.材料费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0</w:t>
            </w: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.00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2.测试化验加工费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0</w:t>
            </w: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.00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一般不得超过总预算的30%。</w:t>
            </w: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3.差旅费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.7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</w:p>
        </w:tc>
      </w:tr>
      <w:tr>
        <w:trPr>
          <w:trHeight w:val="423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4.会议费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0</w:t>
            </w:r>
            <w:r>
              <w:rPr>
                <w:rFonts w:hint="eastAsia" w:hAnsi="仿宋_GB2312" w:cs="仿宋_GB2312"/>
                <w:sz w:val="21"/>
                <w:szCs w:val="21"/>
                <w:lang w:eastAsia="zh-CN"/>
              </w:rPr>
              <w:t>.</w:t>
            </w: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00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napToGrid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</w:p>
        </w:tc>
      </w:tr>
      <w:tr>
        <w:trPr>
          <w:trHeight w:val="900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5．出版/文献/信息传播/知识产权事务费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0.40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用于购买科研文献、技术标准手册，均为项目必需的参考资料</w:t>
            </w: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6.其他费用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0.80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邀请 5 名行业专家（高校教授、企业高级工程师）参与需求论证与验收评审，按 4 号文 “技术咨询类专家人均 1600 元 / 天” 标准，共 2 天。</w:t>
            </w: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（三）人力成本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5.00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1．劳务费（外部派遣或聘用人员）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3.50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委托专业团队开展模型适配测试。</w:t>
            </w: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numPr>
                <w:ilvl w:val="0"/>
                <w:numId w:val="14"/>
              </w:numPr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临时聘用技术人员费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50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二、间接费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8.5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1．在职员工人力成本摊销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7.5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在本单位入职人员成本。</w:t>
            </w: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bidi="ar"/>
              </w:rPr>
              <w:t>2. 使用已有设备成本摊销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.00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"/>
              </w:rPr>
              <w:t>三、管理费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jc w:val="left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按总预算 8.33% 计提</w:t>
            </w: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"/>
              </w:rPr>
              <w:t>四、其他支出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3.00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jc w:val="left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预留紧急支出风险费</w:t>
            </w: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和缴税费用</w:t>
            </w: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"/>
              </w:rPr>
              <w:t>五、收益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hAnsi="仿宋_GB2312" w:cs="仿宋_GB2312"/>
                <w:sz w:val="21"/>
                <w:szCs w:val="21"/>
                <w:lang w:val="en-US" w:eastAsia="zh-CN"/>
              </w:rPr>
              <w:t>0.00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</w:p>
        </w:tc>
      </w:tr>
      <w:tr>
        <w:trPr>
          <w:trHeight w:val="405" w:hRule="atLeast"/>
        </w:trPr>
        <w:tc>
          <w:tcPr>
            <w:tcW w:w="2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eastAsia" w:ascii="楷体" w:hAnsi="楷体" w:eastAsia="楷体" w:cs="楷体"/>
                <w:b/>
                <w:bCs/>
                <w:sz w:val="20"/>
                <w:szCs w:val="20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0"/>
                <w:szCs w:val="20"/>
                <w:lang w:bidi="ar"/>
              </w:rPr>
              <w:t>总计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rPr>
                <w:rFonts w:hint="default" w:ascii="楷体" w:hAnsi="楷体" w:eastAsia="楷体" w:cs="楷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napToGrid w:val="0"/>
                <w:sz w:val="22"/>
                <w:szCs w:val="22"/>
                <w:lang w:val="en-US" w:eastAsia="zh-CN"/>
              </w:rPr>
              <w:t>48.00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napToGrid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</w:p>
        </w:tc>
      </w:tr>
    </w:tbl>
    <w:p>
      <w:pPr>
        <w:pStyle w:val="2"/>
        <w:ind w:left="0" w:leftChars="0" w:firstLine="0" w:firstLineChars="0"/>
      </w:pPr>
    </w:p>
    <w:p>
      <w:pPr>
        <w:pStyle w:val="2"/>
        <w:ind w:firstLine="552"/>
      </w:pPr>
    </w:p>
    <w:sectPr>
      <w:footerReference r:id="rId10" w:type="default"/>
      <w:pgSz w:w="11907" w:h="16840"/>
      <w:pgMar w:top="2098" w:right="1474" w:bottom="1814" w:left="1587" w:header="851" w:footer="1607" w:gutter="0"/>
      <w:pgNumType w:start="1"/>
      <w:cols w:space="720" w:num="1"/>
      <w:docGrid w:type="linesAndChars" w:linePitch="586" w:charSpace="-84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52"/>
      </w:pPr>
      <w:r>
        <w:separator/>
      </w:r>
    </w:p>
  </w:endnote>
  <w:endnote w:type="continuationSeparator" w:id="1">
    <w:p>
      <w:pPr>
        <w:spacing w:line="240" w:lineRule="auto"/>
        <w:ind w:firstLine="55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G Times (WN)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方正小标宋简体">
    <w:altName w:val="方正小标宋_GBK"/>
    <w:panose1 w:val="00000000000000000000"/>
    <w:charset w:val="86"/>
    <w:family w:val="script"/>
    <w:pitch w:val="default"/>
    <w:sig w:usb0="00000000" w:usb1="00000000" w:usb2="00000010" w:usb3="00000000" w:csb0="0004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仓耳玉楷">
    <w:panose1 w:val="00000000000000000000"/>
    <w:charset w:val="86"/>
    <w:family w:val="auto"/>
    <w:pitch w:val="default"/>
    <w:sig w:usb0="00000001" w:usb1="08000000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M1w58KgIAAFU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gizZlnY6p3lEToq5u3qGCBgp2sUpVdi0ArT1nVmeBlxnP/cd1GPf4Pl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BYAAABk&#10;cnMvUEsBAhQAFAAAAAgAh07iQLNJWO7QAAAABQEAAA8AAAAAAAAAAQAgAAAAOAAAAGRycy9kb3du&#10;cmV2LnhtbFBLAQIUABQAAAAIAIdO4kCM1w58KgIAAFUEAAAOAAAAAAAAAAEAIAAAADU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5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52"/>
      </w:pPr>
      <w:r>
        <w:separator/>
      </w:r>
    </w:p>
  </w:footnote>
  <w:footnote w:type="continuationSeparator" w:id="1">
    <w:p>
      <w:pPr>
        <w:spacing w:line="240" w:lineRule="auto"/>
        <w:ind w:firstLine="55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E1C656"/>
    <w:multiLevelType w:val="singleLevel"/>
    <w:tmpl w:val="D7E1C656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DBEFE27A"/>
    <w:multiLevelType w:val="multilevel"/>
    <w:tmpl w:val="DBEFE2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>
    <w:nsid w:val="F7AE0AF8"/>
    <w:multiLevelType w:val="singleLevel"/>
    <w:tmpl w:val="F7AE0A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7FAA9C2"/>
    <w:multiLevelType w:val="multilevel"/>
    <w:tmpl w:val="F7FAA9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>
    <w:nsid w:val="FFBE2AEA"/>
    <w:multiLevelType w:val="singleLevel"/>
    <w:tmpl w:val="FFBE2A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FF3EB24"/>
    <w:multiLevelType w:val="multilevel"/>
    <w:tmpl w:val="FFF3EB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6">
    <w:nsid w:val="557A397D"/>
    <w:multiLevelType w:val="multilevel"/>
    <w:tmpl w:val="557A39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7">
    <w:nsid w:val="5DA183EC"/>
    <w:multiLevelType w:val="singleLevel"/>
    <w:tmpl w:val="5DA183E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6BC14A90"/>
    <w:multiLevelType w:val="singleLevel"/>
    <w:tmpl w:val="6BC14A90"/>
    <w:lvl w:ilvl="0" w:tentative="0">
      <w:start w:val="2"/>
      <w:numFmt w:val="decimal"/>
      <w:suff w:val="space"/>
      <w:lvlText w:val="%1."/>
      <w:lvlJc w:val="left"/>
    </w:lvl>
  </w:abstractNum>
  <w:abstractNum w:abstractNumId="9">
    <w:nsid w:val="6F7AAC51"/>
    <w:multiLevelType w:val="singleLevel"/>
    <w:tmpl w:val="6F7AAC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6FBB1716"/>
    <w:multiLevelType w:val="singleLevel"/>
    <w:tmpl w:val="6FBB1716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1">
    <w:nsid w:val="6FCF0D3C"/>
    <w:multiLevelType w:val="multilevel"/>
    <w:tmpl w:val="6FCF0D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2">
    <w:nsid w:val="71E2E8F1"/>
    <w:multiLevelType w:val="singleLevel"/>
    <w:tmpl w:val="71E2E8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7DBCC20F"/>
    <w:multiLevelType w:val="singleLevel"/>
    <w:tmpl w:val="7DBCC2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2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10"/>
  </w:num>
  <w:num w:numId="7">
    <w:abstractNumId w:val="13"/>
  </w:num>
  <w:num w:numId="8">
    <w:abstractNumId w:val="4"/>
  </w:num>
  <w:num w:numId="9">
    <w:abstractNumId w:val="7"/>
  </w:num>
  <w:num w:numId="10">
    <w:abstractNumId w:val="11"/>
  </w:num>
  <w:num w:numId="11">
    <w:abstractNumId w:val="9"/>
  </w:num>
  <w:num w:numId="12">
    <w:abstractNumId w:val="5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NotDisplayPageBoundaries w:val="1"/>
  <w:bordersDoNotSurroundHeader w:val="1"/>
  <w:bordersDoNotSurroundFooter w:val="1"/>
  <w:documentProtection w:enforcement="0"/>
  <w:defaultTabStop w:val="420"/>
  <w:drawingGridHorizontalSpacing w:val="103"/>
  <w:drawingGridVerticalSpacing w:val="29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C22"/>
    <w:rsid w:val="000001C3"/>
    <w:rsid w:val="00002E16"/>
    <w:rsid w:val="00004DC9"/>
    <w:rsid w:val="0000576B"/>
    <w:rsid w:val="00007961"/>
    <w:rsid w:val="00012C95"/>
    <w:rsid w:val="000152C3"/>
    <w:rsid w:val="0002356F"/>
    <w:rsid w:val="000248BA"/>
    <w:rsid w:val="000414EB"/>
    <w:rsid w:val="00044069"/>
    <w:rsid w:val="00056AF7"/>
    <w:rsid w:val="00057CA4"/>
    <w:rsid w:val="000643DA"/>
    <w:rsid w:val="00064F6B"/>
    <w:rsid w:val="00065EE6"/>
    <w:rsid w:val="000666D1"/>
    <w:rsid w:val="0007058F"/>
    <w:rsid w:val="00072071"/>
    <w:rsid w:val="000721F9"/>
    <w:rsid w:val="0007445B"/>
    <w:rsid w:val="00075832"/>
    <w:rsid w:val="00083640"/>
    <w:rsid w:val="00085DBA"/>
    <w:rsid w:val="00086504"/>
    <w:rsid w:val="000A0605"/>
    <w:rsid w:val="000A0664"/>
    <w:rsid w:val="000A6795"/>
    <w:rsid w:val="000A787B"/>
    <w:rsid w:val="000B1D19"/>
    <w:rsid w:val="000B2F0B"/>
    <w:rsid w:val="000B36F4"/>
    <w:rsid w:val="000B4013"/>
    <w:rsid w:val="000C5F9A"/>
    <w:rsid w:val="000D144A"/>
    <w:rsid w:val="000D2DC6"/>
    <w:rsid w:val="000D68AA"/>
    <w:rsid w:val="000E6DF1"/>
    <w:rsid w:val="000F14D6"/>
    <w:rsid w:val="00104204"/>
    <w:rsid w:val="00111083"/>
    <w:rsid w:val="00113FAB"/>
    <w:rsid w:val="00122A9F"/>
    <w:rsid w:val="00123368"/>
    <w:rsid w:val="00127DF2"/>
    <w:rsid w:val="00130235"/>
    <w:rsid w:val="00132B85"/>
    <w:rsid w:val="001343AF"/>
    <w:rsid w:val="00140E25"/>
    <w:rsid w:val="00143877"/>
    <w:rsid w:val="00146738"/>
    <w:rsid w:val="0014758B"/>
    <w:rsid w:val="0015073F"/>
    <w:rsid w:val="0015521D"/>
    <w:rsid w:val="00157827"/>
    <w:rsid w:val="00162764"/>
    <w:rsid w:val="00166293"/>
    <w:rsid w:val="00170E38"/>
    <w:rsid w:val="001819AF"/>
    <w:rsid w:val="00183197"/>
    <w:rsid w:val="001861F8"/>
    <w:rsid w:val="00190278"/>
    <w:rsid w:val="00192892"/>
    <w:rsid w:val="0019419B"/>
    <w:rsid w:val="00194269"/>
    <w:rsid w:val="001A0BF0"/>
    <w:rsid w:val="001A5B9C"/>
    <w:rsid w:val="001A7415"/>
    <w:rsid w:val="001B0C2A"/>
    <w:rsid w:val="001B2077"/>
    <w:rsid w:val="001B4EE9"/>
    <w:rsid w:val="001B7CC7"/>
    <w:rsid w:val="001C06E8"/>
    <w:rsid w:val="001C3E28"/>
    <w:rsid w:val="001C5535"/>
    <w:rsid w:val="001C661A"/>
    <w:rsid w:val="001C79FA"/>
    <w:rsid w:val="001D3729"/>
    <w:rsid w:val="001D3BE7"/>
    <w:rsid w:val="001D3F84"/>
    <w:rsid w:val="001D517F"/>
    <w:rsid w:val="001D7AA3"/>
    <w:rsid w:val="001E036C"/>
    <w:rsid w:val="001E420D"/>
    <w:rsid w:val="001E4385"/>
    <w:rsid w:val="001E5157"/>
    <w:rsid w:val="001E5870"/>
    <w:rsid w:val="001F211A"/>
    <w:rsid w:val="001F6974"/>
    <w:rsid w:val="0020100F"/>
    <w:rsid w:val="00203FE4"/>
    <w:rsid w:val="002048BF"/>
    <w:rsid w:val="00204B8F"/>
    <w:rsid w:val="00211B68"/>
    <w:rsid w:val="00213219"/>
    <w:rsid w:val="00215E5A"/>
    <w:rsid w:val="002167DA"/>
    <w:rsid w:val="00216DF5"/>
    <w:rsid w:val="00217E0D"/>
    <w:rsid w:val="0022025F"/>
    <w:rsid w:val="00221DDB"/>
    <w:rsid w:val="002250BC"/>
    <w:rsid w:val="0022553C"/>
    <w:rsid w:val="00225FE2"/>
    <w:rsid w:val="0023026F"/>
    <w:rsid w:val="0023349A"/>
    <w:rsid w:val="00235B79"/>
    <w:rsid w:val="002434D9"/>
    <w:rsid w:val="00243ADD"/>
    <w:rsid w:val="00244500"/>
    <w:rsid w:val="0025195D"/>
    <w:rsid w:val="00254667"/>
    <w:rsid w:val="00261D61"/>
    <w:rsid w:val="00265858"/>
    <w:rsid w:val="002708EE"/>
    <w:rsid w:val="002714C6"/>
    <w:rsid w:val="0027346B"/>
    <w:rsid w:val="002768D4"/>
    <w:rsid w:val="002837D3"/>
    <w:rsid w:val="00285637"/>
    <w:rsid w:val="00295CDC"/>
    <w:rsid w:val="0029649F"/>
    <w:rsid w:val="002A122B"/>
    <w:rsid w:val="002A44AB"/>
    <w:rsid w:val="002A6140"/>
    <w:rsid w:val="002B32AF"/>
    <w:rsid w:val="002B3D63"/>
    <w:rsid w:val="002B4183"/>
    <w:rsid w:val="002B543E"/>
    <w:rsid w:val="002B6B06"/>
    <w:rsid w:val="002B7125"/>
    <w:rsid w:val="002B73A6"/>
    <w:rsid w:val="002B7824"/>
    <w:rsid w:val="002C15B3"/>
    <w:rsid w:val="002C67F6"/>
    <w:rsid w:val="002D0E2D"/>
    <w:rsid w:val="002D2D49"/>
    <w:rsid w:val="002D33E0"/>
    <w:rsid w:val="002D3542"/>
    <w:rsid w:val="002D6550"/>
    <w:rsid w:val="002E05DD"/>
    <w:rsid w:val="002F6D48"/>
    <w:rsid w:val="002F7F38"/>
    <w:rsid w:val="00301F85"/>
    <w:rsid w:val="00302998"/>
    <w:rsid w:val="0030350B"/>
    <w:rsid w:val="003047A9"/>
    <w:rsid w:val="00305A18"/>
    <w:rsid w:val="00313C8F"/>
    <w:rsid w:val="00316069"/>
    <w:rsid w:val="00317151"/>
    <w:rsid w:val="00320304"/>
    <w:rsid w:val="00323FB1"/>
    <w:rsid w:val="00324CB2"/>
    <w:rsid w:val="00326909"/>
    <w:rsid w:val="00335198"/>
    <w:rsid w:val="0034249C"/>
    <w:rsid w:val="0034401C"/>
    <w:rsid w:val="00344BBF"/>
    <w:rsid w:val="00350662"/>
    <w:rsid w:val="00350C50"/>
    <w:rsid w:val="003519C3"/>
    <w:rsid w:val="00354894"/>
    <w:rsid w:val="00355C67"/>
    <w:rsid w:val="003629D4"/>
    <w:rsid w:val="003659A8"/>
    <w:rsid w:val="00373222"/>
    <w:rsid w:val="00381EFD"/>
    <w:rsid w:val="003821D3"/>
    <w:rsid w:val="00394CDD"/>
    <w:rsid w:val="00396ACA"/>
    <w:rsid w:val="003A3807"/>
    <w:rsid w:val="003A3D82"/>
    <w:rsid w:val="003A4A6A"/>
    <w:rsid w:val="003A4AFB"/>
    <w:rsid w:val="003B5437"/>
    <w:rsid w:val="003C7B98"/>
    <w:rsid w:val="003D11E0"/>
    <w:rsid w:val="003D148D"/>
    <w:rsid w:val="003D2824"/>
    <w:rsid w:val="003D7FD6"/>
    <w:rsid w:val="003E131A"/>
    <w:rsid w:val="003E28AA"/>
    <w:rsid w:val="003E74CD"/>
    <w:rsid w:val="003F0899"/>
    <w:rsid w:val="003F1B61"/>
    <w:rsid w:val="003F5CBA"/>
    <w:rsid w:val="003F5EF8"/>
    <w:rsid w:val="003F6A2E"/>
    <w:rsid w:val="00400C47"/>
    <w:rsid w:val="00402387"/>
    <w:rsid w:val="004060D3"/>
    <w:rsid w:val="00406E7D"/>
    <w:rsid w:val="004078DA"/>
    <w:rsid w:val="00411D79"/>
    <w:rsid w:val="004157EB"/>
    <w:rsid w:val="00416FCB"/>
    <w:rsid w:val="004212EA"/>
    <w:rsid w:val="00423067"/>
    <w:rsid w:val="00425EEF"/>
    <w:rsid w:val="00430E40"/>
    <w:rsid w:val="00432C6A"/>
    <w:rsid w:val="00435FF4"/>
    <w:rsid w:val="0043712C"/>
    <w:rsid w:val="004373B3"/>
    <w:rsid w:val="00444D3D"/>
    <w:rsid w:val="004458DD"/>
    <w:rsid w:val="0044615D"/>
    <w:rsid w:val="00446DB2"/>
    <w:rsid w:val="00451A40"/>
    <w:rsid w:val="00452835"/>
    <w:rsid w:val="00452CE8"/>
    <w:rsid w:val="00457817"/>
    <w:rsid w:val="00460D6E"/>
    <w:rsid w:val="0046144E"/>
    <w:rsid w:val="0046370F"/>
    <w:rsid w:val="00474CC0"/>
    <w:rsid w:val="0047615C"/>
    <w:rsid w:val="0048111E"/>
    <w:rsid w:val="00481B8A"/>
    <w:rsid w:val="00483562"/>
    <w:rsid w:val="00484803"/>
    <w:rsid w:val="00484F86"/>
    <w:rsid w:val="00490831"/>
    <w:rsid w:val="00492042"/>
    <w:rsid w:val="004930FC"/>
    <w:rsid w:val="00493800"/>
    <w:rsid w:val="00496002"/>
    <w:rsid w:val="00497C19"/>
    <w:rsid w:val="004A0E44"/>
    <w:rsid w:val="004A1AE7"/>
    <w:rsid w:val="004A684A"/>
    <w:rsid w:val="004B2617"/>
    <w:rsid w:val="004B3A50"/>
    <w:rsid w:val="004B4145"/>
    <w:rsid w:val="004B4EF2"/>
    <w:rsid w:val="004B5961"/>
    <w:rsid w:val="004D131A"/>
    <w:rsid w:val="004D191F"/>
    <w:rsid w:val="004D2673"/>
    <w:rsid w:val="004D2FF8"/>
    <w:rsid w:val="004D3230"/>
    <w:rsid w:val="004D43A8"/>
    <w:rsid w:val="004D6BDC"/>
    <w:rsid w:val="004D7A74"/>
    <w:rsid w:val="004E3A23"/>
    <w:rsid w:val="004E4F03"/>
    <w:rsid w:val="004F07D7"/>
    <w:rsid w:val="004F288D"/>
    <w:rsid w:val="0050016F"/>
    <w:rsid w:val="00502125"/>
    <w:rsid w:val="00503F72"/>
    <w:rsid w:val="00504555"/>
    <w:rsid w:val="00506225"/>
    <w:rsid w:val="00507C53"/>
    <w:rsid w:val="005113FE"/>
    <w:rsid w:val="00511821"/>
    <w:rsid w:val="00512155"/>
    <w:rsid w:val="00514BDE"/>
    <w:rsid w:val="00516EF9"/>
    <w:rsid w:val="00520414"/>
    <w:rsid w:val="00522FE3"/>
    <w:rsid w:val="00523FD8"/>
    <w:rsid w:val="0052449B"/>
    <w:rsid w:val="00526507"/>
    <w:rsid w:val="005270E4"/>
    <w:rsid w:val="00535167"/>
    <w:rsid w:val="00535DBD"/>
    <w:rsid w:val="00537B16"/>
    <w:rsid w:val="0054098F"/>
    <w:rsid w:val="00542B9C"/>
    <w:rsid w:val="00543E95"/>
    <w:rsid w:val="00546FF6"/>
    <w:rsid w:val="0054782F"/>
    <w:rsid w:val="00552F8F"/>
    <w:rsid w:val="005623AC"/>
    <w:rsid w:val="00565742"/>
    <w:rsid w:val="00565F51"/>
    <w:rsid w:val="00567B8C"/>
    <w:rsid w:val="00571C4B"/>
    <w:rsid w:val="005728C7"/>
    <w:rsid w:val="00572BA2"/>
    <w:rsid w:val="00573B22"/>
    <w:rsid w:val="005755F8"/>
    <w:rsid w:val="00583C95"/>
    <w:rsid w:val="00583EAB"/>
    <w:rsid w:val="005843F8"/>
    <w:rsid w:val="00587E75"/>
    <w:rsid w:val="00591ED6"/>
    <w:rsid w:val="00593C33"/>
    <w:rsid w:val="005A3FBA"/>
    <w:rsid w:val="005A71E8"/>
    <w:rsid w:val="005B3F18"/>
    <w:rsid w:val="005C1358"/>
    <w:rsid w:val="005C22FC"/>
    <w:rsid w:val="005C451F"/>
    <w:rsid w:val="005C6D73"/>
    <w:rsid w:val="005C6E0C"/>
    <w:rsid w:val="005C76BF"/>
    <w:rsid w:val="005D252D"/>
    <w:rsid w:val="005D2CDF"/>
    <w:rsid w:val="005D2F9E"/>
    <w:rsid w:val="005D588C"/>
    <w:rsid w:val="005D772D"/>
    <w:rsid w:val="005E3CB6"/>
    <w:rsid w:val="005E593A"/>
    <w:rsid w:val="005E61B3"/>
    <w:rsid w:val="005F52E6"/>
    <w:rsid w:val="00601A26"/>
    <w:rsid w:val="00601D22"/>
    <w:rsid w:val="00605A1F"/>
    <w:rsid w:val="00605F41"/>
    <w:rsid w:val="0060726B"/>
    <w:rsid w:val="006072E5"/>
    <w:rsid w:val="00610275"/>
    <w:rsid w:val="00610A21"/>
    <w:rsid w:val="006111E6"/>
    <w:rsid w:val="00615445"/>
    <w:rsid w:val="0061614D"/>
    <w:rsid w:val="006221BC"/>
    <w:rsid w:val="00623D82"/>
    <w:rsid w:val="00625953"/>
    <w:rsid w:val="00634E51"/>
    <w:rsid w:val="00636E18"/>
    <w:rsid w:val="00640181"/>
    <w:rsid w:val="006429B7"/>
    <w:rsid w:val="00646E36"/>
    <w:rsid w:val="00647239"/>
    <w:rsid w:val="006514CE"/>
    <w:rsid w:val="00652A01"/>
    <w:rsid w:val="00661138"/>
    <w:rsid w:val="00661932"/>
    <w:rsid w:val="0066772D"/>
    <w:rsid w:val="006704F9"/>
    <w:rsid w:val="00674EB6"/>
    <w:rsid w:val="00675C51"/>
    <w:rsid w:val="006767E2"/>
    <w:rsid w:val="00676D8D"/>
    <w:rsid w:val="00677DD6"/>
    <w:rsid w:val="00680050"/>
    <w:rsid w:val="00680DA2"/>
    <w:rsid w:val="0068338D"/>
    <w:rsid w:val="00684134"/>
    <w:rsid w:val="00685BFB"/>
    <w:rsid w:val="006915FC"/>
    <w:rsid w:val="006965F1"/>
    <w:rsid w:val="00696D92"/>
    <w:rsid w:val="006A35DD"/>
    <w:rsid w:val="006A5094"/>
    <w:rsid w:val="006A645C"/>
    <w:rsid w:val="006A7B1B"/>
    <w:rsid w:val="006B03AB"/>
    <w:rsid w:val="006B122F"/>
    <w:rsid w:val="006B5B39"/>
    <w:rsid w:val="006B607B"/>
    <w:rsid w:val="006B6232"/>
    <w:rsid w:val="006C2490"/>
    <w:rsid w:val="006C33E2"/>
    <w:rsid w:val="006C3FB3"/>
    <w:rsid w:val="006C6539"/>
    <w:rsid w:val="006C69FF"/>
    <w:rsid w:val="006C796C"/>
    <w:rsid w:val="006D1348"/>
    <w:rsid w:val="006D1AEF"/>
    <w:rsid w:val="006E198E"/>
    <w:rsid w:val="006F15DD"/>
    <w:rsid w:val="006F2F3D"/>
    <w:rsid w:val="006F374A"/>
    <w:rsid w:val="006F3939"/>
    <w:rsid w:val="006F3BCC"/>
    <w:rsid w:val="006F6C3B"/>
    <w:rsid w:val="006F7D5C"/>
    <w:rsid w:val="00701B61"/>
    <w:rsid w:val="0070569C"/>
    <w:rsid w:val="00712E6B"/>
    <w:rsid w:val="00726280"/>
    <w:rsid w:val="00726C94"/>
    <w:rsid w:val="00735645"/>
    <w:rsid w:val="0073789F"/>
    <w:rsid w:val="00742CEB"/>
    <w:rsid w:val="0074498A"/>
    <w:rsid w:val="00755D43"/>
    <w:rsid w:val="007617B8"/>
    <w:rsid w:val="00763370"/>
    <w:rsid w:val="007640A4"/>
    <w:rsid w:val="00766FA6"/>
    <w:rsid w:val="0077297B"/>
    <w:rsid w:val="007741CC"/>
    <w:rsid w:val="00774622"/>
    <w:rsid w:val="007748D9"/>
    <w:rsid w:val="00777833"/>
    <w:rsid w:val="007800EB"/>
    <w:rsid w:val="007843D9"/>
    <w:rsid w:val="00786366"/>
    <w:rsid w:val="00787D43"/>
    <w:rsid w:val="007905B5"/>
    <w:rsid w:val="00791171"/>
    <w:rsid w:val="00791D76"/>
    <w:rsid w:val="00794120"/>
    <w:rsid w:val="00795651"/>
    <w:rsid w:val="007A10DD"/>
    <w:rsid w:val="007A674D"/>
    <w:rsid w:val="007A7B17"/>
    <w:rsid w:val="007B499A"/>
    <w:rsid w:val="007B6488"/>
    <w:rsid w:val="007B71F2"/>
    <w:rsid w:val="007C2B2D"/>
    <w:rsid w:val="007C2EE1"/>
    <w:rsid w:val="007C43C6"/>
    <w:rsid w:val="007C6692"/>
    <w:rsid w:val="007D04CB"/>
    <w:rsid w:val="007D3181"/>
    <w:rsid w:val="007E0737"/>
    <w:rsid w:val="007E1D7D"/>
    <w:rsid w:val="007E208C"/>
    <w:rsid w:val="007E57D6"/>
    <w:rsid w:val="007E5852"/>
    <w:rsid w:val="007E5A99"/>
    <w:rsid w:val="007F24A8"/>
    <w:rsid w:val="007F548D"/>
    <w:rsid w:val="007F7FB5"/>
    <w:rsid w:val="00807DFD"/>
    <w:rsid w:val="0081187C"/>
    <w:rsid w:val="0081469E"/>
    <w:rsid w:val="00815997"/>
    <w:rsid w:val="00820539"/>
    <w:rsid w:val="00822658"/>
    <w:rsid w:val="008254E5"/>
    <w:rsid w:val="008358A1"/>
    <w:rsid w:val="00836DA6"/>
    <w:rsid w:val="00842EF2"/>
    <w:rsid w:val="00842F68"/>
    <w:rsid w:val="00844517"/>
    <w:rsid w:val="00844AE4"/>
    <w:rsid w:val="00847392"/>
    <w:rsid w:val="008518F8"/>
    <w:rsid w:val="00855B97"/>
    <w:rsid w:val="00861E15"/>
    <w:rsid w:val="00862A4F"/>
    <w:rsid w:val="00863FE3"/>
    <w:rsid w:val="008706A3"/>
    <w:rsid w:val="00873FF0"/>
    <w:rsid w:val="008758F7"/>
    <w:rsid w:val="00875D5B"/>
    <w:rsid w:val="008829C4"/>
    <w:rsid w:val="008857BC"/>
    <w:rsid w:val="008911FD"/>
    <w:rsid w:val="008A067F"/>
    <w:rsid w:val="008A592E"/>
    <w:rsid w:val="008A6C70"/>
    <w:rsid w:val="008B5EA2"/>
    <w:rsid w:val="008C6B81"/>
    <w:rsid w:val="008C6E4D"/>
    <w:rsid w:val="008D0007"/>
    <w:rsid w:val="008D4E0A"/>
    <w:rsid w:val="008D52D8"/>
    <w:rsid w:val="008E2680"/>
    <w:rsid w:val="008F289B"/>
    <w:rsid w:val="008F578A"/>
    <w:rsid w:val="0090309F"/>
    <w:rsid w:val="00906FBC"/>
    <w:rsid w:val="00907351"/>
    <w:rsid w:val="009165C2"/>
    <w:rsid w:val="009212E6"/>
    <w:rsid w:val="009220B7"/>
    <w:rsid w:val="00924D2A"/>
    <w:rsid w:val="00931157"/>
    <w:rsid w:val="00932ACC"/>
    <w:rsid w:val="00932F2E"/>
    <w:rsid w:val="00934AD8"/>
    <w:rsid w:val="00936C99"/>
    <w:rsid w:val="00936FE1"/>
    <w:rsid w:val="009431EB"/>
    <w:rsid w:val="00947017"/>
    <w:rsid w:val="00950843"/>
    <w:rsid w:val="0095550C"/>
    <w:rsid w:val="00955778"/>
    <w:rsid w:val="00964C0B"/>
    <w:rsid w:val="00967EA4"/>
    <w:rsid w:val="00970256"/>
    <w:rsid w:val="009706C2"/>
    <w:rsid w:val="00972422"/>
    <w:rsid w:val="009743C0"/>
    <w:rsid w:val="009776D6"/>
    <w:rsid w:val="009824F3"/>
    <w:rsid w:val="00983BC7"/>
    <w:rsid w:val="00983EE2"/>
    <w:rsid w:val="00984A54"/>
    <w:rsid w:val="00990989"/>
    <w:rsid w:val="00995389"/>
    <w:rsid w:val="009A0713"/>
    <w:rsid w:val="009A3D81"/>
    <w:rsid w:val="009A5496"/>
    <w:rsid w:val="009A7DA8"/>
    <w:rsid w:val="009B1AE0"/>
    <w:rsid w:val="009B2138"/>
    <w:rsid w:val="009B4E6E"/>
    <w:rsid w:val="009B70CB"/>
    <w:rsid w:val="009B7622"/>
    <w:rsid w:val="009C00EF"/>
    <w:rsid w:val="009C1672"/>
    <w:rsid w:val="009C5DFA"/>
    <w:rsid w:val="009C6195"/>
    <w:rsid w:val="009C7EE6"/>
    <w:rsid w:val="009D0864"/>
    <w:rsid w:val="009D215A"/>
    <w:rsid w:val="009D3FD8"/>
    <w:rsid w:val="009D4E6A"/>
    <w:rsid w:val="009E06B0"/>
    <w:rsid w:val="009E10F1"/>
    <w:rsid w:val="009E183A"/>
    <w:rsid w:val="009E2B5D"/>
    <w:rsid w:val="009E2D72"/>
    <w:rsid w:val="009E53D8"/>
    <w:rsid w:val="009E5BAB"/>
    <w:rsid w:val="009E7D30"/>
    <w:rsid w:val="009F0D73"/>
    <w:rsid w:val="009F1B1F"/>
    <w:rsid w:val="009F1D10"/>
    <w:rsid w:val="009F5DA9"/>
    <w:rsid w:val="00A02B76"/>
    <w:rsid w:val="00A05A54"/>
    <w:rsid w:val="00A10499"/>
    <w:rsid w:val="00A12495"/>
    <w:rsid w:val="00A15F4C"/>
    <w:rsid w:val="00A178A7"/>
    <w:rsid w:val="00A17F8F"/>
    <w:rsid w:val="00A20EFE"/>
    <w:rsid w:val="00A20F4E"/>
    <w:rsid w:val="00A21836"/>
    <w:rsid w:val="00A218AD"/>
    <w:rsid w:val="00A233D9"/>
    <w:rsid w:val="00A27F9F"/>
    <w:rsid w:val="00A308FC"/>
    <w:rsid w:val="00A352BB"/>
    <w:rsid w:val="00A35658"/>
    <w:rsid w:val="00A37ABB"/>
    <w:rsid w:val="00A4098D"/>
    <w:rsid w:val="00A42BA6"/>
    <w:rsid w:val="00A4553E"/>
    <w:rsid w:val="00A471EB"/>
    <w:rsid w:val="00A616EB"/>
    <w:rsid w:val="00A61A82"/>
    <w:rsid w:val="00A643FD"/>
    <w:rsid w:val="00A74666"/>
    <w:rsid w:val="00A74DD6"/>
    <w:rsid w:val="00A75B83"/>
    <w:rsid w:val="00A816C0"/>
    <w:rsid w:val="00A83D33"/>
    <w:rsid w:val="00A844F3"/>
    <w:rsid w:val="00A853CA"/>
    <w:rsid w:val="00A91F92"/>
    <w:rsid w:val="00A95904"/>
    <w:rsid w:val="00AA06FB"/>
    <w:rsid w:val="00AA2777"/>
    <w:rsid w:val="00AA3472"/>
    <w:rsid w:val="00AA523B"/>
    <w:rsid w:val="00AA7348"/>
    <w:rsid w:val="00AA7CB5"/>
    <w:rsid w:val="00AB3507"/>
    <w:rsid w:val="00AB4BB3"/>
    <w:rsid w:val="00AB5E0B"/>
    <w:rsid w:val="00AB75DF"/>
    <w:rsid w:val="00AC4411"/>
    <w:rsid w:val="00AC6591"/>
    <w:rsid w:val="00AD0099"/>
    <w:rsid w:val="00AD0A12"/>
    <w:rsid w:val="00AD27E3"/>
    <w:rsid w:val="00AD45C3"/>
    <w:rsid w:val="00AD64F3"/>
    <w:rsid w:val="00AE2060"/>
    <w:rsid w:val="00AE333D"/>
    <w:rsid w:val="00AE351A"/>
    <w:rsid w:val="00AE52A9"/>
    <w:rsid w:val="00AE76D0"/>
    <w:rsid w:val="00AF0247"/>
    <w:rsid w:val="00AF43D2"/>
    <w:rsid w:val="00AF59F6"/>
    <w:rsid w:val="00B03716"/>
    <w:rsid w:val="00B05B0E"/>
    <w:rsid w:val="00B11D49"/>
    <w:rsid w:val="00B12D1E"/>
    <w:rsid w:val="00B15764"/>
    <w:rsid w:val="00B15FF4"/>
    <w:rsid w:val="00B16C3B"/>
    <w:rsid w:val="00B17F4C"/>
    <w:rsid w:val="00B200C8"/>
    <w:rsid w:val="00B20A0B"/>
    <w:rsid w:val="00B232F0"/>
    <w:rsid w:val="00B252C1"/>
    <w:rsid w:val="00B25FF0"/>
    <w:rsid w:val="00B3350B"/>
    <w:rsid w:val="00B41676"/>
    <w:rsid w:val="00B55C1F"/>
    <w:rsid w:val="00B565DE"/>
    <w:rsid w:val="00B57480"/>
    <w:rsid w:val="00B6189B"/>
    <w:rsid w:val="00B671C2"/>
    <w:rsid w:val="00B7518D"/>
    <w:rsid w:val="00B75C5E"/>
    <w:rsid w:val="00B80248"/>
    <w:rsid w:val="00B8054D"/>
    <w:rsid w:val="00B82997"/>
    <w:rsid w:val="00B8491A"/>
    <w:rsid w:val="00B84F91"/>
    <w:rsid w:val="00B91F8E"/>
    <w:rsid w:val="00B920C8"/>
    <w:rsid w:val="00B93DC2"/>
    <w:rsid w:val="00B940FA"/>
    <w:rsid w:val="00B966A0"/>
    <w:rsid w:val="00BA1BD7"/>
    <w:rsid w:val="00BA2C5F"/>
    <w:rsid w:val="00BA5DE5"/>
    <w:rsid w:val="00BB5B15"/>
    <w:rsid w:val="00BB6265"/>
    <w:rsid w:val="00BC4308"/>
    <w:rsid w:val="00BE0A6A"/>
    <w:rsid w:val="00BE3D96"/>
    <w:rsid w:val="00BE5E0C"/>
    <w:rsid w:val="00BF346E"/>
    <w:rsid w:val="00BF40B0"/>
    <w:rsid w:val="00BF5377"/>
    <w:rsid w:val="00BF65C0"/>
    <w:rsid w:val="00BF75AE"/>
    <w:rsid w:val="00C00AAC"/>
    <w:rsid w:val="00C03ED0"/>
    <w:rsid w:val="00C0402E"/>
    <w:rsid w:val="00C040D7"/>
    <w:rsid w:val="00C04B9C"/>
    <w:rsid w:val="00C04D0C"/>
    <w:rsid w:val="00C10BE6"/>
    <w:rsid w:val="00C11F11"/>
    <w:rsid w:val="00C14257"/>
    <w:rsid w:val="00C164E8"/>
    <w:rsid w:val="00C231C0"/>
    <w:rsid w:val="00C25F4F"/>
    <w:rsid w:val="00C310FD"/>
    <w:rsid w:val="00C31C1A"/>
    <w:rsid w:val="00C32BB7"/>
    <w:rsid w:val="00C45FCD"/>
    <w:rsid w:val="00C4602C"/>
    <w:rsid w:val="00C47238"/>
    <w:rsid w:val="00C5047A"/>
    <w:rsid w:val="00C504DC"/>
    <w:rsid w:val="00C533F1"/>
    <w:rsid w:val="00C556F5"/>
    <w:rsid w:val="00C572E0"/>
    <w:rsid w:val="00C577A2"/>
    <w:rsid w:val="00C60524"/>
    <w:rsid w:val="00C60553"/>
    <w:rsid w:val="00C6114F"/>
    <w:rsid w:val="00C62306"/>
    <w:rsid w:val="00C66622"/>
    <w:rsid w:val="00C70A23"/>
    <w:rsid w:val="00C74404"/>
    <w:rsid w:val="00C75CFD"/>
    <w:rsid w:val="00C76F1B"/>
    <w:rsid w:val="00C854D5"/>
    <w:rsid w:val="00C85CC3"/>
    <w:rsid w:val="00C87D4B"/>
    <w:rsid w:val="00C9256C"/>
    <w:rsid w:val="00CB0016"/>
    <w:rsid w:val="00CB00BB"/>
    <w:rsid w:val="00CB32F6"/>
    <w:rsid w:val="00CB3E6E"/>
    <w:rsid w:val="00CB57CF"/>
    <w:rsid w:val="00CB5EFC"/>
    <w:rsid w:val="00CC1FC4"/>
    <w:rsid w:val="00CC274F"/>
    <w:rsid w:val="00CC3DFA"/>
    <w:rsid w:val="00CC42B1"/>
    <w:rsid w:val="00CC5451"/>
    <w:rsid w:val="00CC5D21"/>
    <w:rsid w:val="00CC7F35"/>
    <w:rsid w:val="00CD3032"/>
    <w:rsid w:val="00CD7060"/>
    <w:rsid w:val="00CE3879"/>
    <w:rsid w:val="00CE49CF"/>
    <w:rsid w:val="00CE51C1"/>
    <w:rsid w:val="00CE5952"/>
    <w:rsid w:val="00D0108A"/>
    <w:rsid w:val="00D0267B"/>
    <w:rsid w:val="00D0338A"/>
    <w:rsid w:val="00D10138"/>
    <w:rsid w:val="00D10FF0"/>
    <w:rsid w:val="00D15707"/>
    <w:rsid w:val="00D15B7D"/>
    <w:rsid w:val="00D169A3"/>
    <w:rsid w:val="00D208E0"/>
    <w:rsid w:val="00D2272A"/>
    <w:rsid w:val="00D25DBC"/>
    <w:rsid w:val="00D25F14"/>
    <w:rsid w:val="00D32E78"/>
    <w:rsid w:val="00D3454D"/>
    <w:rsid w:val="00D376CB"/>
    <w:rsid w:val="00D437FC"/>
    <w:rsid w:val="00D43A1C"/>
    <w:rsid w:val="00D46742"/>
    <w:rsid w:val="00D509EC"/>
    <w:rsid w:val="00D5552E"/>
    <w:rsid w:val="00D62F35"/>
    <w:rsid w:val="00D638F9"/>
    <w:rsid w:val="00D64089"/>
    <w:rsid w:val="00D66F4E"/>
    <w:rsid w:val="00D71266"/>
    <w:rsid w:val="00D726D9"/>
    <w:rsid w:val="00D732A0"/>
    <w:rsid w:val="00D753F0"/>
    <w:rsid w:val="00D7716D"/>
    <w:rsid w:val="00D77D3B"/>
    <w:rsid w:val="00D80C4C"/>
    <w:rsid w:val="00D81F5F"/>
    <w:rsid w:val="00D8262E"/>
    <w:rsid w:val="00D83206"/>
    <w:rsid w:val="00D83C29"/>
    <w:rsid w:val="00D91231"/>
    <w:rsid w:val="00D97C88"/>
    <w:rsid w:val="00DA0BBF"/>
    <w:rsid w:val="00DA292E"/>
    <w:rsid w:val="00DA339C"/>
    <w:rsid w:val="00DA5578"/>
    <w:rsid w:val="00DA5CA1"/>
    <w:rsid w:val="00DA77CD"/>
    <w:rsid w:val="00DB005C"/>
    <w:rsid w:val="00DB1415"/>
    <w:rsid w:val="00DB1734"/>
    <w:rsid w:val="00DB5484"/>
    <w:rsid w:val="00DB5914"/>
    <w:rsid w:val="00DB619D"/>
    <w:rsid w:val="00DC0F60"/>
    <w:rsid w:val="00DC3705"/>
    <w:rsid w:val="00DC4B74"/>
    <w:rsid w:val="00DD0773"/>
    <w:rsid w:val="00DD5184"/>
    <w:rsid w:val="00DD6575"/>
    <w:rsid w:val="00DE1403"/>
    <w:rsid w:val="00DE2E3C"/>
    <w:rsid w:val="00DE5D01"/>
    <w:rsid w:val="00DF0EFD"/>
    <w:rsid w:val="00E00481"/>
    <w:rsid w:val="00E00DC7"/>
    <w:rsid w:val="00E03906"/>
    <w:rsid w:val="00E11197"/>
    <w:rsid w:val="00E15AD4"/>
    <w:rsid w:val="00E271E3"/>
    <w:rsid w:val="00E27E2F"/>
    <w:rsid w:val="00E355F4"/>
    <w:rsid w:val="00E43CB5"/>
    <w:rsid w:val="00E444C8"/>
    <w:rsid w:val="00E4525D"/>
    <w:rsid w:val="00E46C76"/>
    <w:rsid w:val="00E536DB"/>
    <w:rsid w:val="00E53D55"/>
    <w:rsid w:val="00E5503F"/>
    <w:rsid w:val="00E55E3C"/>
    <w:rsid w:val="00E61468"/>
    <w:rsid w:val="00E62873"/>
    <w:rsid w:val="00E63147"/>
    <w:rsid w:val="00E70AE6"/>
    <w:rsid w:val="00E71C96"/>
    <w:rsid w:val="00E72C22"/>
    <w:rsid w:val="00E730C2"/>
    <w:rsid w:val="00E85993"/>
    <w:rsid w:val="00E85A74"/>
    <w:rsid w:val="00E864E4"/>
    <w:rsid w:val="00E872F2"/>
    <w:rsid w:val="00E87E39"/>
    <w:rsid w:val="00E9083B"/>
    <w:rsid w:val="00E9137F"/>
    <w:rsid w:val="00E969E5"/>
    <w:rsid w:val="00E96C57"/>
    <w:rsid w:val="00EA19DD"/>
    <w:rsid w:val="00EA3C13"/>
    <w:rsid w:val="00EA5291"/>
    <w:rsid w:val="00EA6197"/>
    <w:rsid w:val="00EA7660"/>
    <w:rsid w:val="00EA7BE3"/>
    <w:rsid w:val="00EB3265"/>
    <w:rsid w:val="00EB5199"/>
    <w:rsid w:val="00EC457D"/>
    <w:rsid w:val="00EC4B17"/>
    <w:rsid w:val="00EC51FD"/>
    <w:rsid w:val="00EC67AD"/>
    <w:rsid w:val="00EC7E61"/>
    <w:rsid w:val="00ED745D"/>
    <w:rsid w:val="00EE3497"/>
    <w:rsid w:val="00EE3EAC"/>
    <w:rsid w:val="00EE6DEA"/>
    <w:rsid w:val="00EE7091"/>
    <w:rsid w:val="00EF11E0"/>
    <w:rsid w:val="00EF7F92"/>
    <w:rsid w:val="00F01996"/>
    <w:rsid w:val="00F02E64"/>
    <w:rsid w:val="00F1384A"/>
    <w:rsid w:val="00F1507E"/>
    <w:rsid w:val="00F1541E"/>
    <w:rsid w:val="00F21664"/>
    <w:rsid w:val="00F23645"/>
    <w:rsid w:val="00F25479"/>
    <w:rsid w:val="00F26F45"/>
    <w:rsid w:val="00F270B4"/>
    <w:rsid w:val="00F335AD"/>
    <w:rsid w:val="00F34245"/>
    <w:rsid w:val="00F45B8C"/>
    <w:rsid w:val="00F50082"/>
    <w:rsid w:val="00F531B3"/>
    <w:rsid w:val="00F534D6"/>
    <w:rsid w:val="00F55280"/>
    <w:rsid w:val="00F609C8"/>
    <w:rsid w:val="00F60C49"/>
    <w:rsid w:val="00F61EFC"/>
    <w:rsid w:val="00F62020"/>
    <w:rsid w:val="00F62791"/>
    <w:rsid w:val="00F66602"/>
    <w:rsid w:val="00F72609"/>
    <w:rsid w:val="00F8106A"/>
    <w:rsid w:val="00F854F5"/>
    <w:rsid w:val="00F87FB4"/>
    <w:rsid w:val="00F94DEB"/>
    <w:rsid w:val="00F95598"/>
    <w:rsid w:val="00FA040E"/>
    <w:rsid w:val="00FA0567"/>
    <w:rsid w:val="00FA1B2B"/>
    <w:rsid w:val="00FA76C3"/>
    <w:rsid w:val="00FB0A73"/>
    <w:rsid w:val="00FB74D8"/>
    <w:rsid w:val="00FC27C1"/>
    <w:rsid w:val="00FC35E0"/>
    <w:rsid w:val="00FC5DA4"/>
    <w:rsid w:val="00FC7E47"/>
    <w:rsid w:val="00FD18A6"/>
    <w:rsid w:val="00FD2979"/>
    <w:rsid w:val="00FE535B"/>
    <w:rsid w:val="00FE5EFD"/>
    <w:rsid w:val="00FE6224"/>
    <w:rsid w:val="00FE7AF0"/>
    <w:rsid w:val="00FF01F3"/>
    <w:rsid w:val="00FF48D6"/>
    <w:rsid w:val="00FF5189"/>
    <w:rsid w:val="00FF614D"/>
    <w:rsid w:val="00FF6D06"/>
    <w:rsid w:val="01617054"/>
    <w:rsid w:val="03FD6233"/>
    <w:rsid w:val="03FECA24"/>
    <w:rsid w:val="04BF7715"/>
    <w:rsid w:val="04D72BD5"/>
    <w:rsid w:val="05FF5384"/>
    <w:rsid w:val="07F4CAC0"/>
    <w:rsid w:val="080F04E4"/>
    <w:rsid w:val="0975631D"/>
    <w:rsid w:val="0A87637F"/>
    <w:rsid w:val="0B5B6518"/>
    <w:rsid w:val="0C8EBE2F"/>
    <w:rsid w:val="0D6A190E"/>
    <w:rsid w:val="0D6ED8FE"/>
    <w:rsid w:val="0DFBA2D0"/>
    <w:rsid w:val="0E9B848C"/>
    <w:rsid w:val="0ECF6755"/>
    <w:rsid w:val="0F402A84"/>
    <w:rsid w:val="0FBFFA1B"/>
    <w:rsid w:val="0FC7F2B4"/>
    <w:rsid w:val="0FEBE8B2"/>
    <w:rsid w:val="118C38F0"/>
    <w:rsid w:val="13BF5DAD"/>
    <w:rsid w:val="13CDDE72"/>
    <w:rsid w:val="13E1E434"/>
    <w:rsid w:val="175FCB87"/>
    <w:rsid w:val="17BDE0B7"/>
    <w:rsid w:val="17BF7241"/>
    <w:rsid w:val="17F55369"/>
    <w:rsid w:val="18ED0F76"/>
    <w:rsid w:val="19311865"/>
    <w:rsid w:val="1937D7E5"/>
    <w:rsid w:val="19EDB001"/>
    <w:rsid w:val="1ADF09E3"/>
    <w:rsid w:val="1AF24A26"/>
    <w:rsid w:val="1BD33452"/>
    <w:rsid w:val="1BEB6640"/>
    <w:rsid w:val="1BFD872B"/>
    <w:rsid w:val="1CFEC0F1"/>
    <w:rsid w:val="1DAF0140"/>
    <w:rsid w:val="1EBFA404"/>
    <w:rsid w:val="1EED0777"/>
    <w:rsid w:val="1EEF24D1"/>
    <w:rsid w:val="1EF7A5A9"/>
    <w:rsid w:val="1EFF974C"/>
    <w:rsid w:val="1EFFC5A6"/>
    <w:rsid w:val="1EFFF465"/>
    <w:rsid w:val="1F54DB20"/>
    <w:rsid w:val="1F5FB9AD"/>
    <w:rsid w:val="1F6DB827"/>
    <w:rsid w:val="1FDB1EC5"/>
    <w:rsid w:val="1FF78A7D"/>
    <w:rsid w:val="1FFF424E"/>
    <w:rsid w:val="20F849A0"/>
    <w:rsid w:val="22EE115D"/>
    <w:rsid w:val="237B21F8"/>
    <w:rsid w:val="23E9365C"/>
    <w:rsid w:val="23F9C932"/>
    <w:rsid w:val="23FE4233"/>
    <w:rsid w:val="25EE7428"/>
    <w:rsid w:val="27772B81"/>
    <w:rsid w:val="27BE72E1"/>
    <w:rsid w:val="27DB32B9"/>
    <w:rsid w:val="27F64451"/>
    <w:rsid w:val="27FFA76E"/>
    <w:rsid w:val="28834FAE"/>
    <w:rsid w:val="297C513B"/>
    <w:rsid w:val="2AFF2431"/>
    <w:rsid w:val="2B426C9F"/>
    <w:rsid w:val="2BBA19E1"/>
    <w:rsid w:val="2BBDC055"/>
    <w:rsid w:val="2BFFB386"/>
    <w:rsid w:val="2CAB4095"/>
    <w:rsid w:val="2CFFDD42"/>
    <w:rsid w:val="2DBECC4A"/>
    <w:rsid w:val="2DFF2CEB"/>
    <w:rsid w:val="2EDCD09D"/>
    <w:rsid w:val="2F6744A3"/>
    <w:rsid w:val="2F774B79"/>
    <w:rsid w:val="2F7FCA3C"/>
    <w:rsid w:val="2F87139F"/>
    <w:rsid w:val="2FAF06CB"/>
    <w:rsid w:val="2FBFAC98"/>
    <w:rsid w:val="2FCF1E3C"/>
    <w:rsid w:val="2FFA56CB"/>
    <w:rsid w:val="2FFE0A1D"/>
    <w:rsid w:val="307F9A06"/>
    <w:rsid w:val="31A0D86A"/>
    <w:rsid w:val="31E7D315"/>
    <w:rsid w:val="31E7FEE3"/>
    <w:rsid w:val="31EF73E6"/>
    <w:rsid w:val="327E1194"/>
    <w:rsid w:val="32E3EE3D"/>
    <w:rsid w:val="32F8D75D"/>
    <w:rsid w:val="335A2C95"/>
    <w:rsid w:val="33FDDF25"/>
    <w:rsid w:val="34EF3C84"/>
    <w:rsid w:val="34FD735A"/>
    <w:rsid w:val="357D855B"/>
    <w:rsid w:val="35B7F978"/>
    <w:rsid w:val="35BF4692"/>
    <w:rsid w:val="35FF587C"/>
    <w:rsid w:val="36BF067A"/>
    <w:rsid w:val="36FF504A"/>
    <w:rsid w:val="371265F2"/>
    <w:rsid w:val="377FBBB7"/>
    <w:rsid w:val="37B75600"/>
    <w:rsid w:val="37CD1A92"/>
    <w:rsid w:val="37CF9CB1"/>
    <w:rsid w:val="37DF949A"/>
    <w:rsid w:val="37EDB537"/>
    <w:rsid w:val="37EF33F5"/>
    <w:rsid w:val="37EFAE77"/>
    <w:rsid w:val="37F7ADEF"/>
    <w:rsid w:val="387E32E1"/>
    <w:rsid w:val="388FACDA"/>
    <w:rsid w:val="38CEF9FC"/>
    <w:rsid w:val="39673B39"/>
    <w:rsid w:val="3979277B"/>
    <w:rsid w:val="39DFCDFF"/>
    <w:rsid w:val="3AB20CF9"/>
    <w:rsid w:val="3ADD16C6"/>
    <w:rsid w:val="3AED7FC4"/>
    <w:rsid w:val="3AFF462C"/>
    <w:rsid w:val="3AFFCBC2"/>
    <w:rsid w:val="3BB7C162"/>
    <w:rsid w:val="3BC79264"/>
    <w:rsid w:val="3BCF8025"/>
    <w:rsid w:val="3BEDA8A2"/>
    <w:rsid w:val="3BEDCCB7"/>
    <w:rsid w:val="3BEE42E2"/>
    <w:rsid w:val="3BEFF7C7"/>
    <w:rsid w:val="3BF6B54E"/>
    <w:rsid w:val="3BF74FCD"/>
    <w:rsid w:val="3BF9E799"/>
    <w:rsid w:val="3BFA947F"/>
    <w:rsid w:val="3C7E7976"/>
    <w:rsid w:val="3C7FB4F8"/>
    <w:rsid w:val="3CBB7E2E"/>
    <w:rsid w:val="3CDF92D6"/>
    <w:rsid w:val="3CDFB703"/>
    <w:rsid w:val="3D3692F5"/>
    <w:rsid w:val="3D6D2F03"/>
    <w:rsid w:val="3D6E14FD"/>
    <w:rsid w:val="3DBEE9A8"/>
    <w:rsid w:val="3DDD7ABD"/>
    <w:rsid w:val="3DF69E3B"/>
    <w:rsid w:val="3DFF0F82"/>
    <w:rsid w:val="3DFFF1A7"/>
    <w:rsid w:val="3E2FA3A7"/>
    <w:rsid w:val="3E3F8CAE"/>
    <w:rsid w:val="3EDB1FB3"/>
    <w:rsid w:val="3EF7A335"/>
    <w:rsid w:val="3EFBF96C"/>
    <w:rsid w:val="3EFF2F82"/>
    <w:rsid w:val="3F1F1632"/>
    <w:rsid w:val="3F3B5AA1"/>
    <w:rsid w:val="3F3E7C14"/>
    <w:rsid w:val="3F3FE443"/>
    <w:rsid w:val="3F57C50E"/>
    <w:rsid w:val="3F5D679C"/>
    <w:rsid w:val="3F6FE849"/>
    <w:rsid w:val="3F7E8B5F"/>
    <w:rsid w:val="3F7ECF2F"/>
    <w:rsid w:val="3F850CD8"/>
    <w:rsid w:val="3FBD24B2"/>
    <w:rsid w:val="3FBEF6E4"/>
    <w:rsid w:val="3FBF4461"/>
    <w:rsid w:val="3FCC4E99"/>
    <w:rsid w:val="3FCFC42C"/>
    <w:rsid w:val="3FD110C1"/>
    <w:rsid w:val="3FD5387F"/>
    <w:rsid w:val="3FD7D0F7"/>
    <w:rsid w:val="3FE766B1"/>
    <w:rsid w:val="3FE7AAE7"/>
    <w:rsid w:val="3FF759BB"/>
    <w:rsid w:val="3FFAB5DE"/>
    <w:rsid w:val="3FFB14B0"/>
    <w:rsid w:val="3FFB3E64"/>
    <w:rsid w:val="3FFB7251"/>
    <w:rsid w:val="3FFE09DB"/>
    <w:rsid w:val="3FFF1E02"/>
    <w:rsid w:val="3FFFF997"/>
    <w:rsid w:val="4355F141"/>
    <w:rsid w:val="446F6198"/>
    <w:rsid w:val="449D395A"/>
    <w:rsid w:val="46CC20B1"/>
    <w:rsid w:val="46DF4403"/>
    <w:rsid w:val="46EE10A3"/>
    <w:rsid w:val="46F72D54"/>
    <w:rsid w:val="475F2FF8"/>
    <w:rsid w:val="47BA7E1E"/>
    <w:rsid w:val="47DE3EA7"/>
    <w:rsid w:val="47ED286A"/>
    <w:rsid w:val="47F5CCF1"/>
    <w:rsid w:val="47FF4C68"/>
    <w:rsid w:val="4AA55438"/>
    <w:rsid w:val="4B7C357A"/>
    <w:rsid w:val="4BB64510"/>
    <w:rsid w:val="4BBB1789"/>
    <w:rsid w:val="4BD76BAC"/>
    <w:rsid w:val="4BFFDA65"/>
    <w:rsid w:val="4DDBD69E"/>
    <w:rsid w:val="4DF7CF85"/>
    <w:rsid w:val="4E614DB4"/>
    <w:rsid w:val="4F2D521A"/>
    <w:rsid w:val="4F3F081E"/>
    <w:rsid w:val="4F708015"/>
    <w:rsid w:val="4FB05370"/>
    <w:rsid w:val="4FBEACBA"/>
    <w:rsid w:val="4FBF1DE3"/>
    <w:rsid w:val="4FDD2E4F"/>
    <w:rsid w:val="4FEC76EF"/>
    <w:rsid w:val="4FEFE962"/>
    <w:rsid w:val="4FF37BB7"/>
    <w:rsid w:val="4FF79B4E"/>
    <w:rsid w:val="4FFAC840"/>
    <w:rsid w:val="4FFFE735"/>
    <w:rsid w:val="51F7CD5F"/>
    <w:rsid w:val="5231383A"/>
    <w:rsid w:val="52E72486"/>
    <w:rsid w:val="52FB6C78"/>
    <w:rsid w:val="533F88E4"/>
    <w:rsid w:val="53AEF7EE"/>
    <w:rsid w:val="53D7224A"/>
    <w:rsid w:val="53EFE7B4"/>
    <w:rsid w:val="543FD237"/>
    <w:rsid w:val="5456ADCF"/>
    <w:rsid w:val="547F719E"/>
    <w:rsid w:val="54CDB972"/>
    <w:rsid w:val="54DB1282"/>
    <w:rsid w:val="54E74C12"/>
    <w:rsid w:val="54F7EE4A"/>
    <w:rsid w:val="555E4999"/>
    <w:rsid w:val="55651104"/>
    <w:rsid w:val="55EA39AC"/>
    <w:rsid w:val="55F1D0B4"/>
    <w:rsid w:val="567BF25F"/>
    <w:rsid w:val="567F9A32"/>
    <w:rsid w:val="56BEA360"/>
    <w:rsid w:val="56F717DB"/>
    <w:rsid w:val="56FF24E5"/>
    <w:rsid w:val="56FF6159"/>
    <w:rsid w:val="5734406F"/>
    <w:rsid w:val="57763A75"/>
    <w:rsid w:val="57DD7842"/>
    <w:rsid w:val="57E98872"/>
    <w:rsid w:val="57EA7DF7"/>
    <w:rsid w:val="57EB7694"/>
    <w:rsid w:val="57F6CEBE"/>
    <w:rsid w:val="57FC77CD"/>
    <w:rsid w:val="585DE389"/>
    <w:rsid w:val="59C35FE3"/>
    <w:rsid w:val="59FD4B2B"/>
    <w:rsid w:val="59FDC848"/>
    <w:rsid w:val="59FE1829"/>
    <w:rsid w:val="5A578E22"/>
    <w:rsid w:val="5AED2F16"/>
    <w:rsid w:val="5AFF8092"/>
    <w:rsid w:val="5B3D2200"/>
    <w:rsid w:val="5B6FC649"/>
    <w:rsid w:val="5B7B8CAE"/>
    <w:rsid w:val="5BCF1086"/>
    <w:rsid w:val="5BDD2FE4"/>
    <w:rsid w:val="5BDE973D"/>
    <w:rsid w:val="5BDFED82"/>
    <w:rsid w:val="5BEDC226"/>
    <w:rsid w:val="5BFDE532"/>
    <w:rsid w:val="5BFF44D2"/>
    <w:rsid w:val="5C8D88FF"/>
    <w:rsid w:val="5CFDCCC7"/>
    <w:rsid w:val="5CFEAEED"/>
    <w:rsid w:val="5D5F525D"/>
    <w:rsid w:val="5D9F37FB"/>
    <w:rsid w:val="5DBF524C"/>
    <w:rsid w:val="5DCF4648"/>
    <w:rsid w:val="5DDEC59F"/>
    <w:rsid w:val="5DEBFF83"/>
    <w:rsid w:val="5DF623FF"/>
    <w:rsid w:val="5DFB2467"/>
    <w:rsid w:val="5DFB3D82"/>
    <w:rsid w:val="5DFBC89B"/>
    <w:rsid w:val="5E1FB625"/>
    <w:rsid w:val="5E5FBFB6"/>
    <w:rsid w:val="5E69665D"/>
    <w:rsid w:val="5E8B8704"/>
    <w:rsid w:val="5ECF9A41"/>
    <w:rsid w:val="5EE20294"/>
    <w:rsid w:val="5EE75807"/>
    <w:rsid w:val="5EEB5492"/>
    <w:rsid w:val="5EF5442E"/>
    <w:rsid w:val="5F3C2E8C"/>
    <w:rsid w:val="5F3F714C"/>
    <w:rsid w:val="5F4F1E19"/>
    <w:rsid w:val="5F6C5B58"/>
    <w:rsid w:val="5F6EA5BA"/>
    <w:rsid w:val="5F9353B4"/>
    <w:rsid w:val="5FA7E56D"/>
    <w:rsid w:val="5FABB0C5"/>
    <w:rsid w:val="5FB7E624"/>
    <w:rsid w:val="5FC6E95F"/>
    <w:rsid w:val="5FCF15F8"/>
    <w:rsid w:val="5FCF4A17"/>
    <w:rsid w:val="5FD352A7"/>
    <w:rsid w:val="5FD533B2"/>
    <w:rsid w:val="5FD58E60"/>
    <w:rsid w:val="5FD871EC"/>
    <w:rsid w:val="5FDB497E"/>
    <w:rsid w:val="5FDB81F2"/>
    <w:rsid w:val="5FEF2FD5"/>
    <w:rsid w:val="5FEF7391"/>
    <w:rsid w:val="5FEF9826"/>
    <w:rsid w:val="5FF142DA"/>
    <w:rsid w:val="5FFA15D5"/>
    <w:rsid w:val="5FFA5E60"/>
    <w:rsid w:val="5FFAD372"/>
    <w:rsid w:val="5FFD4D70"/>
    <w:rsid w:val="61AF3D76"/>
    <w:rsid w:val="61D37311"/>
    <w:rsid w:val="63FE2398"/>
    <w:rsid w:val="63FF8A98"/>
    <w:rsid w:val="64A10EFC"/>
    <w:rsid w:val="657CA567"/>
    <w:rsid w:val="65CB955D"/>
    <w:rsid w:val="65EE8F23"/>
    <w:rsid w:val="65FE06B4"/>
    <w:rsid w:val="66AFE7C0"/>
    <w:rsid w:val="66DA5B44"/>
    <w:rsid w:val="66EF56B0"/>
    <w:rsid w:val="67B775AF"/>
    <w:rsid w:val="67BDAC26"/>
    <w:rsid w:val="67BF6B8D"/>
    <w:rsid w:val="67CBE482"/>
    <w:rsid w:val="67DB8204"/>
    <w:rsid w:val="67DD4155"/>
    <w:rsid w:val="67EF587C"/>
    <w:rsid w:val="67FF0212"/>
    <w:rsid w:val="67FF340C"/>
    <w:rsid w:val="67FFCED6"/>
    <w:rsid w:val="68DB932F"/>
    <w:rsid w:val="697D16B6"/>
    <w:rsid w:val="699699B1"/>
    <w:rsid w:val="6A5366D5"/>
    <w:rsid w:val="6ABD31FB"/>
    <w:rsid w:val="6AC53F49"/>
    <w:rsid w:val="6AD903BC"/>
    <w:rsid w:val="6B6F78A3"/>
    <w:rsid w:val="6B7B65C8"/>
    <w:rsid w:val="6B7E61BA"/>
    <w:rsid w:val="6B7E92DB"/>
    <w:rsid w:val="6BB5FECC"/>
    <w:rsid w:val="6BBE71F6"/>
    <w:rsid w:val="6BBF4630"/>
    <w:rsid w:val="6BD51720"/>
    <w:rsid w:val="6BDF4A00"/>
    <w:rsid w:val="6BDFE5D9"/>
    <w:rsid w:val="6BEF583A"/>
    <w:rsid w:val="6BEF893E"/>
    <w:rsid w:val="6CDACFA9"/>
    <w:rsid w:val="6CEB3322"/>
    <w:rsid w:val="6CF42DCB"/>
    <w:rsid w:val="6D34E869"/>
    <w:rsid w:val="6D5537DB"/>
    <w:rsid w:val="6D8A7E91"/>
    <w:rsid w:val="6DAF6B5E"/>
    <w:rsid w:val="6DEFF41C"/>
    <w:rsid w:val="6DF03D5D"/>
    <w:rsid w:val="6DF6CFA0"/>
    <w:rsid w:val="6DFE3428"/>
    <w:rsid w:val="6DFFE02F"/>
    <w:rsid w:val="6E2AEFCC"/>
    <w:rsid w:val="6E2D5D66"/>
    <w:rsid w:val="6E37F56A"/>
    <w:rsid w:val="6E5F67AA"/>
    <w:rsid w:val="6E697415"/>
    <w:rsid w:val="6EBE216F"/>
    <w:rsid w:val="6EE73A44"/>
    <w:rsid w:val="6EE9679F"/>
    <w:rsid w:val="6EEDDA4A"/>
    <w:rsid w:val="6EF39E84"/>
    <w:rsid w:val="6EF736ED"/>
    <w:rsid w:val="6EFF8EF7"/>
    <w:rsid w:val="6F273D87"/>
    <w:rsid w:val="6F3B5D30"/>
    <w:rsid w:val="6F4FE53E"/>
    <w:rsid w:val="6F6B834D"/>
    <w:rsid w:val="6F6DAE5B"/>
    <w:rsid w:val="6F752CEC"/>
    <w:rsid w:val="6F77B270"/>
    <w:rsid w:val="6F944B2A"/>
    <w:rsid w:val="6FBB0424"/>
    <w:rsid w:val="6FD97685"/>
    <w:rsid w:val="6FDD9EA0"/>
    <w:rsid w:val="6FDDC880"/>
    <w:rsid w:val="6FDF8F81"/>
    <w:rsid w:val="6FE30577"/>
    <w:rsid w:val="6FED00F5"/>
    <w:rsid w:val="6FEE79D7"/>
    <w:rsid w:val="6FEF5B94"/>
    <w:rsid w:val="6FF3EA1E"/>
    <w:rsid w:val="6FF5B26A"/>
    <w:rsid w:val="6FFE42C8"/>
    <w:rsid w:val="6FFF3E59"/>
    <w:rsid w:val="6FFF3FC0"/>
    <w:rsid w:val="6FFF4DCE"/>
    <w:rsid w:val="6FFF58EA"/>
    <w:rsid w:val="70064A8A"/>
    <w:rsid w:val="7137C9F3"/>
    <w:rsid w:val="71EE0919"/>
    <w:rsid w:val="727B4D69"/>
    <w:rsid w:val="72BF404B"/>
    <w:rsid w:val="72BF7F08"/>
    <w:rsid w:val="72E9EE00"/>
    <w:rsid w:val="739FFB77"/>
    <w:rsid w:val="73AFF2B0"/>
    <w:rsid w:val="73EFD223"/>
    <w:rsid w:val="73F7D2E0"/>
    <w:rsid w:val="73FBDB4E"/>
    <w:rsid w:val="743F6C31"/>
    <w:rsid w:val="74BB2C06"/>
    <w:rsid w:val="74BF8AF6"/>
    <w:rsid w:val="74F6DD3A"/>
    <w:rsid w:val="74FF2FE9"/>
    <w:rsid w:val="753C6E4F"/>
    <w:rsid w:val="75B025B7"/>
    <w:rsid w:val="75DFF3C6"/>
    <w:rsid w:val="75ED1EA7"/>
    <w:rsid w:val="75F7FF0C"/>
    <w:rsid w:val="75FAF640"/>
    <w:rsid w:val="75FB852D"/>
    <w:rsid w:val="75FBA5FF"/>
    <w:rsid w:val="75FF3409"/>
    <w:rsid w:val="75FF3B38"/>
    <w:rsid w:val="75FF4808"/>
    <w:rsid w:val="765F9002"/>
    <w:rsid w:val="76885A64"/>
    <w:rsid w:val="76B56C36"/>
    <w:rsid w:val="76BEDBDB"/>
    <w:rsid w:val="76CBA88F"/>
    <w:rsid w:val="76DFD783"/>
    <w:rsid w:val="76E9BE08"/>
    <w:rsid w:val="76EDD4B7"/>
    <w:rsid w:val="76EFA4D7"/>
    <w:rsid w:val="76F97A9D"/>
    <w:rsid w:val="76FF30E1"/>
    <w:rsid w:val="76FF4C6B"/>
    <w:rsid w:val="76FF7AA3"/>
    <w:rsid w:val="76FFE749"/>
    <w:rsid w:val="77469588"/>
    <w:rsid w:val="775F0F64"/>
    <w:rsid w:val="775FD645"/>
    <w:rsid w:val="7767ACA0"/>
    <w:rsid w:val="776E3FCB"/>
    <w:rsid w:val="777252E9"/>
    <w:rsid w:val="777EB764"/>
    <w:rsid w:val="77ABFA51"/>
    <w:rsid w:val="77BD8A3B"/>
    <w:rsid w:val="77BE4579"/>
    <w:rsid w:val="77BF22F6"/>
    <w:rsid w:val="77CD8939"/>
    <w:rsid w:val="77CFEE68"/>
    <w:rsid w:val="77DF4D66"/>
    <w:rsid w:val="77E5CF05"/>
    <w:rsid w:val="77E8FD5E"/>
    <w:rsid w:val="77EDFB7E"/>
    <w:rsid w:val="77EEF160"/>
    <w:rsid w:val="77EF93D4"/>
    <w:rsid w:val="77F2593F"/>
    <w:rsid w:val="77F98C65"/>
    <w:rsid w:val="77FA22D7"/>
    <w:rsid w:val="77FB0740"/>
    <w:rsid w:val="77FBA4F3"/>
    <w:rsid w:val="77FBC721"/>
    <w:rsid w:val="77FD5F6B"/>
    <w:rsid w:val="77FF4F5F"/>
    <w:rsid w:val="77FF736E"/>
    <w:rsid w:val="78CC51DC"/>
    <w:rsid w:val="78E7FA49"/>
    <w:rsid w:val="790F61BA"/>
    <w:rsid w:val="79D47E0B"/>
    <w:rsid w:val="79DB1AE3"/>
    <w:rsid w:val="79DBFAE7"/>
    <w:rsid w:val="79EF8013"/>
    <w:rsid w:val="79F5BB04"/>
    <w:rsid w:val="79FBEC19"/>
    <w:rsid w:val="79FD3E54"/>
    <w:rsid w:val="79FF0BE5"/>
    <w:rsid w:val="79FF3390"/>
    <w:rsid w:val="79FFBFB5"/>
    <w:rsid w:val="7A17211E"/>
    <w:rsid w:val="7A6F11FB"/>
    <w:rsid w:val="7A7A226C"/>
    <w:rsid w:val="7AB8427D"/>
    <w:rsid w:val="7AB9684C"/>
    <w:rsid w:val="7AC6CDA2"/>
    <w:rsid w:val="7AD34EE8"/>
    <w:rsid w:val="7AE62CE7"/>
    <w:rsid w:val="7AF69EEB"/>
    <w:rsid w:val="7AFB3F8C"/>
    <w:rsid w:val="7AFF197C"/>
    <w:rsid w:val="7AFF7C7A"/>
    <w:rsid w:val="7B1B3176"/>
    <w:rsid w:val="7B1BE903"/>
    <w:rsid w:val="7B27C8CE"/>
    <w:rsid w:val="7B3F6955"/>
    <w:rsid w:val="7B59D688"/>
    <w:rsid w:val="7B6709B1"/>
    <w:rsid w:val="7B6BD23A"/>
    <w:rsid w:val="7B7B7E75"/>
    <w:rsid w:val="7B7C9F16"/>
    <w:rsid w:val="7B7CF4C0"/>
    <w:rsid w:val="7BBB8D66"/>
    <w:rsid w:val="7BBDFADE"/>
    <w:rsid w:val="7BBE2A54"/>
    <w:rsid w:val="7BBEF88D"/>
    <w:rsid w:val="7BCEF75A"/>
    <w:rsid w:val="7BCF527B"/>
    <w:rsid w:val="7BCFEFF3"/>
    <w:rsid w:val="7BDE2740"/>
    <w:rsid w:val="7BEF6243"/>
    <w:rsid w:val="7BF720DB"/>
    <w:rsid w:val="7BF751A3"/>
    <w:rsid w:val="7BF759EB"/>
    <w:rsid w:val="7BFA6474"/>
    <w:rsid w:val="7BFB4053"/>
    <w:rsid w:val="7BFC3110"/>
    <w:rsid w:val="7BFE5AE3"/>
    <w:rsid w:val="7BFE6EA5"/>
    <w:rsid w:val="7BFE7624"/>
    <w:rsid w:val="7BFEB7E2"/>
    <w:rsid w:val="7BFF04F8"/>
    <w:rsid w:val="7BFF897D"/>
    <w:rsid w:val="7BFFFAB8"/>
    <w:rsid w:val="7C6EBB48"/>
    <w:rsid w:val="7C7E5750"/>
    <w:rsid w:val="7C7EC642"/>
    <w:rsid w:val="7C8FB977"/>
    <w:rsid w:val="7C9D52D6"/>
    <w:rsid w:val="7CA74695"/>
    <w:rsid w:val="7CAF9755"/>
    <w:rsid w:val="7CBA3D0E"/>
    <w:rsid w:val="7CD7C18E"/>
    <w:rsid w:val="7CDE23AA"/>
    <w:rsid w:val="7CEF7E1A"/>
    <w:rsid w:val="7CF4748F"/>
    <w:rsid w:val="7CFC2639"/>
    <w:rsid w:val="7CFFBAE9"/>
    <w:rsid w:val="7D3337AC"/>
    <w:rsid w:val="7D3F29CC"/>
    <w:rsid w:val="7D5A1671"/>
    <w:rsid w:val="7D7E2224"/>
    <w:rsid w:val="7D7E5ED7"/>
    <w:rsid w:val="7D9E28CF"/>
    <w:rsid w:val="7DB54F19"/>
    <w:rsid w:val="7DBE5BE0"/>
    <w:rsid w:val="7DD586A7"/>
    <w:rsid w:val="7DD78A3A"/>
    <w:rsid w:val="7DE6B79E"/>
    <w:rsid w:val="7DEF8E0D"/>
    <w:rsid w:val="7DF383AF"/>
    <w:rsid w:val="7DF447EE"/>
    <w:rsid w:val="7DF46CB1"/>
    <w:rsid w:val="7DF6EB3D"/>
    <w:rsid w:val="7DF71714"/>
    <w:rsid w:val="7DF7EB43"/>
    <w:rsid w:val="7DFB850D"/>
    <w:rsid w:val="7DFDAB90"/>
    <w:rsid w:val="7DFF8A72"/>
    <w:rsid w:val="7DFFA802"/>
    <w:rsid w:val="7DFFB2BC"/>
    <w:rsid w:val="7E4C3A44"/>
    <w:rsid w:val="7E57FDEA"/>
    <w:rsid w:val="7E7766C4"/>
    <w:rsid w:val="7E7C1AF3"/>
    <w:rsid w:val="7EAF1E64"/>
    <w:rsid w:val="7EB3EBC1"/>
    <w:rsid w:val="7EB78124"/>
    <w:rsid w:val="7EDE9EEA"/>
    <w:rsid w:val="7EDFF9A9"/>
    <w:rsid w:val="7EF7A465"/>
    <w:rsid w:val="7EF7BF15"/>
    <w:rsid w:val="7EFC9D0E"/>
    <w:rsid w:val="7EFCC33B"/>
    <w:rsid w:val="7EFF239E"/>
    <w:rsid w:val="7EFF71E4"/>
    <w:rsid w:val="7EFFA1E6"/>
    <w:rsid w:val="7EFFBE28"/>
    <w:rsid w:val="7EFFD019"/>
    <w:rsid w:val="7EFFD10C"/>
    <w:rsid w:val="7F1A34C8"/>
    <w:rsid w:val="7F1DDA85"/>
    <w:rsid w:val="7F2FC58A"/>
    <w:rsid w:val="7F5B3080"/>
    <w:rsid w:val="7F63DD95"/>
    <w:rsid w:val="7F68F708"/>
    <w:rsid w:val="7F69F5AD"/>
    <w:rsid w:val="7F6BBE08"/>
    <w:rsid w:val="7F6BE879"/>
    <w:rsid w:val="7F6E92A3"/>
    <w:rsid w:val="7F6F567D"/>
    <w:rsid w:val="7F6F9027"/>
    <w:rsid w:val="7F73120A"/>
    <w:rsid w:val="7F775E90"/>
    <w:rsid w:val="7F7B0611"/>
    <w:rsid w:val="7F7C6F75"/>
    <w:rsid w:val="7F7CA03E"/>
    <w:rsid w:val="7F7DCBDE"/>
    <w:rsid w:val="7F7EB272"/>
    <w:rsid w:val="7F7EDD3F"/>
    <w:rsid w:val="7F7EFD20"/>
    <w:rsid w:val="7F7F6585"/>
    <w:rsid w:val="7F7F6971"/>
    <w:rsid w:val="7F9CEE26"/>
    <w:rsid w:val="7FA5F992"/>
    <w:rsid w:val="7FAE6E4B"/>
    <w:rsid w:val="7FB63681"/>
    <w:rsid w:val="7FB71BF0"/>
    <w:rsid w:val="7FB7DF0D"/>
    <w:rsid w:val="7FB7E069"/>
    <w:rsid w:val="7FBA2AD5"/>
    <w:rsid w:val="7FBAA09F"/>
    <w:rsid w:val="7FBD42B7"/>
    <w:rsid w:val="7FBDD404"/>
    <w:rsid w:val="7FBEAF09"/>
    <w:rsid w:val="7FBF8CB7"/>
    <w:rsid w:val="7FCD99E7"/>
    <w:rsid w:val="7FD75B80"/>
    <w:rsid w:val="7FD77269"/>
    <w:rsid w:val="7FDCE172"/>
    <w:rsid w:val="7FDF7C4C"/>
    <w:rsid w:val="7FDFB824"/>
    <w:rsid w:val="7FE8E232"/>
    <w:rsid w:val="7FEBBFEF"/>
    <w:rsid w:val="7FECE753"/>
    <w:rsid w:val="7FED4758"/>
    <w:rsid w:val="7FED5235"/>
    <w:rsid w:val="7FED8FEA"/>
    <w:rsid w:val="7FEEAC7D"/>
    <w:rsid w:val="7FEEBD90"/>
    <w:rsid w:val="7FEEC322"/>
    <w:rsid w:val="7FEF036B"/>
    <w:rsid w:val="7FEFC11D"/>
    <w:rsid w:val="7FEFE8D9"/>
    <w:rsid w:val="7FF1E9B1"/>
    <w:rsid w:val="7FF3AFDE"/>
    <w:rsid w:val="7FF3B16D"/>
    <w:rsid w:val="7FF6C314"/>
    <w:rsid w:val="7FF79D7C"/>
    <w:rsid w:val="7FF7ED06"/>
    <w:rsid w:val="7FF933BF"/>
    <w:rsid w:val="7FF97C7D"/>
    <w:rsid w:val="7FFB4FEC"/>
    <w:rsid w:val="7FFB9109"/>
    <w:rsid w:val="7FFD4CE7"/>
    <w:rsid w:val="7FFD4DBC"/>
    <w:rsid w:val="7FFD569B"/>
    <w:rsid w:val="7FFD8E4C"/>
    <w:rsid w:val="7FFDE83B"/>
    <w:rsid w:val="7FFDE86D"/>
    <w:rsid w:val="7FFE2F30"/>
    <w:rsid w:val="7FFE821D"/>
    <w:rsid w:val="7FFEBD08"/>
    <w:rsid w:val="7FFF1D73"/>
    <w:rsid w:val="7FFF3829"/>
    <w:rsid w:val="7FFF4727"/>
    <w:rsid w:val="7FFF489D"/>
    <w:rsid w:val="7FFF7FE8"/>
    <w:rsid w:val="7FFF8A76"/>
    <w:rsid w:val="7FFF97ED"/>
    <w:rsid w:val="7FFFC868"/>
    <w:rsid w:val="8747ECCD"/>
    <w:rsid w:val="8D389DCF"/>
    <w:rsid w:val="8E7F258A"/>
    <w:rsid w:val="8EE8FBED"/>
    <w:rsid w:val="8EFDDE93"/>
    <w:rsid w:val="8F6BA6E7"/>
    <w:rsid w:val="8F8FA395"/>
    <w:rsid w:val="8FBFE5DB"/>
    <w:rsid w:val="8FE23320"/>
    <w:rsid w:val="8FF88F72"/>
    <w:rsid w:val="8FFB5FE8"/>
    <w:rsid w:val="8FFF2E7B"/>
    <w:rsid w:val="91FE6101"/>
    <w:rsid w:val="9346BFB7"/>
    <w:rsid w:val="935FFD9A"/>
    <w:rsid w:val="93EBDD38"/>
    <w:rsid w:val="95B9C797"/>
    <w:rsid w:val="95D26E2A"/>
    <w:rsid w:val="95DA89AC"/>
    <w:rsid w:val="95DED191"/>
    <w:rsid w:val="95FF2349"/>
    <w:rsid w:val="975D89BC"/>
    <w:rsid w:val="97DF1702"/>
    <w:rsid w:val="97FE432A"/>
    <w:rsid w:val="97FF767B"/>
    <w:rsid w:val="993D6512"/>
    <w:rsid w:val="9AEF7224"/>
    <w:rsid w:val="9B5324A8"/>
    <w:rsid w:val="9B7D5B95"/>
    <w:rsid w:val="9BDFD176"/>
    <w:rsid w:val="9BFFA5AF"/>
    <w:rsid w:val="9D7DBE7B"/>
    <w:rsid w:val="9DE6BB5C"/>
    <w:rsid w:val="9DEEA930"/>
    <w:rsid w:val="9E86AEA0"/>
    <w:rsid w:val="9FAE2CD2"/>
    <w:rsid w:val="9FAFFADC"/>
    <w:rsid w:val="9FBF177F"/>
    <w:rsid w:val="9FBF3EEA"/>
    <w:rsid w:val="9FDBFA67"/>
    <w:rsid w:val="9FF7CE95"/>
    <w:rsid w:val="9FFF239F"/>
    <w:rsid w:val="A3BCB701"/>
    <w:rsid w:val="A3F795E7"/>
    <w:rsid w:val="A3FE7D8C"/>
    <w:rsid w:val="A522F507"/>
    <w:rsid w:val="A56B58BC"/>
    <w:rsid w:val="A57F7AA4"/>
    <w:rsid w:val="A5FFA7E1"/>
    <w:rsid w:val="A75D4AA9"/>
    <w:rsid w:val="A7FF75CC"/>
    <w:rsid w:val="AA9A6DAD"/>
    <w:rsid w:val="AB8C883A"/>
    <w:rsid w:val="ABF74DB5"/>
    <w:rsid w:val="ACBD1D7B"/>
    <w:rsid w:val="AD7FAE10"/>
    <w:rsid w:val="ADBDAB2F"/>
    <w:rsid w:val="ADF62821"/>
    <w:rsid w:val="ADFF1102"/>
    <w:rsid w:val="ADFFD75B"/>
    <w:rsid w:val="AEB97FC6"/>
    <w:rsid w:val="AEE7F59F"/>
    <w:rsid w:val="AEEF788A"/>
    <w:rsid w:val="AFBD9E67"/>
    <w:rsid w:val="AFCDFA02"/>
    <w:rsid w:val="AFD74DFF"/>
    <w:rsid w:val="AFDF2F23"/>
    <w:rsid w:val="AFE32D89"/>
    <w:rsid w:val="AFE72680"/>
    <w:rsid w:val="AFF6918C"/>
    <w:rsid w:val="AFFAD5C5"/>
    <w:rsid w:val="AFFBF1DC"/>
    <w:rsid w:val="AFFFA5C7"/>
    <w:rsid w:val="B1B309F8"/>
    <w:rsid w:val="B1FC3C29"/>
    <w:rsid w:val="B5B57F68"/>
    <w:rsid w:val="B5B98A3D"/>
    <w:rsid w:val="B5EF7906"/>
    <w:rsid w:val="B5F9ACA5"/>
    <w:rsid w:val="B6737035"/>
    <w:rsid w:val="B6AEBCAF"/>
    <w:rsid w:val="B6FFF192"/>
    <w:rsid w:val="B7939EC5"/>
    <w:rsid w:val="B7B32113"/>
    <w:rsid w:val="B7B330E7"/>
    <w:rsid w:val="B7BC283C"/>
    <w:rsid w:val="B7D6C1E8"/>
    <w:rsid w:val="B7DFF803"/>
    <w:rsid w:val="B7F00D27"/>
    <w:rsid w:val="B7F20113"/>
    <w:rsid w:val="B7FBBCFD"/>
    <w:rsid w:val="B7FF3281"/>
    <w:rsid w:val="B7FF581C"/>
    <w:rsid w:val="B9D29282"/>
    <w:rsid w:val="B9E310CB"/>
    <w:rsid w:val="B9EB770C"/>
    <w:rsid w:val="BA6B4849"/>
    <w:rsid w:val="BA7FF1C0"/>
    <w:rsid w:val="BA9D1934"/>
    <w:rsid w:val="BAFA6FD7"/>
    <w:rsid w:val="BB6CBE87"/>
    <w:rsid w:val="BB6F6845"/>
    <w:rsid w:val="BB8F5497"/>
    <w:rsid w:val="BBE74BDD"/>
    <w:rsid w:val="BBEA33E0"/>
    <w:rsid w:val="BBFD37ED"/>
    <w:rsid w:val="BBFE4401"/>
    <w:rsid w:val="BBFF5BEB"/>
    <w:rsid w:val="BBFF9247"/>
    <w:rsid w:val="BBFFD73C"/>
    <w:rsid w:val="BCDEE392"/>
    <w:rsid w:val="BD6CAA59"/>
    <w:rsid w:val="BDBF2F88"/>
    <w:rsid w:val="BDEFC820"/>
    <w:rsid w:val="BE3E0B21"/>
    <w:rsid w:val="BEBBE9BA"/>
    <w:rsid w:val="BEED3EC3"/>
    <w:rsid w:val="BEF7FA7F"/>
    <w:rsid w:val="BEFB8CB0"/>
    <w:rsid w:val="BEFD15BB"/>
    <w:rsid w:val="BEFFE72E"/>
    <w:rsid w:val="BF334904"/>
    <w:rsid w:val="BF530A3A"/>
    <w:rsid w:val="BF5DEB5F"/>
    <w:rsid w:val="BF6DA9B1"/>
    <w:rsid w:val="BF73910C"/>
    <w:rsid w:val="BF7E6F62"/>
    <w:rsid w:val="BF7F02B0"/>
    <w:rsid w:val="BF8EE063"/>
    <w:rsid w:val="BFA6C871"/>
    <w:rsid w:val="BFAB2E6C"/>
    <w:rsid w:val="BFAFB998"/>
    <w:rsid w:val="BFB2A940"/>
    <w:rsid w:val="BFCDF1FB"/>
    <w:rsid w:val="BFCF890D"/>
    <w:rsid w:val="BFDEE87E"/>
    <w:rsid w:val="BFDF6E94"/>
    <w:rsid w:val="BFE5633A"/>
    <w:rsid w:val="BFEF4FDB"/>
    <w:rsid w:val="BFEF82CE"/>
    <w:rsid w:val="BFEFF2BA"/>
    <w:rsid w:val="BFF5943F"/>
    <w:rsid w:val="BFF672F3"/>
    <w:rsid w:val="BFF7C2FA"/>
    <w:rsid w:val="BFFA3D16"/>
    <w:rsid w:val="BFFD97C7"/>
    <w:rsid w:val="BFFDDA05"/>
    <w:rsid w:val="BFFDDD63"/>
    <w:rsid w:val="BFFE2ECD"/>
    <w:rsid w:val="BFFE9632"/>
    <w:rsid w:val="BFFED665"/>
    <w:rsid w:val="BFFF05EB"/>
    <w:rsid w:val="BFFF07A0"/>
    <w:rsid w:val="BFFF5B24"/>
    <w:rsid w:val="BFFF8ECB"/>
    <w:rsid w:val="BFFFBF04"/>
    <w:rsid w:val="C2C95F8B"/>
    <w:rsid w:val="C3DF8342"/>
    <w:rsid w:val="C3ED876C"/>
    <w:rsid w:val="C61FEB81"/>
    <w:rsid w:val="C6724BBD"/>
    <w:rsid w:val="C6BE25E8"/>
    <w:rsid w:val="C6FE9BD5"/>
    <w:rsid w:val="C8EBE89D"/>
    <w:rsid w:val="C8FF0AA8"/>
    <w:rsid w:val="C94D6574"/>
    <w:rsid w:val="C9BE0D42"/>
    <w:rsid w:val="CABEC2F6"/>
    <w:rsid w:val="CAD5AA4D"/>
    <w:rsid w:val="CAEAC4AF"/>
    <w:rsid w:val="CBF5D351"/>
    <w:rsid w:val="CD4A323B"/>
    <w:rsid w:val="CDCBDF43"/>
    <w:rsid w:val="CDEFC843"/>
    <w:rsid w:val="CDF6F702"/>
    <w:rsid w:val="CDFD7B66"/>
    <w:rsid w:val="CE5E298C"/>
    <w:rsid w:val="CF3E2BFB"/>
    <w:rsid w:val="CF7FE8D8"/>
    <w:rsid w:val="CFF79784"/>
    <w:rsid w:val="CFF7A5EA"/>
    <w:rsid w:val="CFFF455F"/>
    <w:rsid w:val="D08FB6F6"/>
    <w:rsid w:val="D1737BB4"/>
    <w:rsid w:val="D31B9BD1"/>
    <w:rsid w:val="D3B92F03"/>
    <w:rsid w:val="D3DBE4BA"/>
    <w:rsid w:val="D3E8FA49"/>
    <w:rsid w:val="D3FEE25F"/>
    <w:rsid w:val="D3FFE1A6"/>
    <w:rsid w:val="D5A8FA87"/>
    <w:rsid w:val="D5B3D9C6"/>
    <w:rsid w:val="D5FF36BC"/>
    <w:rsid w:val="D645EDB8"/>
    <w:rsid w:val="D677EE06"/>
    <w:rsid w:val="D68F1197"/>
    <w:rsid w:val="D69E2983"/>
    <w:rsid w:val="D6FFEA6C"/>
    <w:rsid w:val="D70BE7E2"/>
    <w:rsid w:val="D7B39A1F"/>
    <w:rsid w:val="D7EF7C07"/>
    <w:rsid w:val="D7F770C4"/>
    <w:rsid w:val="D9DD63EB"/>
    <w:rsid w:val="DA57C6EF"/>
    <w:rsid w:val="DAE824CC"/>
    <w:rsid w:val="DAF96610"/>
    <w:rsid w:val="DB57359C"/>
    <w:rsid w:val="DB96991A"/>
    <w:rsid w:val="DB9D32AC"/>
    <w:rsid w:val="DBAB65D2"/>
    <w:rsid w:val="DBDF473F"/>
    <w:rsid w:val="DBE7112D"/>
    <w:rsid w:val="DBEF7BAD"/>
    <w:rsid w:val="DBF164A6"/>
    <w:rsid w:val="DBFCEF36"/>
    <w:rsid w:val="DBFD0118"/>
    <w:rsid w:val="DBFE3C6C"/>
    <w:rsid w:val="DC6BF30C"/>
    <w:rsid w:val="DCDF5175"/>
    <w:rsid w:val="DCF92E35"/>
    <w:rsid w:val="DCFDCD4A"/>
    <w:rsid w:val="DD774D21"/>
    <w:rsid w:val="DD9F4B2A"/>
    <w:rsid w:val="DD9F80DE"/>
    <w:rsid w:val="DDAFE2F3"/>
    <w:rsid w:val="DDBF121A"/>
    <w:rsid w:val="DDBF3308"/>
    <w:rsid w:val="DDD3F0E7"/>
    <w:rsid w:val="DDDE9B58"/>
    <w:rsid w:val="DDDEC9F8"/>
    <w:rsid w:val="DDDFC0E3"/>
    <w:rsid w:val="DDF94E7C"/>
    <w:rsid w:val="DDFD19EC"/>
    <w:rsid w:val="DDFED0DA"/>
    <w:rsid w:val="DE4D8BF2"/>
    <w:rsid w:val="DE5DE437"/>
    <w:rsid w:val="DE773717"/>
    <w:rsid w:val="DE7CDECA"/>
    <w:rsid w:val="DE7F0931"/>
    <w:rsid w:val="DEA74410"/>
    <w:rsid w:val="DEAB3CBC"/>
    <w:rsid w:val="DEBEB4B1"/>
    <w:rsid w:val="DEEE9074"/>
    <w:rsid w:val="DEFF4CA7"/>
    <w:rsid w:val="DF3B9E7C"/>
    <w:rsid w:val="DF3FF2BE"/>
    <w:rsid w:val="DF5F0FAB"/>
    <w:rsid w:val="DF5F9BBE"/>
    <w:rsid w:val="DF67F1F0"/>
    <w:rsid w:val="DF6B462A"/>
    <w:rsid w:val="DF72E794"/>
    <w:rsid w:val="DF7F37C2"/>
    <w:rsid w:val="DF7FA1C2"/>
    <w:rsid w:val="DF7FB612"/>
    <w:rsid w:val="DF83F38D"/>
    <w:rsid w:val="DF9B8D51"/>
    <w:rsid w:val="DFADC6DD"/>
    <w:rsid w:val="DFAF0CF1"/>
    <w:rsid w:val="DFB3D5AB"/>
    <w:rsid w:val="DFBBE95F"/>
    <w:rsid w:val="DFCE86C3"/>
    <w:rsid w:val="DFDF5468"/>
    <w:rsid w:val="DFEB1D2A"/>
    <w:rsid w:val="DFEE9219"/>
    <w:rsid w:val="DFEF00B6"/>
    <w:rsid w:val="DFF7A606"/>
    <w:rsid w:val="DFF9FF96"/>
    <w:rsid w:val="DFFC30C4"/>
    <w:rsid w:val="DFFF02C5"/>
    <w:rsid w:val="DFFFF00C"/>
    <w:rsid w:val="E1EF3F21"/>
    <w:rsid w:val="E2989819"/>
    <w:rsid w:val="E2EB514A"/>
    <w:rsid w:val="E3DD06FF"/>
    <w:rsid w:val="E3FBB87A"/>
    <w:rsid w:val="E53F7FF5"/>
    <w:rsid w:val="E5EE640E"/>
    <w:rsid w:val="E5FB54FD"/>
    <w:rsid w:val="E5FE06E2"/>
    <w:rsid w:val="E5FFE567"/>
    <w:rsid w:val="E6B98493"/>
    <w:rsid w:val="E6BB62E2"/>
    <w:rsid w:val="E6F52650"/>
    <w:rsid w:val="E6FBED33"/>
    <w:rsid w:val="E6FCE62E"/>
    <w:rsid w:val="E77F9046"/>
    <w:rsid w:val="E7ADDC75"/>
    <w:rsid w:val="E7DE01CA"/>
    <w:rsid w:val="E7DEA898"/>
    <w:rsid w:val="E9728793"/>
    <w:rsid w:val="E99A35A5"/>
    <w:rsid w:val="E9BE76E5"/>
    <w:rsid w:val="E9CFE12E"/>
    <w:rsid w:val="EB9B2B7C"/>
    <w:rsid w:val="EBAF035D"/>
    <w:rsid w:val="EBFD6B8F"/>
    <w:rsid w:val="EBFE0B41"/>
    <w:rsid w:val="EBFF7AB7"/>
    <w:rsid w:val="ED7BECC5"/>
    <w:rsid w:val="ED8F33A0"/>
    <w:rsid w:val="EDCC841C"/>
    <w:rsid w:val="EDCFEE40"/>
    <w:rsid w:val="EDEE5382"/>
    <w:rsid w:val="EEBBF244"/>
    <w:rsid w:val="EED51A12"/>
    <w:rsid w:val="EEEF472C"/>
    <w:rsid w:val="EEF63700"/>
    <w:rsid w:val="EEFE1FEF"/>
    <w:rsid w:val="EEFE309D"/>
    <w:rsid w:val="EEFEE4FC"/>
    <w:rsid w:val="EEFFD4A4"/>
    <w:rsid w:val="EF1E9D7D"/>
    <w:rsid w:val="EF2E5C48"/>
    <w:rsid w:val="EF555442"/>
    <w:rsid w:val="EF55D343"/>
    <w:rsid w:val="EF7C127C"/>
    <w:rsid w:val="EF7D6283"/>
    <w:rsid w:val="EF7FC132"/>
    <w:rsid w:val="EF937ABF"/>
    <w:rsid w:val="EF9F4A60"/>
    <w:rsid w:val="EFAA76EC"/>
    <w:rsid w:val="EFB7763C"/>
    <w:rsid w:val="EFBFB097"/>
    <w:rsid w:val="EFCEF1FE"/>
    <w:rsid w:val="EFD7A5CE"/>
    <w:rsid w:val="EFDBD2D1"/>
    <w:rsid w:val="EFDDF598"/>
    <w:rsid w:val="EFDDF956"/>
    <w:rsid w:val="EFDF90D6"/>
    <w:rsid w:val="EFEE8998"/>
    <w:rsid w:val="EFEF0F52"/>
    <w:rsid w:val="EFF7D6AC"/>
    <w:rsid w:val="EFF7DFFA"/>
    <w:rsid w:val="EFF91754"/>
    <w:rsid w:val="EFFA2491"/>
    <w:rsid w:val="EFFE494A"/>
    <w:rsid w:val="EFFEA8C4"/>
    <w:rsid w:val="EFFF10A8"/>
    <w:rsid w:val="EFFF29D7"/>
    <w:rsid w:val="EFFF4932"/>
    <w:rsid w:val="EFFF78C8"/>
    <w:rsid w:val="EFFF91F9"/>
    <w:rsid w:val="F0BE6F5B"/>
    <w:rsid w:val="F1DBA634"/>
    <w:rsid w:val="F1FF23BF"/>
    <w:rsid w:val="F1FF9EEB"/>
    <w:rsid w:val="F2777B76"/>
    <w:rsid w:val="F2BFC6AC"/>
    <w:rsid w:val="F2CBD30C"/>
    <w:rsid w:val="F2F6859E"/>
    <w:rsid w:val="F2F7CA9C"/>
    <w:rsid w:val="F36F2858"/>
    <w:rsid w:val="F37EE358"/>
    <w:rsid w:val="F3A1AD33"/>
    <w:rsid w:val="F3DE50DB"/>
    <w:rsid w:val="F3FFE872"/>
    <w:rsid w:val="F439D9CA"/>
    <w:rsid w:val="F46FDC34"/>
    <w:rsid w:val="F4D7EB21"/>
    <w:rsid w:val="F4FF592E"/>
    <w:rsid w:val="F577D4FA"/>
    <w:rsid w:val="F5B12ED0"/>
    <w:rsid w:val="F5B70A4D"/>
    <w:rsid w:val="F5BF5F17"/>
    <w:rsid w:val="F5D63673"/>
    <w:rsid w:val="F5EFE4A4"/>
    <w:rsid w:val="F5FFDEDA"/>
    <w:rsid w:val="F61F313E"/>
    <w:rsid w:val="F66D3715"/>
    <w:rsid w:val="F67D993E"/>
    <w:rsid w:val="F6AF2AFB"/>
    <w:rsid w:val="F6BC0772"/>
    <w:rsid w:val="F6BCF7F8"/>
    <w:rsid w:val="F6CF7BEC"/>
    <w:rsid w:val="F6DF6A11"/>
    <w:rsid w:val="F6E7EC1D"/>
    <w:rsid w:val="F6EFD689"/>
    <w:rsid w:val="F6F97A5A"/>
    <w:rsid w:val="F6FBC9F5"/>
    <w:rsid w:val="F6FE9303"/>
    <w:rsid w:val="F6FFF72C"/>
    <w:rsid w:val="F73F2E9B"/>
    <w:rsid w:val="F75BF0FE"/>
    <w:rsid w:val="F77B1B8C"/>
    <w:rsid w:val="F77ED9C0"/>
    <w:rsid w:val="F77F1B3A"/>
    <w:rsid w:val="F77F4D06"/>
    <w:rsid w:val="F799195A"/>
    <w:rsid w:val="F7AB7540"/>
    <w:rsid w:val="F7AE927A"/>
    <w:rsid w:val="F7B47D5A"/>
    <w:rsid w:val="F7CFCCD8"/>
    <w:rsid w:val="F7D11085"/>
    <w:rsid w:val="F7DE51FD"/>
    <w:rsid w:val="F7DE66AB"/>
    <w:rsid w:val="F7DF1977"/>
    <w:rsid w:val="F7DF2D85"/>
    <w:rsid w:val="F7DF4617"/>
    <w:rsid w:val="F7EE8E1F"/>
    <w:rsid w:val="F7EF583C"/>
    <w:rsid w:val="F7F76CF7"/>
    <w:rsid w:val="F7F92E2A"/>
    <w:rsid w:val="F7FDAA61"/>
    <w:rsid w:val="F7FE5038"/>
    <w:rsid w:val="F7FFFC9C"/>
    <w:rsid w:val="F82E5A3D"/>
    <w:rsid w:val="F89DD45C"/>
    <w:rsid w:val="F8C8EECC"/>
    <w:rsid w:val="F8E53CD0"/>
    <w:rsid w:val="F8F75009"/>
    <w:rsid w:val="F8F7AEA1"/>
    <w:rsid w:val="F92FA197"/>
    <w:rsid w:val="F97F988F"/>
    <w:rsid w:val="F99B889F"/>
    <w:rsid w:val="F9A7D5D5"/>
    <w:rsid w:val="F9DFEBC8"/>
    <w:rsid w:val="F9EF1AE5"/>
    <w:rsid w:val="F9F72385"/>
    <w:rsid w:val="F9FB0C0A"/>
    <w:rsid w:val="F9FD6452"/>
    <w:rsid w:val="F9FFE506"/>
    <w:rsid w:val="FA553F3D"/>
    <w:rsid w:val="FA77D028"/>
    <w:rsid w:val="FA7D6DAA"/>
    <w:rsid w:val="FA9DBBD6"/>
    <w:rsid w:val="FA9F7E7F"/>
    <w:rsid w:val="FAA6ABBB"/>
    <w:rsid w:val="FABF1CAC"/>
    <w:rsid w:val="FABF3501"/>
    <w:rsid w:val="FAF1A200"/>
    <w:rsid w:val="FAFEA23A"/>
    <w:rsid w:val="FAFF0AEA"/>
    <w:rsid w:val="FB272DD5"/>
    <w:rsid w:val="FB5DB352"/>
    <w:rsid w:val="FB5FA625"/>
    <w:rsid w:val="FB6FA29C"/>
    <w:rsid w:val="FB6FD045"/>
    <w:rsid w:val="FB7785FE"/>
    <w:rsid w:val="FB7D92C4"/>
    <w:rsid w:val="FB7FCB5F"/>
    <w:rsid w:val="FB9D45B1"/>
    <w:rsid w:val="FB9DF8CF"/>
    <w:rsid w:val="FB9EFE74"/>
    <w:rsid w:val="FBAF51CE"/>
    <w:rsid w:val="FBBEE6BE"/>
    <w:rsid w:val="FBBF6BA4"/>
    <w:rsid w:val="FBC32627"/>
    <w:rsid w:val="FBCF276B"/>
    <w:rsid w:val="FBDD94FB"/>
    <w:rsid w:val="FBE35A23"/>
    <w:rsid w:val="FBE82075"/>
    <w:rsid w:val="FBEDAE24"/>
    <w:rsid w:val="FBEF664F"/>
    <w:rsid w:val="FBF245DA"/>
    <w:rsid w:val="FBF300B2"/>
    <w:rsid w:val="FBF7ED85"/>
    <w:rsid w:val="FBFBD07D"/>
    <w:rsid w:val="FBFDD8EC"/>
    <w:rsid w:val="FBFE530A"/>
    <w:rsid w:val="FC679EED"/>
    <w:rsid w:val="FC6F55C4"/>
    <w:rsid w:val="FC8B83AC"/>
    <w:rsid w:val="FC8F9253"/>
    <w:rsid w:val="FC9F0248"/>
    <w:rsid w:val="FCBD125D"/>
    <w:rsid w:val="FCCFB0CE"/>
    <w:rsid w:val="FCDF994E"/>
    <w:rsid w:val="FCFD72D7"/>
    <w:rsid w:val="FCFDE4A8"/>
    <w:rsid w:val="FCFF02B9"/>
    <w:rsid w:val="FD0F2B16"/>
    <w:rsid w:val="FD178401"/>
    <w:rsid w:val="FD3E0276"/>
    <w:rsid w:val="FD3FD88A"/>
    <w:rsid w:val="FD4EC24F"/>
    <w:rsid w:val="FD5F6517"/>
    <w:rsid w:val="FD7152C3"/>
    <w:rsid w:val="FD7B469B"/>
    <w:rsid w:val="FD7D25E3"/>
    <w:rsid w:val="FD7F5427"/>
    <w:rsid w:val="FDB20C62"/>
    <w:rsid w:val="FDB3FB2D"/>
    <w:rsid w:val="FDB58CC0"/>
    <w:rsid w:val="FDBDF78F"/>
    <w:rsid w:val="FDBFFB3E"/>
    <w:rsid w:val="FDC1817F"/>
    <w:rsid w:val="FDDC43D6"/>
    <w:rsid w:val="FDDD5DC7"/>
    <w:rsid w:val="FDDEA106"/>
    <w:rsid w:val="FDE41C41"/>
    <w:rsid w:val="FDE783A0"/>
    <w:rsid w:val="FDEC5E21"/>
    <w:rsid w:val="FDED7B48"/>
    <w:rsid w:val="FDEEE9D4"/>
    <w:rsid w:val="FDEFDA06"/>
    <w:rsid w:val="FDF42FDB"/>
    <w:rsid w:val="FDF72975"/>
    <w:rsid w:val="FDF86401"/>
    <w:rsid w:val="FDF974EA"/>
    <w:rsid w:val="FDFABE02"/>
    <w:rsid w:val="FDFBED65"/>
    <w:rsid w:val="FDFCB9F9"/>
    <w:rsid w:val="FDFF05FA"/>
    <w:rsid w:val="FDFFBF66"/>
    <w:rsid w:val="FE3BB763"/>
    <w:rsid w:val="FE57F615"/>
    <w:rsid w:val="FE5D2747"/>
    <w:rsid w:val="FE5F360E"/>
    <w:rsid w:val="FE77B600"/>
    <w:rsid w:val="FE7B4472"/>
    <w:rsid w:val="FE7B6C48"/>
    <w:rsid w:val="FE7F31AE"/>
    <w:rsid w:val="FE7F78D3"/>
    <w:rsid w:val="FE8F29AF"/>
    <w:rsid w:val="FE8F954D"/>
    <w:rsid w:val="FE9F7A4A"/>
    <w:rsid w:val="FEA7453C"/>
    <w:rsid w:val="FEAF4284"/>
    <w:rsid w:val="FEB165FB"/>
    <w:rsid w:val="FEB9EDF1"/>
    <w:rsid w:val="FED6FB32"/>
    <w:rsid w:val="FED7C4DE"/>
    <w:rsid w:val="FED8CF93"/>
    <w:rsid w:val="FEDF3673"/>
    <w:rsid w:val="FEED9C26"/>
    <w:rsid w:val="FEEF3B66"/>
    <w:rsid w:val="FEEF969E"/>
    <w:rsid w:val="FEEFA99E"/>
    <w:rsid w:val="FEF2E050"/>
    <w:rsid w:val="FEF5D2DA"/>
    <w:rsid w:val="FEF66F8E"/>
    <w:rsid w:val="FEF6B1A5"/>
    <w:rsid w:val="FEF7D3CA"/>
    <w:rsid w:val="FEFB914B"/>
    <w:rsid w:val="FEFCFEA4"/>
    <w:rsid w:val="FEFD64DC"/>
    <w:rsid w:val="FEFDE060"/>
    <w:rsid w:val="FEFF1BA8"/>
    <w:rsid w:val="FEFF3DF5"/>
    <w:rsid w:val="FEFFA78C"/>
    <w:rsid w:val="FF0F51D2"/>
    <w:rsid w:val="FF139F27"/>
    <w:rsid w:val="FF1E2C55"/>
    <w:rsid w:val="FF3726DF"/>
    <w:rsid w:val="FF3F239C"/>
    <w:rsid w:val="FF4B2B29"/>
    <w:rsid w:val="FF4F8DD9"/>
    <w:rsid w:val="FF553E09"/>
    <w:rsid w:val="FF5F1853"/>
    <w:rsid w:val="FF5F75C7"/>
    <w:rsid w:val="FF671CC0"/>
    <w:rsid w:val="FF6ED6FA"/>
    <w:rsid w:val="FF71A6C0"/>
    <w:rsid w:val="FF7719E8"/>
    <w:rsid w:val="FF773393"/>
    <w:rsid w:val="FF776E61"/>
    <w:rsid w:val="FF7D39D0"/>
    <w:rsid w:val="FF7E0A56"/>
    <w:rsid w:val="FF7E2560"/>
    <w:rsid w:val="FF7E82B2"/>
    <w:rsid w:val="FF7FBCBB"/>
    <w:rsid w:val="FF8F3F7B"/>
    <w:rsid w:val="FF9F001E"/>
    <w:rsid w:val="FF9F54E6"/>
    <w:rsid w:val="FF9FB854"/>
    <w:rsid w:val="FFA514D2"/>
    <w:rsid w:val="FFA6F268"/>
    <w:rsid w:val="FFABB302"/>
    <w:rsid w:val="FFAFBDE7"/>
    <w:rsid w:val="FFAFEFF8"/>
    <w:rsid w:val="FFB30F07"/>
    <w:rsid w:val="FFB37809"/>
    <w:rsid w:val="FFB56232"/>
    <w:rsid w:val="FFB71C02"/>
    <w:rsid w:val="FFB7554C"/>
    <w:rsid w:val="FFB79515"/>
    <w:rsid w:val="FFB7BA08"/>
    <w:rsid w:val="FFB7D3F6"/>
    <w:rsid w:val="FFB8373A"/>
    <w:rsid w:val="FFB8EB21"/>
    <w:rsid w:val="FFBB0C2D"/>
    <w:rsid w:val="FFBB549B"/>
    <w:rsid w:val="FFBF8C4C"/>
    <w:rsid w:val="FFC71780"/>
    <w:rsid w:val="FFCC5FD0"/>
    <w:rsid w:val="FFCE4743"/>
    <w:rsid w:val="FFCF973E"/>
    <w:rsid w:val="FFCFA25E"/>
    <w:rsid w:val="FFD35988"/>
    <w:rsid w:val="FFD3BA2F"/>
    <w:rsid w:val="FFD7DDC4"/>
    <w:rsid w:val="FFD8B71D"/>
    <w:rsid w:val="FFDCE459"/>
    <w:rsid w:val="FFDD1280"/>
    <w:rsid w:val="FFDE233D"/>
    <w:rsid w:val="FFDEA2B3"/>
    <w:rsid w:val="FFDF64AA"/>
    <w:rsid w:val="FFDFC5A4"/>
    <w:rsid w:val="FFDFF13C"/>
    <w:rsid w:val="FFE799FD"/>
    <w:rsid w:val="FFE96614"/>
    <w:rsid w:val="FFEA0B01"/>
    <w:rsid w:val="FFEB786F"/>
    <w:rsid w:val="FFEF0D13"/>
    <w:rsid w:val="FFEFEEC5"/>
    <w:rsid w:val="FFF39EF8"/>
    <w:rsid w:val="FFF6C3D9"/>
    <w:rsid w:val="FFF6D06A"/>
    <w:rsid w:val="FFF71473"/>
    <w:rsid w:val="FFF72A10"/>
    <w:rsid w:val="FFF77C1E"/>
    <w:rsid w:val="FFF88634"/>
    <w:rsid w:val="FFFB40E3"/>
    <w:rsid w:val="FFFC81F7"/>
    <w:rsid w:val="FFFCE040"/>
    <w:rsid w:val="FFFD0C8B"/>
    <w:rsid w:val="FFFD0E80"/>
    <w:rsid w:val="FFFD135B"/>
    <w:rsid w:val="FFFDCFE5"/>
    <w:rsid w:val="FFFE1461"/>
    <w:rsid w:val="FFFF0838"/>
    <w:rsid w:val="FFFF10FB"/>
    <w:rsid w:val="FFFF1A4D"/>
    <w:rsid w:val="FFFF2390"/>
    <w:rsid w:val="FFFF2AEB"/>
    <w:rsid w:val="FFFF463B"/>
    <w:rsid w:val="FFFF4719"/>
    <w:rsid w:val="FFFF50CB"/>
    <w:rsid w:val="FFFF6C2F"/>
    <w:rsid w:val="FFFF6FCF"/>
    <w:rsid w:val="FFFF7110"/>
    <w:rsid w:val="FFFFCD45"/>
    <w:rsid w:val="FFFFD999"/>
    <w:rsid w:val="FFFFECC6"/>
    <w:rsid w:val="FFFFEEFE"/>
    <w:rsid w:val="FFFFFA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napToGrid w:val="0"/>
      <w:spacing w:line="560" w:lineRule="exact"/>
      <w:ind w:firstLine="632" w:firstLineChars="200"/>
      <w:jc w:val="both"/>
    </w:pPr>
    <w:rPr>
      <w:rFonts w:ascii="仿宋_GB2312" w:hAnsi="仿宋" w:eastAsia="仿宋_GB2312" w:cs="仿宋"/>
      <w:kern w:val="2"/>
      <w:sz w:val="28"/>
      <w:szCs w:val="28"/>
      <w:lang w:val="en-US" w:eastAsia="zh-CN" w:bidi="ar-SA"/>
    </w:rPr>
  </w:style>
  <w:style w:type="paragraph" w:styleId="3">
    <w:name w:val="heading 1"/>
    <w:basedOn w:val="1"/>
    <w:next w:val="1"/>
    <w:link w:val="3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9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5">
    <w:name w:val="heading 3"/>
    <w:basedOn w:val="1"/>
    <w:next w:val="1"/>
    <w:link w:val="37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7">
    <w:name w:val="Default Paragraph Font"/>
    <w:semiHidden/>
    <w:unhideWhenUsed/>
    <w:uiPriority w:val="1"/>
  </w:style>
  <w:style w:type="table" w:default="1" w:styleId="2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line="580" w:lineRule="exact"/>
      <w:ind w:firstLine="640"/>
    </w:pPr>
  </w:style>
  <w:style w:type="paragraph" w:styleId="6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7">
    <w:name w:val="Document Map"/>
    <w:basedOn w:val="1"/>
    <w:link w:val="42"/>
    <w:qFormat/>
    <w:uiPriority w:val="0"/>
    <w:rPr>
      <w:rFonts w:ascii="宋体" w:hAnsi="Times New Roman" w:eastAsia="宋体" w:cs="Times New Roman"/>
      <w:sz w:val="18"/>
      <w:szCs w:val="18"/>
    </w:rPr>
  </w:style>
  <w:style w:type="paragraph" w:styleId="8">
    <w:name w:val="annotation text"/>
    <w:basedOn w:val="1"/>
    <w:link w:val="45"/>
    <w:qFormat/>
    <w:uiPriority w:val="0"/>
    <w:pPr>
      <w:jc w:val="left"/>
    </w:pPr>
    <w:rPr>
      <w:rFonts w:ascii="Times New Roman" w:hAnsi="Times New Roman" w:cs="Times New Roman"/>
      <w:sz w:val="32"/>
      <w:szCs w:val="24"/>
    </w:rPr>
  </w:style>
  <w:style w:type="paragraph" w:styleId="9">
    <w:name w:val="Body Text Indent"/>
    <w:basedOn w:val="1"/>
    <w:link w:val="51"/>
    <w:qFormat/>
    <w:uiPriority w:val="0"/>
    <w:pPr>
      <w:ind w:firstLine="720"/>
    </w:pPr>
    <w:rPr>
      <w:rFonts w:ascii="Times New Roman" w:hAnsi="Times New Roman" w:cs="Times New Roman"/>
      <w:b/>
      <w:bCs/>
      <w:sz w:val="32"/>
      <w:szCs w:val="24"/>
    </w:rPr>
  </w:style>
  <w:style w:type="paragraph" w:styleId="10">
    <w:name w:val="toc 3"/>
    <w:basedOn w:val="1"/>
    <w:next w:val="1"/>
    <w:qFormat/>
    <w:uiPriority w:val="0"/>
    <w:pPr>
      <w:widowControl/>
      <w:overflowPunct w:val="0"/>
      <w:autoSpaceDE w:val="0"/>
      <w:autoSpaceDN w:val="0"/>
      <w:adjustRightInd w:val="0"/>
      <w:spacing w:after="240"/>
      <w:ind w:left="840" w:leftChars="400"/>
      <w:textAlignment w:val="baseline"/>
    </w:pPr>
    <w:rPr>
      <w:rFonts w:ascii="Times New Roman" w:hAnsi="Times New Roman" w:cs="Times New Roman"/>
      <w:kern w:val="0"/>
      <w:sz w:val="24"/>
      <w:szCs w:val="20"/>
    </w:rPr>
  </w:style>
  <w:style w:type="paragraph" w:styleId="11">
    <w:name w:val="Plain Text"/>
    <w:basedOn w:val="1"/>
    <w:link w:val="40"/>
    <w:qFormat/>
    <w:uiPriority w:val="0"/>
    <w:rPr>
      <w:rFonts w:ascii="宋体" w:hAnsi="Courier New" w:eastAsia="宋体" w:cs="Times New Roman"/>
      <w:szCs w:val="21"/>
    </w:rPr>
  </w:style>
  <w:style w:type="paragraph" w:styleId="12">
    <w:name w:val="Date"/>
    <w:basedOn w:val="1"/>
    <w:next w:val="1"/>
    <w:link w:val="53"/>
    <w:qFormat/>
    <w:uiPriority w:val="0"/>
    <w:pPr>
      <w:ind w:left="100" w:leftChars="2500"/>
    </w:pPr>
    <w:rPr>
      <w:rFonts w:hAnsi="Times New Roman" w:cs="Times New Roman"/>
      <w:sz w:val="32"/>
      <w:szCs w:val="24"/>
    </w:rPr>
  </w:style>
  <w:style w:type="paragraph" w:styleId="13">
    <w:name w:val="Body Text Indent 2"/>
    <w:basedOn w:val="1"/>
    <w:link w:val="52"/>
    <w:qFormat/>
    <w:uiPriority w:val="0"/>
    <w:pPr>
      <w:spacing w:line="640" w:lineRule="exact"/>
      <w:ind w:firstLine="720"/>
    </w:pPr>
    <w:rPr>
      <w:rFonts w:hAnsi="Times New Roman" w:cs="Times New Roman"/>
      <w:b/>
      <w:bCs/>
      <w:sz w:val="36"/>
      <w:szCs w:val="24"/>
    </w:rPr>
  </w:style>
  <w:style w:type="paragraph" w:styleId="14">
    <w:name w:val="Balloon Text"/>
    <w:basedOn w:val="1"/>
    <w:link w:val="35"/>
    <w:semiHidden/>
    <w:unhideWhenUsed/>
    <w:qFormat/>
    <w:uiPriority w:val="0"/>
    <w:rPr>
      <w:sz w:val="18"/>
      <w:szCs w:val="18"/>
    </w:rPr>
  </w:style>
  <w:style w:type="paragraph" w:styleId="15">
    <w:name w:val="footer"/>
    <w:basedOn w:val="1"/>
    <w:link w:val="34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6">
    <w:name w:val="header"/>
    <w:basedOn w:val="1"/>
    <w:link w:val="3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7">
    <w:name w:val="toc 1"/>
    <w:basedOn w:val="1"/>
    <w:next w:val="1"/>
    <w:qFormat/>
    <w:uiPriority w:val="39"/>
    <w:pPr>
      <w:widowControl/>
      <w:overflowPunct w:val="0"/>
      <w:autoSpaceDE w:val="0"/>
      <w:autoSpaceDN w:val="0"/>
      <w:adjustRightInd w:val="0"/>
      <w:spacing w:after="240"/>
      <w:textAlignment w:val="baseline"/>
    </w:pPr>
    <w:rPr>
      <w:rFonts w:ascii="Times New Roman" w:hAnsi="Times New Roman" w:eastAsia="黑体" w:cs="Times New Roman"/>
      <w:kern w:val="0"/>
      <w:sz w:val="24"/>
      <w:szCs w:val="20"/>
    </w:rPr>
  </w:style>
  <w:style w:type="paragraph" w:styleId="18">
    <w:name w:val="footnote text"/>
    <w:basedOn w:val="1"/>
    <w:link w:val="48"/>
    <w:qFormat/>
    <w:uiPriority w:val="0"/>
    <w:pPr>
      <w:overflowPunct w:val="0"/>
      <w:autoSpaceDE w:val="0"/>
      <w:autoSpaceDN w:val="0"/>
      <w:adjustRightInd w:val="0"/>
      <w:jc w:val="left"/>
      <w:textAlignment w:val="baseline"/>
    </w:pPr>
    <w:rPr>
      <w:rFonts w:ascii="CG Times (WN)" w:hAnsi="CG Times (WN)" w:eastAsia="宋体" w:cs="Times New Roman"/>
      <w:kern w:val="0"/>
      <w:sz w:val="20"/>
      <w:szCs w:val="20"/>
    </w:rPr>
  </w:style>
  <w:style w:type="paragraph" w:styleId="19">
    <w:name w:val="Body Text Indent 3"/>
    <w:basedOn w:val="1"/>
    <w:link w:val="50"/>
    <w:qFormat/>
    <w:uiPriority w:val="0"/>
    <w:pPr>
      <w:ind w:firstLine="640"/>
    </w:pPr>
    <w:rPr>
      <w:rFonts w:ascii="Times New Roman" w:hAnsi="Times New Roman" w:cs="Times New Roman"/>
      <w:sz w:val="32"/>
      <w:szCs w:val="24"/>
    </w:rPr>
  </w:style>
  <w:style w:type="paragraph" w:styleId="20">
    <w:name w:val="toc 2"/>
    <w:basedOn w:val="1"/>
    <w:next w:val="1"/>
    <w:qFormat/>
    <w:uiPriority w:val="39"/>
    <w:pPr>
      <w:widowControl/>
      <w:overflowPunct w:val="0"/>
      <w:autoSpaceDE w:val="0"/>
      <w:autoSpaceDN w:val="0"/>
      <w:adjustRightInd w:val="0"/>
      <w:spacing w:after="240"/>
      <w:ind w:left="420" w:leftChars="200"/>
      <w:textAlignment w:val="baseline"/>
    </w:pPr>
    <w:rPr>
      <w:rFonts w:ascii="Times New Roman" w:hAnsi="Times New Roman" w:eastAsia="楷体_GB2312" w:cs="Times New Roman"/>
      <w:kern w:val="0"/>
      <w:sz w:val="24"/>
      <w:szCs w:val="20"/>
    </w:rPr>
  </w:style>
  <w:style w:type="paragraph" w:styleId="21">
    <w:name w:val="Body Text 2"/>
    <w:basedOn w:val="1"/>
    <w:link w:val="49"/>
    <w:qFormat/>
    <w:uiPriority w:val="0"/>
    <w:pPr>
      <w:spacing w:after="120" w:line="480" w:lineRule="auto"/>
    </w:pPr>
    <w:rPr>
      <w:rFonts w:ascii="Times New Roman" w:hAnsi="Times New Roman" w:cs="Times New Roman"/>
      <w:sz w:val="24"/>
      <w:szCs w:val="20"/>
    </w:rPr>
  </w:style>
  <w:style w:type="paragraph" w:styleId="22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3">
    <w:name w:val="Title"/>
    <w:basedOn w:val="1"/>
    <w:next w:val="1"/>
    <w:link w:val="43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4">
    <w:name w:val="annotation subject"/>
    <w:basedOn w:val="8"/>
    <w:next w:val="8"/>
    <w:link w:val="47"/>
    <w:qFormat/>
    <w:uiPriority w:val="0"/>
    <w:rPr>
      <w:b/>
      <w:bCs/>
    </w:rPr>
  </w:style>
  <w:style w:type="table" w:styleId="26">
    <w:name w:val="Table Grid"/>
    <w:basedOn w:val="25"/>
    <w:qFormat/>
    <w:uiPriority w:val="0"/>
    <w:pPr>
      <w:tabs>
        <w:tab w:val="left" w:pos="360"/>
        <w:tab w:val="left" w:pos="720"/>
      </w:tabs>
      <w:overflowPunct w:val="0"/>
      <w:autoSpaceDE w:val="0"/>
      <w:autoSpaceDN w:val="0"/>
      <w:adjustRightInd w:val="0"/>
      <w:spacing w:after="240"/>
      <w:jc w:val="both"/>
      <w:textAlignment w:val="baseline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basedOn w:val="27"/>
    <w:qFormat/>
    <w:uiPriority w:val="0"/>
    <w:rPr>
      <w:b/>
      <w:bCs/>
    </w:rPr>
  </w:style>
  <w:style w:type="character" w:styleId="29">
    <w:name w:val="page number"/>
    <w:qFormat/>
    <w:uiPriority w:val="0"/>
  </w:style>
  <w:style w:type="character" w:styleId="30">
    <w:name w:val="Hyperlink"/>
    <w:basedOn w:val="27"/>
    <w:qFormat/>
    <w:uiPriority w:val="99"/>
    <w:rPr>
      <w:color w:val="0000FF"/>
      <w:u w:val="single"/>
    </w:rPr>
  </w:style>
  <w:style w:type="character" w:styleId="31">
    <w:name w:val="annotation reference"/>
    <w:basedOn w:val="27"/>
    <w:qFormat/>
    <w:uiPriority w:val="0"/>
    <w:rPr>
      <w:sz w:val="21"/>
      <w:szCs w:val="21"/>
    </w:rPr>
  </w:style>
  <w:style w:type="character" w:styleId="32">
    <w:name w:val="footnote reference"/>
    <w:basedOn w:val="27"/>
    <w:qFormat/>
    <w:uiPriority w:val="0"/>
    <w:rPr>
      <w:position w:val="6"/>
      <w:sz w:val="16"/>
    </w:rPr>
  </w:style>
  <w:style w:type="character" w:customStyle="1" w:styleId="33">
    <w:name w:val="页眉 字符"/>
    <w:basedOn w:val="27"/>
    <w:link w:val="16"/>
    <w:qFormat/>
    <w:uiPriority w:val="0"/>
    <w:rPr>
      <w:sz w:val="18"/>
      <w:szCs w:val="18"/>
    </w:rPr>
  </w:style>
  <w:style w:type="character" w:customStyle="1" w:styleId="34">
    <w:name w:val="页脚 字符"/>
    <w:basedOn w:val="27"/>
    <w:link w:val="15"/>
    <w:qFormat/>
    <w:uiPriority w:val="99"/>
    <w:rPr>
      <w:sz w:val="18"/>
      <w:szCs w:val="18"/>
    </w:rPr>
  </w:style>
  <w:style w:type="character" w:customStyle="1" w:styleId="35">
    <w:name w:val="批注框文本 字符"/>
    <w:basedOn w:val="27"/>
    <w:link w:val="14"/>
    <w:semiHidden/>
    <w:qFormat/>
    <w:uiPriority w:val="99"/>
    <w:rPr>
      <w:sz w:val="18"/>
      <w:szCs w:val="18"/>
    </w:rPr>
  </w:style>
  <w:style w:type="paragraph" w:customStyle="1" w:styleId="36">
    <w:name w:val="样式3"/>
    <w:basedOn w:val="5"/>
    <w:qFormat/>
    <w:uiPriority w:val="0"/>
    <w:rPr>
      <w:rFonts w:ascii="Times New Roman" w:hAnsi="Times New Roman" w:eastAsia="宋体" w:cs="Times New Roman"/>
    </w:rPr>
  </w:style>
  <w:style w:type="character" w:customStyle="1" w:styleId="37">
    <w:name w:val="标题 3 字符"/>
    <w:basedOn w:val="27"/>
    <w:link w:val="5"/>
    <w:semiHidden/>
    <w:qFormat/>
    <w:uiPriority w:val="0"/>
    <w:rPr>
      <w:b/>
      <w:bCs/>
      <w:sz w:val="32"/>
      <w:szCs w:val="32"/>
    </w:rPr>
  </w:style>
  <w:style w:type="character" w:customStyle="1" w:styleId="38">
    <w:name w:val="标题 1 字符"/>
    <w:basedOn w:val="27"/>
    <w:link w:val="3"/>
    <w:qFormat/>
    <w:uiPriority w:val="0"/>
    <w:rPr>
      <w:rFonts w:ascii="Times New Roman" w:hAnsi="Times New Roman" w:eastAsia="仿宋_GB2312" w:cs="Times New Roman"/>
      <w:b/>
      <w:bCs/>
      <w:kern w:val="44"/>
      <w:sz w:val="44"/>
      <w:szCs w:val="44"/>
    </w:rPr>
  </w:style>
  <w:style w:type="character" w:customStyle="1" w:styleId="39">
    <w:name w:val="标题 2 字符"/>
    <w:basedOn w:val="27"/>
    <w:link w:val="4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40">
    <w:name w:val="纯文本 字符"/>
    <w:basedOn w:val="27"/>
    <w:link w:val="11"/>
    <w:qFormat/>
    <w:uiPriority w:val="0"/>
    <w:rPr>
      <w:rFonts w:ascii="宋体" w:hAnsi="Courier New" w:eastAsia="宋体" w:cs="Times New Roman"/>
      <w:szCs w:val="21"/>
    </w:rPr>
  </w:style>
  <w:style w:type="paragraph" w:styleId="41">
    <w:name w:val="List Paragraph"/>
    <w:basedOn w:val="1"/>
    <w:qFormat/>
    <w:uiPriority w:val="34"/>
    <w:pPr>
      <w:ind w:firstLine="420"/>
    </w:pPr>
    <w:rPr>
      <w:rFonts w:ascii="Calibri" w:hAnsi="Calibri" w:eastAsia="宋体" w:cs="Times New Roman"/>
    </w:rPr>
  </w:style>
  <w:style w:type="character" w:customStyle="1" w:styleId="42">
    <w:name w:val="文档结构图 字符"/>
    <w:basedOn w:val="27"/>
    <w:link w:val="7"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43">
    <w:name w:val="标题 字符"/>
    <w:basedOn w:val="27"/>
    <w:link w:val="23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paragraph" w:customStyle="1" w:styleId="44">
    <w:name w:val="Char Char Char Char Char Char Char Char Char Char Char Char Char"/>
    <w:basedOn w:val="1"/>
    <w:qFormat/>
    <w:uiPriority w:val="0"/>
    <w:rPr>
      <w:rFonts w:ascii="Tahoma" w:hAnsi="Tahoma" w:eastAsia="宋体" w:cs="Times New Roman"/>
      <w:szCs w:val="24"/>
    </w:rPr>
  </w:style>
  <w:style w:type="character" w:customStyle="1" w:styleId="45">
    <w:name w:val="批注文字 字符"/>
    <w:basedOn w:val="27"/>
    <w:link w:val="8"/>
    <w:qFormat/>
    <w:uiPriority w:val="0"/>
    <w:rPr>
      <w:rFonts w:ascii="Times New Roman" w:hAnsi="Times New Roman" w:eastAsia="仿宋_GB2312" w:cs="Times New Roman"/>
      <w:sz w:val="32"/>
      <w:szCs w:val="24"/>
    </w:rPr>
  </w:style>
  <w:style w:type="character" w:customStyle="1" w:styleId="46">
    <w:name w:val="批注主题 Char"/>
    <w:basedOn w:val="45"/>
    <w:semiHidden/>
    <w:qFormat/>
    <w:uiPriority w:val="99"/>
    <w:rPr>
      <w:rFonts w:ascii="Times New Roman" w:hAnsi="Times New Roman" w:eastAsia="仿宋_GB2312" w:cs="Times New Roman"/>
      <w:b/>
      <w:bCs/>
      <w:sz w:val="32"/>
      <w:szCs w:val="24"/>
    </w:rPr>
  </w:style>
  <w:style w:type="character" w:customStyle="1" w:styleId="47">
    <w:name w:val="批注主题 字符"/>
    <w:link w:val="24"/>
    <w:qFormat/>
    <w:uiPriority w:val="0"/>
    <w:rPr>
      <w:rFonts w:ascii="Times New Roman" w:hAnsi="Times New Roman" w:eastAsia="仿宋_GB2312" w:cs="Times New Roman"/>
      <w:b/>
      <w:bCs/>
      <w:sz w:val="32"/>
      <w:szCs w:val="24"/>
    </w:rPr>
  </w:style>
  <w:style w:type="character" w:customStyle="1" w:styleId="48">
    <w:name w:val="脚注文本 字符"/>
    <w:basedOn w:val="27"/>
    <w:link w:val="18"/>
    <w:qFormat/>
    <w:uiPriority w:val="0"/>
    <w:rPr>
      <w:rFonts w:ascii="CG Times (WN)" w:hAnsi="CG Times (WN)" w:eastAsia="宋体" w:cs="Times New Roman"/>
      <w:kern w:val="0"/>
      <w:sz w:val="20"/>
      <w:szCs w:val="20"/>
    </w:rPr>
  </w:style>
  <w:style w:type="character" w:customStyle="1" w:styleId="49">
    <w:name w:val="正文文本 2 字符"/>
    <w:basedOn w:val="27"/>
    <w:link w:val="21"/>
    <w:qFormat/>
    <w:uiPriority w:val="0"/>
    <w:rPr>
      <w:rFonts w:ascii="Times New Roman" w:hAnsi="Times New Roman" w:eastAsia="仿宋_GB2312" w:cs="Times New Roman"/>
      <w:sz w:val="24"/>
      <w:szCs w:val="20"/>
    </w:rPr>
  </w:style>
  <w:style w:type="character" w:customStyle="1" w:styleId="50">
    <w:name w:val="正文文本缩进 3 字符"/>
    <w:basedOn w:val="27"/>
    <w:link w:val="19"/>
    <w:qFormat/>
    <w:uiPriority w:val="0"/>
    <w:rPr>
      <w:rFonts w:ascii="Times New Roman" w:hAnsi="Times New Roman" w:eastAsia="仿宋_GB2312" w:cs="Times New Roman"/>
      <w:sz w:val="32"/>
      <w:szCs w:val="24"/>
    </w:rPr>
  </w:style>
  <w:style w:type="character" w:customStyle="1" w:styleId="51">
    <w:name w:val="正文文本缩进 字符"/>
    <w:basedOn w:val="27"/>
    <w:link w:val="9"/>
    <w:qFormat/>
    <w:uiPriority w:val="0"/>
    <w:rPr>
      <w:rFonts w:ascii="Times New Roman" w:hAnsi="Times New Roman" w:eastAsia="仿宋_GB2312" w:cs="Times New Roman"/>
      <w:b/>
      <w:bCs/>
      <w:sz w:val="32"/>
      <w:szCs w:val="24"/>
    </w:rPr>
  </w:style>
  <w:style w:type="character" w:customStyle="1" w:styleId="52">
    <w:name w:val="正文文本缩进 2 字符"/>
    <w:basedOn w:val="27"/>
    <w:link w:val="13"/>
    <w:qFormat/>
    <w:uiPriority w:val="0"/>
    <w:rPr>
      <w:rFonts w:ascii="仿宋_GB2312" w:hAnsi="Times New Roman" w:eastAsia="仿宋_GB2312" w:cs="Times New Roman"/>
      <w:b/>
      <w:bCs/>
      <w:sz w:val="36"/>
      <w:szCs w:val="24"/>
    </w:rPr>
  </w:style>
  <w:style w:type="character" w:customStyle="1" w:styleId="53">
    <w:name w:val="日期 字符"/>
    <w:basedOn w:val="27"/>
    <w:link w:val="12"/>
    <w:qFormat/>
    <w:uiPriority w:val="0"/>
    <w:rPr>
      <w:rFonts w:ascii="仿宋_GB2312" w:hAnsi="Times New Roman" w:eastAsia="仿宋_GB2312" w:cs="Times New Roman"/>
      <w:sz w:val="32"/>
      <w:szCs w:val="24"/>
    </w:rPr>
  </w:style>
  <w:style w:type="paragraph" w:customStyle="1" w:styleId="54">
    <w:name w:val="han"/>
    <w:basedOn w:val="1"/>
    <w:qFormat/>
    <w:uiPriority w:val="0"/>
    <w:rPr>
      <w:rFonts w:ascii="宋体" w:hAnsi="宋体"/>
      <w:sz w:val="24"/>
    </w:rPr>
  </w:style>
  <w:style w:type="paragraph" w:customStyle="1" w:styleId="55">
    <w:name w:val="修订1"/>
    <w:hidden/>
    <w:unhideWhenUsed/>
    <w:uiPriority w:val="99"/>
    <w:rPr>
      <w:rFonts w:ascii="仿宋_GB2312" w:hAnsi="仿宋" w:eastAsia="仿宋_GB2312" w:cs="仿宋"/>
      <w:kern w:val="2"/>
      <w:sz w:val="28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2047</Words>
  <Characters>11674</Characters>
  <Lines>97</Lines>
  <Paragraphs>27</Paragraphs>
  <TotalTime>1</TotalTime>
  <ScaleCrop>false</ScaleCrop>
  <LinksUpToDate>false</LinksUpToDate>
  <CharactersWithSpaces>13694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2025-05-01T16:57:00Z</dcterms:created>
  <dc:creator>Thinkpad</dc:creator>
  <cp:lastModifiedBy>IN</cp:lastModifiedBy>
  <cp:lastPrinted>2021-12-05T17:02:00Z</cp:lastPrinted>
  <dcterms:modified xsi:type="dcterms:W3CDTF">2025-09-07T18:01:44Z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DocerSaveRecord">
    <vt:lpwstr>eyJoZGlkIjoiZmYzYThhY2Q0ZGQ2ZGM4NzgxOTM0NjUxMzNjODUwYjUiLCJ1c2VySWQiOiIxMjUyOTI5MzYyIn0=</vt:lpwstr>
  </property>
  <property fmtid="{D5CDD505-2E9C-101B-9397-08002B2CF9AE}" pid="4" name="ICV">
    <vt:lpwstr>DEAA97A6B44B4252B5A1D12F65F900F6_12</vt:lpwstr>
  </property>
</Properties>
</file>