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872"/>
        <w:jc w:val="left"/>
        <w:rPr>
          <w:rFonts w:ascii="方正小标宋简体" w:hAnsi="黑体" w:eastAsia="方正小标宋简体"/>
          <w:sz w:val="44"/>
          <w:szCs w:val="44"/>
        </w:rPr>
      </w:pPr>
    </w:p>
    <w:p>
      <w:pPr>
        <w:widowControl/>
        <w:ind w:firstLine="872"/>
        <w:jc w:val="left"/>
        <w:rPr>
          <w:rFonts w:ascii="方正小标宋简体" w:hAnsi="黑体" w:eastAsia="方正小标宋简体"/>
          <w:sz w:val="44"/>
          <w:szCs w:val="44"/>
        </w:rPr>
      </w:pPr>
    </w:p>
    <w:p>
      <w:pPr>
        <w:widowControl/>
        <w:ind w:firstLine="872"/>
        <w:jc w:val="left"/>
        <w:rPr>
          <w:rFonts w:ascii="方正小标宋简体" w:hAnsi="黑体" w:eastAsia="方正小标宋简体"/>
          <w:sz w:val="44"/>
          <w:szCs w:val="44"/>
        </w:rPr>
      </w:pPr>
    </w:p>
    <w:p>
      <w:pPr>
        <w:widowControl/>
        <w:spacing w:line="700" w:lineRule="exact"/>
        <w:ind w:firstLine="872"/>
        <w:jc w:val="center"/>
        <w:rPr>
          <w:rFonts w:ascii="方正小标宋简体" w:hAnsi="黑体" w:eastAsia="方正小标宋简体"/>
          <w:sz w:val="44"/>
          <w:szCs w:val="44"/>
        </w:rPr>
      </w:pPr>
      <w:r>
        <w:rPr>
          <w:rFonts w:hint="eastAsia" w:ascii="方正小标宋简体" w:hAnsi="黑体" w:eastAsia="方正小标宋简体"/>
          <w:sz w:val="44"/>
          <w:szCs w:val="44"/>
        </w:rPr>
        <w:t>跨平台智能模型转化工具项目</w:t>
      </w:r>
    </w:p>
    <w:p>
      <w:pPr>
        <w:widowControl/>
        <w:spacing w:line="700" w:lineRule="exact"/>
        <w:ind w:firstLine="872"/>
        <w:jc w:val="center"/>
        <w:rPr>
          <w:rFonts w:ascii="方正小标宋简体" w:hAnsi="黑体" w:eastAsia="方正小标宋简体"/>
          <w:sz w:val="44"/>
          <w:szCs w:val="44"/>
        </w:rPr>
      </w:pPr>
      <w:r>
        <w:rPr>
          <w:rFonts w:hint="eastAsia" w:ascii="方正小标宋简体" w:hAnsi="黑体" w:eastAsia="方正小标宋简体"/>
          <w:sz w:val="44"/>
          <w:szCs w:val="44"/>
        </w:rPr>
        <w:t>技术内容及报价方案</w:t>
      </w:r>
    </w:p>
    <w:p>
      <w:pPr>
        <w:widowControl/>
        <w:jc w:val="left"/>
        <w:rPr>
          <w:sz w:val="32"/>
          <w:szCs w:val="32"/>
        </w:rPr>
      </w:pPr>
    </w:p>
    <w:p>
      <w:pPr>
        <w:widowControl/>
        <w:jc w:val="left"/>
        <w:rPr>
          <w:sz w:val="32"/>
          <w:szCs w:val="32"/>
        </w:rPr>
      </w:pPr>
    </w:p>
    <w:p>
      <w:pPr>
        <w:widowControl/>
        <w:jc w:val="left"/>
        <w:rPr>
          <w:sz w:val="32"/>
          <w:szCs w:val="32"/>
        </w:rPr>
      </w:pPr>
    </w:p>
    <w:p>
      <w:pPr>
        <w:widowControl/>
        <w:jc w:val="left"/>
        <w:rPr>
          <w:sz w:val="32"/>
          <w:szCs w:val="32"/>
        </w:rPr>
      </w:pPr>
    </w:p>
    <w:p>
      <w:pPr>
        <w:pStyle w:val="2"/>
        <w:rPr>
          <w:sz w:val="32"/>
          <w:szCs w:val="32"/>
        </w:rPr>
      </w:pPr>
    </w:p>
    <w:p>
      <w:pPr>
        <w:pStyle w:val="2"/>
        <w:rPr>
          <w:sz w:val="32"/>
          <w:szCs w:val="32"/>
        </w:rPr>
      </w:pPr>
    </w:p>
    <w:p>
      <w:pPr>
        <w:pStyle w:val="2"/>
        <w:rPr>
          <w:sz w:val="32"/>
          <w:szCs w:val="32"/>
        </w:rPr>
      </w:pPr>
    </w:p>
    <w:p>
      <w:pPr>
        <w:widowControl/>
        <w:ind w:firstLine="0" w:firstLineChars="0"/>
        <w:jc w:val="left"/>
        <w:rPr>
          <w:sz w:val="32"/>
          <w:szCs w:val="32"/>
        </w:rPr>
      </w:pPr>
    </w:p>
    <w:p>
      <w:pPr>
        <w:pStyle w:val="2"/>
        <w:ind w:firstLine="0" w:firstLineChars="0"/>
        <w:rPr>
          <w:sz w:val="32"/>
          <w:szCs w:val="32"/>
        </w:rPr>
      </w:pPr>
    </w:p>
    <w:p>
      <w:pPr>
        <w:widowControl/>
        <w:ind w:firstLine="0" w:firstLineChars="0"/>
        <w:jc w:val="left"/>
        <w:rPr>
          <w:sz w:val="32"/>
          <w:szCs w:val="32"/>
        </w:rPr>
      </w:pPr>
    </w:p>
    <w:p>
      <w:pPr>
        <w:widowControl/>
        <w:ind w:firstLine="712"/>
        <w:jc w:val="center"/>
        <w:rPr>
          <w:rFonts w:hint="eastAsia" w:ascii="楷体_GB2312" w:eastAsia="楷体_GB2312"/>
          <w:sz w:val="36"/>
          <w:szCs w:val="36"/>
        </w:rPr>
      </w:pPr>
      <w:r>
        <w:rPr>
          <w:rFonts w:hint="eastAsia" w:ascii="楷体_GB2312" w:eastAsia="楷体_GB2312"/>
          <w:sz w:val="36"/>
          <w:szCs w:val="36"/>
          <w:lang w:val="en-US" w:eastAsia="zh-CN"/>
        </w:rPr>
        <w:t>XXXXX</w:t>
      </w:r>
      <w:r>
        <w:rPr>
          <w:rFonts w:hint="eastAsia" w:ascii="楷体_GB2312" w:eastAsia="楷体_GB2312"/>
          <w:sz w:val="36"/>
          <w:szCs w:val="36"/>
        </w:rPr>
        <w:t>制</w:t>
      </w:r>
    </w:p>
    <w:p>
      <w:pPr>
        <w:pStyle w:val="2"/>
      </w:pPr>
    </w:p>
    <w:p>
      <w:pPr>
        <w:pStyle w:val="2"/>
        <w:jc w:val="center"/>
        <w:rPr>
          <w:rFonts w:hint="default" w:ascii="楷体_GB2312" w:hAnsi="仿宋" w:eastAsia="楷体_GB2312" w:cs="仿宋"/>
          <w:kern w:val="2"/>
          <w:sz w:val="36"/>
          <w:szCs w:val="36"/>
          <w:lang w:val="en-US" w:eastAsia="zh-CN" w:bidi="ar-SA"/>
        </w:rPr>
        <w:sectPr>
          <w:headerReference r:id="rId6" w:type="first"/>
          <w:footerReference r:id="rId9" w:type="first"/>
          <w:footerReference r:id="rId7" w:type="default"/>
          <w:headerReference r:id="rId5" w:type="even"/>
          <w:footerReference r:id="rId8" w:type="even"/>
          <w:pgSz w:w="11907" w:h="16840"/>
          <w:pgMar w:top="2098" w:right="1474" w:bottom="1814" w:left="1587" w:header="851" w:footer="1607" w:gutter="0"/>
          <w:cols w:space="720" w:num="1"/>
          <w:docGrid w:type="linesAndChars" w:linePitch="586" w:charSpace="-842"/>
        </w:sectPr>
      </w:pPr>
      <w:r>
        <w:rPr>
          <w:rFonts w:hint="eastAsia" w:ascii="楷体_GB2312" w:hAnsi="仿宋" w:eastAsia="楷体_GB2312" w:cs="仿宋"/>
          <w:kern w:val="2"/>
          <w:sz w:val="36"/>
          <w:szCs w:val="36"/>
          <w:lang w:val="en-US" w:eastAsia="zh-CN" w:bidi="ar-SA"/>
        </w:rPr>
        <w:t>2025年9月X日</w:t>
      </w:r>
    </w:p>
    <w:sdt>
      <w:sdtPr>
        <w:rPr>
          <w:rFonts w:ascii="宋体" w:hAnsi="宋体" w:eastAsia="宋体"/>
          <w:b/>
          <w:bCs/>
        </w:rPr>
        <w:id w:val="140857531"/>
        <w15:color w:val="DBDBDB"/>
        <w:docPartObj>
          <w:docPartGallery w:val="Table of Contents"/>
          <w:docPartUnique/>
        </w:docPartObj>
      </w:sdtPr>
      <w:sdtEndPr>
        <w:rPr>
          <w:rFonts w:ascii="仿宋_GB2312" w:hAnsi="仿宋" w:eastAsia="仿宋_GB2312"/>
          <w:b/>
          <w:bCs/>
          <w:szCs w:val="32"/>
        </w:rPr>
      </w:sdtEndPr>
      <w:sdtContent>
        <w:p>
          <w:pPr>
            <w:spacing w:line="360" w:lineRule="auto"/>
            <w:ind w:firstLine="0" w:firstLineChars="0"/>
            <w:jc w:val="center"/>
            <w:rPr>
              <w:b/>
              <w:bCs/>
            </w:rPr>
          </w:pPr>
          <w:r>
            <w:rPr>
              <w:rFonts w:hint="eastAsia" w:hAnsi="宋体"/>
              <w:b/>
              <w:bCs/>
            </w:rPr>
            <w:t>目录</w:t>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TOC \o "1-3" \f \h \u </w:instrText>
          </w:r>
          <w:r>
            <w:fldChar w:fldCharType="separate"/>
          </w:r>
          <w:r>
            <w:fldChar w:fldCharType="begin"/>
          </w:r>
          <w:r>
            <w:instrText xml:space="preserve"> HYPERLINK \l _Toc693629168 </w:instrText>
          </w:r>
          <w:r>
            <w:fldChar w:fldCharType="separate"/>
          </w:r>
          <w:r>
            <w:rPr>
              <w:rFonts w:hint="eastAsia" w:ascii="黑体" w:hAnsi="黑体" w:eastAsia="黑体"/>
              <w:szCs w:val="32"/>
            </w:rPr>
            <w:t>一、基本情况</w:t>
          </w:r>
          <w:r>
            <w:tab/>
          </w:r>
          <w:r>
            <w:fldChar w:fldCharType="begin"/>
          </w:r>
          <w:r>
            <w:instrText xml:space="preserve"> PAGEREF _Toc693629168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_Toc1284190660 </w:instrText>
          </w:r>
          <w:r>
            <w:fldChar w:fldCharType="separate"/>
          </w:r>
          <w:r>
            <w:rPr>
              <w:rFonts w:hint="eastAsia" w:ascii="楷体_GB2312" w:hAnsi="楷体_GB2312" w:eastAsia="楷体_GB2312" w:cs="楷体_GB2312"/>
              <w:szCs w:val="32"/>
            </w:rPr>
            <w:t>（一）项目背景</w:t>
          </w:r>
          <w:r>
            <w:tab/>
          </w:r>
          <w:r>
            <w:fldChar w:fldCharType="begin"/>
          </w:r>
          <w:r>
            <w:instrText xml:space="preserve"> PAGEREF _Toc1284190660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_Toc1181770270 </w:instrText>
          </w:r>
          <w:r>
            <w:fldChar w:fldCharType="separate"/>
          </w:r>
          <w:r>
            <w:rPr>
              <w:rFonts w:hint="eastAsia" w:ascii="楷体_GB2312" w:hAnsi="楷体_GB2312" w:eastAsia="楷体_GB2312" w:cs="楷体_GB2312"/>
              <w:szCs w:val="32"/>
            </w:rPr>
            <w:t>（二）</w:t>
          </w:r>
          <w:r>
            <w:rPr>
              <w:rFonts w:hint="eastAsia" w:ascii="楷体_GB2312" w:hAnsi="楷体_GB2312" w:eastAsia="楷体_GB2312" w:cs="楷体_GB2312"/>
              <w:szCs w:val="32"/>
              <w:lang w:val="en-US" w:eastAsia="zh-CN"/>
            </w:rPr>
            <w:t>项目</w:t>
          </w:r>
          <w:r>
            <w:rPr>
              <w:rFonts w:hint="eastAsia" w:ascii="楷体_GB2312" w:hAnsi="楷体_GB2312" w:eastAsia="楷体_GB2312" w:cs="楷体_GB2312"/>
              <w:szCs w:val="32"/>
            </w:rPr>
            <w:t>内容</w:t>
          </w:r>
          <w:r>
            <w:tab/>
          </w:r>
          <w:r>
            <w:fldChar w:fldCharType="begin"/>
          </w:r>
          <w:r>
            <w:instrText xml:space="preserve"> PAGEREF _Toc1181770270 \h </w:instrText>
          </w:r>
          <w:r>
            <w:fldChar w:fldCharType="separate"/>
          </w:r>
          <w:r>
            <w:t>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_Toc2084160434 </w:instrText>
          </w:r>
          <w:r>
            <w:fldChar w:fldCharType="separate"/>
          </w:r>
          <w:r>
            <w:rPr>
              <w:rFonts w:hint="eastAsia"/>
              <w:szCs w:val="32"/>
            </w:rPr>
            <w:t>1. 功能指标</w:t>
          </w:r>
          <w:r>
            <w:tab/>
          </w:r>
          <w:r>
            <w:fldChar w:fldCharType="begin"/>
          </w:r>
          <w:r>
            <w:instrText xml:space="preserve"> PAGEREF _Toc2084160434 \h </w:instrText>
          </w:r>
          <w:r>
            <w:fldChar w:fldCharType="separate"/>
          </w:r>
          <w:r>
            <w:t>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_Toc878648021 </w:instrText>
          </w:r>
          <w:r>
            <w:fldChar w:fldCharType="separate"/>
          </w:r>
          <w:r>
            <w:rPr>
              <w:rFonts w:hint="eastAsia"/>
              <w:szCs w:val="32"/>
            </w:rPr>
            <w:t>2. 性能指标</w:t>
          </w:r>
          <w:r>
            <w:tab/>
          </w:r>
          <w:r>
            <w:fldChar w:fldCharType="begin"/>
          </w:r>
          <w:r>
            <w:instrText xml:space="preserve"> PAGEREF _Toc878648021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_Toc1339732175 </w:instrText>
          </w:r>
          <w:r>
            <w:fldChar w:fldCharType="separate"/>
          </w:r>
          <w:r>
            <w:rPr>
              <w:rFonts w:hint="eastAsia" w:ascii="楷体_GB2312" w:hAnsi="楷体_GB2312" w:eastAsia="楷体_GB2312" w:cs="楷体_GB2312"/>
              <w:szCs w:val="32"/>
            </w:rPr>
            <w:t>（三）单位情况</w:t>
          </w:r>
          <w:r>
            <w:tab/>
          </w:r>
          <w:r>
            <w:fldChar w:fldCharType="begin"/>
          </w:r>
          <w:r>
            <w:instrText xml:space="preserve"> PAGEREF _Toc1339732175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_Toc512626430 </w:instrText>
          </w:r>
          <w:r>
            <w:fldChar w:fldCharType="separate"/>
          </w:r>
          <w:r>
            <w:rPr>
              <w:rFonts w:hint="eastAsia" w:ascii="楷体_GB2312" w:hAnsi="楷体_GB2312" w:eastAsia="楷体_GB2312" w:cs="楷体_GB2312"/>
              <w:szCs w:val="32"/>
            </w:rPr>
            <w:t xml:space="preserve">（四） </w:t>
          </w:r>
          <w:r>
            <w:rPr>
              <w:rFonts w:hint="eastAsia" w:ascii="楷体_GB2312" w:hAnsi="楷体_GB2312" w:eastAsia="楷体_GB2312" w:cs="楷体_GB2312"/>
              <w:szCs w:val="32"/>
              <w:lang w:val="en-US" w:eastAsia="zh-CN"/>
            </w:rPr>
            <w:t>项目</w:t>
          </w:r>
          <w:r>
            <w:rPr>
              <w:rFonts w:hint="eastAsia" w:ascii="楷体_GB2312" w:hAnsi="楷体_GB2312" w:eastAsia="楷体_GB2312" w:cs="楷体_GB2312"/>
              <w:szCs w:val="32"/>
            </w:rPr>
            <w:t>周期</w:t>
          </w:r>
          <w:r>
            <w:tab/>
          </w:r>
          <w:r>
            <w:fldChar w:fldCharType="begin"/>
          </w:r>
          <w:r>
            <w:instrText xml:space="preserve"> PAGEREF _Toc512626430 \h </w:instrText>
          </w:r>
          <w:r>
            <w:fldChar w:fldCharType="separate"/>
          </w:r>
          <w:r>
            <w:t>2</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_Toc8017246 </w:instrText>
          </w:r>
          <w:r>
            <w:fldChar w:fldCharType="separate"/>
          </w:r>
          <w:r>
            <w:rPr>
              <w:rFonts w:hint="eastAsia" w:ascii="楷体_GB2312" w:hAnsi="楷体_GB2312" w:eastAsia="楷体_GB2312" w:cs="楷体_GB2312"/>
              <w:szCs w:val="32"/>
            </w:rPr>
            <w:t>（五）经费概况</w:t>
          </w:r>
          <w:r>
            <w:tab/>
          </w:r>
          <w:r>
            <w:fldChar w:fldCharType="begin"/>
          </w:r>
          <w:r>
            <w:instrText xml:space="preserve"> PAGEREF _Toc8017246 \h </w:instrText>
          </w:r>
          <w:r>
            <w:fldChar w:fldCharType="separate"/>
          </w:r>
          <w:r>
            <w:t>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_Toc1601867408 </w:instrText>
          </w:r>
          <w:r>
            <w:fldChar w:fldCharType="separate"/>
          </w:r>
          <w:r>
            <w:rPr>
              <w:rFonts w:hint="eastAsia" w:ascii="楷体_GB2312" w:hAnsi="楷体_GB2312" w:eastAsia="楷体_GB2312" w:cs="楷体_GB2312"/>
              <w:szCs w:val="32"/>
            </w:rPr>
            <w:t>（五） 成果及交付形式</w:t>
          </w:r>
          <w:r>
            <w:tab/>
          </w:r>
          <w:r>
            <w:fldChar w:fldCharType="begin"/>
          </w:r>
          <w:r>
            <w:instrText xml:space="preserve"> PAGEREF _Toc1601867408 \h </w:instrText>
          </w:r>
          <w:r>
            <w:fldChar w:fldCharType="separate"/>
          </w:r>
          <w:r>
            <w:t>3</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_Toc1730527464 </w:instrText>
          </w:r>
          <w:r>
            <w:fldChar w:fldCharType="separate"/>
          </w:r>
          <w:r>
            <w:rPr>
              <w:rFonts w:hint="eastAsia" w:ascii="黑体" w:hAnsi="黑体" w:eastAsia="黑体"/>
              <w:szCs w:val="32"/>
            </w:rPr>
            <w:t>二、方案依据</w:t>
          </w:r>
          <w:r>
            <w:tab/>
          </w:r>
          <w:r>
            <w:fldChar w:fldCharType="begin"/>
          </w:r>
          <w:r>
            <w:instrText xml:space="preserve"> PAGEREF _Toc1730527464 \h </w:instrText>
          </w:r>
          <w:r>
            <w:fldChar w:fldCharType="separate"/>
          </w:r>
          <w:r>
            <w:t>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_Toc1604056127 </w:instrText>
          </w:r>
          <w:r>
            <w:fldChar w:fldCharType="separate"/>
          </w:r>
          <w:r>
            <w:rPr>
              <w:rFonts w:hint="eastAsia" w:ascii="楷体_GB2312" w:hAnsi="楷体_GB2312" w:eastAsia="楷体_GB2312" w:cs="楷体_GB2312"/>
              <w:szCs w:val="32"/>
            </w:rPr>
            <w:t>（一）参照法规标准</w:t>
          </w:r>
          <w:r>
            <w:tab/>
          </w:r>
          <w:r>
            <w:fldChar w:fldCharType="begin"/>
          </w:r>
          <w:r>
            <w:instrText xml:space="preserve"> PAGEREF _Toc1604056127 \h </w:instrText>
          </w:r>
          <w:r>
            <w:fldChar w:fldCharType="separate"/>
          </w:r>
          <w:r>
            <w:t>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_Toc2009105698 </w:instrText>
          </w:r>
          <w:r>
            <w:fldChar w:fldCharType="separate"/>
          </w:r>
          <w:r>
            <w:rPr>
              <w:rFonts w:hint="eastAsia" w:ascii="楷体_GB2312" w:hAnsi="楷体_GB2312" w:eastAsia="楷体_GB2312" w:cs="楷体_GB2312"/>
              <w:szCs w:val="32"/>
            </w:rPr>
            <w:t>（二）比照条件分析</w:t>
          </w:r>
          <w:r>
            <w:tab/>
          </w:r>
          <w:r>
            <w:fldChar w:fldCharType="begin"/>
          </w:r>
          <w:r>
            <w:instrText xml:space="preserve"> PAGEREF _Toc2009105698 \h </w:instrText>
          </w:r>
          <w:r>
            <w:fldChar w:fldCharType="separate"/>
          </w:r>
          <w:r>
            <w:t>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_Toc6600858 </w:instrText>
          </w:r>
          <w:r>
            <w:fldChar w:fldCharType="separate"/>
          </w:r>
          <w:r>
            <w:rPr>
              <w:rFonts w:hint="eastAsia"/>
            </w:rPr>
            <w:t>1. 同类项目价格对标​</w:t>
          </w:r>
          <w:r>
            <w:tab/>
          </w:r>
          <w:r>
            <w:fldChar w:fldCharType="begin"/>
          </w:r>
          <w:r>
            <w:instrText xml:space="preserve"> PAGEREF _Toc6600858 \h </w:instrText>
          </w:r>
          <w:r>
            <w:fldChar w:fldCharType="separate"/>
          </w:r>
          <w:r>
            <w:t>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_Toc1418954409 </w:instrText>
          </w:r>
          <w:r>
            <w:fldChar w:fldCharType="separate"/>
          </w:r>
          <w:r>
            <w:rPr>
              <w:rFonts w:hint="eastAsia"/>
            </w:rPr>
            <w:t>2. 核心资源价格询价​</w:t>
          </w:r>
          <w:r>
            <w:tab/>
          </w:r>
          <w:r>
            <w:fldChar w:fldCharType="begin"/>
          </w:r>
          <w:r>
            <w:instrText xml:space="preserve"> PAGEREF _Toc1418954409 \h </w:instrText>
          </w:r>
          <w:r>
            <w:fldChar w:fldCharType="separate"/>
          </w:r>
          <w:r>
            <w:t>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_Toc560852128 </w:instrText>
          </w:r>
          <w:r>
            <w:fldChar w:fldCharType="separate"/>
          </w:r>
          <w:r>
            <w:rPr>
              <w:rFonts w:hint="eastAsia"/>
            </w:rPr>
            <w:t>3. 费用标准锚定与核算​</w:t>
          </w:r>
          <w:r>
            <w:tab/>
          </w:r>
          <w:r>
            <w:fldChar w:fldCharType="begin"/>
          </w:r>
          <w:r>
            <w:instrText xml:space="preserve"> PAGEREF _Toc560852128 \h </w:instrText>
          </w:r>
          <w:r>
            <w:fldChar w:fldCharType="separate"/>
          </w:r>
          <w:r>
            <w:t>7</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_Toc935988613 </w:instrText>
          </w:r>
          <w:r>
            <w:fldChar w:fldCharType="separate"/>
          </w:r>
          <w:r>
            <w:rPr>
              <w:rFonts w:hint="eastAsia" w:ascii="楷体_GB2312" w:hAnsi="楷体_GB2312" w:eastAsia="楷体_GB2312" w:cs="楷体_GB2312"/>
              <w:szCs w:val="32"/>
            </w:rPr>
            <w:t>（三）论证方法</w:t>
          </w:r>
          <w:r>
            <w:tab/>
          </w:r>
          <w:r>
            <w:fldChar w:fldCharType="begin"/>
          </w:r>
          <w:r>
            <w:instrText xml:space="preserve"> PAGEREF _Toc935988613 \h </w:instrText>
          </w:r>
          <w:r>
            <w:fldChar w:fldCharType="separate"/>
          </w:r>
          <w:r>
            <w:t>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_Toc842904416 </w:instrText>
          </w:r>
          <w:r>
            <w:fldChar w:fldCharType="separate"/>
          </w:r>
          <w:r>
            <w:rPr>
              <w:rFonts w:hint="eastAsia"/>
            </w:rPr>
            <w:t>1. 分类论证法​</w:t>
          </w:r>
          <w:r>
            <w:tab/>
          </w:r>
          <w:r>
            <w:fldChar w:fldCharType="begin"/>
          </w:r>
          <w:r>
            <w:instrText xml:space="preserve"> PAGEREF _Toc842904416 \h </w:instrText>
          </w:r>
          <w:r>
            <w:fldChar w:fldCharType="separate"/>
          </w:r>
          <w:r>
            <w:t>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_Toc1892384100 </w:instrText>
          </w:r>
          <w:r>
            <w:fldChar w:fldCharType="separate"/>
          </w:r>
          <w:r>
            <w:rPr>
              <w:rFonts w:hint="eastAsia"/>
            </w:rPr>
            <w:t>2. 量化支撑论证法​</w:t>
          </w:r>
          <w:r>
            <w:tab/>
          </w:r>
          <w:r>
            <w:fldChar w:fldCharType="begin"/>
          </w:r>
          <w:r>
            <w:instrText xml:space="preserve"> PAGEREF _Toc1892384100 \h </w:instrText>
          </w:r>
          <w:r>
            <w:fldChar w:fldCharType="separate"/>
          </w:r>
          <w:r>
            <w:t>8</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_Toc1066756630 </w:instrText>
          </w:r>
          <w:r>
            <w:fldChar w:fldCharType="separate"/>
          </w:r>
          <w:r>
            <w:rPr>
              <w:rFonts w:hint="eastAsia"/>
            </w:rPr>
            <w:t>3. 成本溯源论证法​</w:t>
          </w:r>
          <w:r>
            <w:tab/>
          </w:r>
          <w:r>
            <w:fldChar w:fldCharType="begin"/>
          </w:r>
          <w:r>
            <w:instrText xml:space="preserve"> PAGEREF _Toc1066756630 \h </w:instrText>
          </w:r>
          <w:r>
            <w:fldChar w:fldCharType="separate"/>
          </w:r>
          <w:r>
            <w:t>8</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_Toc1785195254 </w:instrText>
          </w:r>
          <w:r>
            <w:fldChar w:fldCharType="separate"/>
          </w:r>
          <w:r>
            <w:rPr>
              <w:rFonts w:hint="eastAsia" w:ascii="黑体" w:hAnsi="黑体" w:eastAsia="黑体"/>
              <w:szCs w:val="32"/>
            </w:rPr>
            <w:t>三、 项目技术内容与经费报价方案及测算理由</w:t>
          </w:r>
          <w:r>
            <w:tab/>
          </w:r>
          <w:r>
            <w:fldChar w:fldCharType="begin"/>
          </w:r>
          <w:r>
            <w:instrText xml:space="preserve"> PAGEREF _Toc1785195254 \h </w:instrText>
          </w:r>
          <w:r>
            <w:fldChar w:fldCharType="separate"/>
          </w:r>
          <w:r>
            <w:t>8</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_Toc1282601741 </w:instrText>
          </w:r>
          <w:r>
            <w:fldChar w:fldCharType="separate"/>
          </w:r>
          <w:r>
            <w:rPr>
              <w:rFonts w:hint="eastAsia" w:ascii="楷体_GB2312" w:hAnsi="楷体_GB2312" w:eastAsia="楷体_GB2312" w:cs="楷体_GB2312"/>
              <w:szCs w:val="32"/>
              <w:lang w:eastAsia="zh-CN"/>
            </w:rPr>
            <w:t>（</w:t>
          </w:r>
          <w:r>
            <w:rPr>
              <w:rFonts w:hint="eastAsia" w:ascii="楷体_GB2312" w:hAnsi="楷体_GB2312" w:eastAsia="楷体_GB2312" w:cs="楷体_GB2312"/>
              <w:szCs w:val="32"/>
              <w:lang w:val="en-US" w:eastAsia="zh-CN"/>
            </w:rPr>
            <w:t>一</w:t>
          </w:r>
          <w:r>
            <w:rPr>
              <w:rFonts w:hint="eastAsia" w:ascii="楷体_GB2312" w:hAnsi="楷体_GB2312" w:eastAsia="楷体_GB2312" w:cs="楷体_GB2312"/>
              <w:szCs w:val="32"/>
              <w:lang w:eastAsia="zh-CN"/>
            </w:rPr>
            <w:t>）</w:t>
          </w:r>
          <w:r>
            <w:rPr>
              <w:rFonts w:hint="eastAsia" w:ascii="楷体_GB2312" w:hAnsi="楷体_GB2312" w:eastAsia="楷体_GB2312" w:cs="楷体_GB2312"/>
              <w:szCs w:val="32"/>
            </w:rPr>
            <w:t>技术方案</w:t>
          </w:r>
          <w:r>
            <w:tab/>
          </w:r>
          <w:r>
            <w:fldChar w:fldCharType="begin"/>
          </w:r>
          <w:r>
            <w:instrText xml:space="preserve"> PAGEREF _Toc1282601741 \h </w:instrText>
          </w:r>
          <w:r>
            <w:fldChar w:fldCharType="separate"/>
          </w:r>
          <w:r>
            <w:t>8</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_Toc246612401 </w:instrText>
          </w:r>
          <w:r>
            <w:fldChar w:fldCharType="separate"/>
          </w:r>
          <w:r>
            <w:rPr>
              <w:szCs w:val="32"/>
            </w:rPr>
            <w:t xml:space="preserve">1. </w:t>
          </w:r>
          <w:r>
            <w:rPr>
              <w:rFonts w:hint="eastAsia"/>
              <w:szCs w:val="32"/>
              <w:lang w:val="en-US" w:eastAsia="zh-CN"/>
            </w:rPr>
            <w:t>系统设计</w:t>
          </w:r>
          <w:r>
            <w:tab/>
          </w:r>
          <w:r>
            <w:fldChar w:fldCharType="begin"/>
          </w:r>
          <w:r>
            <w:instrText xml:space="preserve"> PAGEREF _Toc246612401 \h </w:instrText>
          </w:r>
          <w:r>
            <w:fldChar w:fldCharType="separate"/>
          </w:r>
          <w:r>
            <w:t>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_Toc171184897 </w:instrText>
          </w:r>
          <w:r>
            <w:fldChar w:fldCharType="separate"/>
          </w:r>
          <w:r>
            <w:rPr>
              <w:szCs w:val="32"/>
            </w:rPr>
            <w:t xml:space="preserve">2. </w:t>
          </w:r>
          <w:r>
            <w:rPr>
              <w:rFonts w:hint="eastAsia"/>
              <w:szCs w:val="32"/>
            </w:rPr>
            <w:t>架构设计</w:t>
          </w:r>
          <w:r>
            <w:tab/>
          </w:r>
          <w:r>
            <w:fldChar w:fldCharType="begin"/>
          </w:r>
          <w:r>
            <w:instrText xml:space="preserve"> PAGEREF _Toc171184897 \h </w:instrText>
          </w:r>
          <w:r>
            <w:fldChar w:fldCharType="separate"/>
          </w:r>
          <w:r>
            <w:t>16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_Toc1623960546 </w:instrText>
          </w:r>
          <w:r>
            <w:fldChar w:fldCharType="separate"/>
          </w:r>
          <w:r>
            <w:rPr>
              <w:szCs w:val="32"/>
            </w:rPr>
            <w:t xml:space="preserve">3. </w:t>
          </w:r>
          <w:r>
            <w:rPr>
              <w:rFonts w:hint="eastAsia" w:ascii="仿宋_GB2312" w:eastAsia="仿宋_GB2312"/>
              <w:szCs w:val="32"/>
              <w:lang w:val="en-US" w:eastAsia="zh-CN"/>
            </w:rPr>
            <w:t>基础功能——</w:t>
          </w:r>
          <w:r>
            <w:rPr>
              <w:rFonts w:hint="eastAsia"/>
              <w:szCs w:val="32"/>
            </w:rPr>
            <w:t>模型管理</w:t>
          </w:r>
          <w:r>
            <w:tab/>
          </w:r>
          <w:r>
            <w:fldChar w:fldCharType="begin"/>
          </w:r>
          <w:r>
            <w:instrText xml:space="preserve"> PAGEREF _Toc1623960546 \h </w:instrText>
          </w:r>
          <w:r>
            <w:fldChar w:fldCharType="separate"/>
          </w:r>
          <w:r>
            <w:t>39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_Toc1535226899 </w:instrText>
          </w:r>
          <w:r>
            <w:fldChar w:fldCharType="separate"/>
          </w:r>
          <w:r>
            <w:rPr>
              <w:szCs w:val="32"/>
            </w:rPr>
            <w:t xml:space="preserve">4. </w:t>
          </w:r>
          <w:r>
            <w:rPr>
              <w:rFonts w:hint="eastAsia" w:ascii="仿宋_GB2312" w:eastAsia="仿宋_GB2312"/>
              <w:szCs w:val="32"/>
              <w:lang w:val="en-US" w:eastAsia="zh-CN"/>
            </w:rPr>
            <w:t>功能指标1：</w:t>
          </w:r>
          <w:r>
            <w:rPr>
              <w:rFonts w:hint="eastAsia"/>
              <w:szCs w:val="32"/>
            </w:rPr>
            <w:t>可支持模型的跨平台、跨底层架构的格式转化</w:t>
          </w:r>
          <w:r>
            <w:tab/>
          </w:r>
          <w:r>
            <w:fldChar w:fldCharType="begin"/>
          </w:r>
          <w:r>
            <w:instrText xml:space="preserve"> PAGEREF _Toc1535226899 \h </w:instrText>
          </w:r>
          <w:r>
            <w:fldChar w:fldCharType="separate"/>
          </w:r>
          <w:r>
            <w:t>45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_Toc542472788 </w:instrText>
          </w:r>
          <w:r>
            <w:fldChar w:fldCharType="separate"/>
          </w:r>
          <w:r>
            <w:rPr>
              <w:szCs w:val="32"/>
            </w:rPr>
            <w:t xml:space="preserve">5. </w:t>
          </w:r>
          <w:r>
            <w:rPr>
              <w:rFonts w:hint="eastAsia" w:ascii="仿宋_GB2312" w:eastAsia="仿宋_GB2312"/>
              <w:szCs w:val="32"/>
              <w:lang w:val="en-US" w:eastAsia="zh-CN"/>
            </w:rPr>
            <w:t>功能指标2：</w:t>
          </w:r>
          <w:r>
            <w:rPr>
              <w:rFonts w:hint="eastAsia"/>
              <w:szCs w:val="32"/>
            </w:rPr>
            <w:t>可根据模型格式进行模型可视化</w:t>
          </w:r>
          <w:r>
            <w:tab/>
          </w:r>
          <w:r>
            <w:fldChar w:fldCharType="begin"/>
          </w:r>
          <w:r>
            <w:instrText xml:space="preserve"> PAGEREF _Toc542472788 \h </w:instrText>
          </w:r>
          <w:r>
            <w:fldChar w:fldCharType="separate"/>
          </w:r>
          <w:r>
            <w:t>54</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_Toc1272066401 </w:instrText>
          </w:r>
          <w:r>
            <w:fldChar w:fldCharType="separate"/>
          </w:r>
          <w:r>
            <w:rPr>
              <w:szCs w:val="32"/>
            </w:rPr>
            <w:t xml:space="preserve">6. </w:t>
          </w:r>
          <w:r>
            <w:rPr>
              <w:rFonts w:hint="eastAsia" w:ascii="仿宋_GB2312" w:eastAsia="仿宋_GB2312"/>
              <w:szCs w:val="32"/>
              <w:lang w:val="en-US" w:eastAsia="zh-CN"/>
            </w:rPr>
            <w:t>跨平台推理测试模块</w:t>
          </w:r>
          <w:r>
            <w:tab/>
          </w:r>
          <w:r>
            <w:fldChar w:fldCharType="begin"/>
          </w:r>
          <w:r>
            <w:instrText xml:space="preserve"> PAGEREF _Toc1272066401 \h </w:instrText>
          </w:r>
          <w:r>
            <w:fldChar w:fldCharType="separate"/>
          </w:r>
          <w:r>
            <w:t>61</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_Toc1420295722 </w:instrText>
          </w:r>
          <w:r>
            <w:fldChar w:fldCharType="separate"/>
          </w:r>
          <w:r>
            <w:rPr>
              <w:szCs w:val="32"/>
            </w:rPr>
            <w:t xml:space="preserve">7. </w:t>
          </w:r>
          <w:r>
            <w:rPr>
              <w:rFonts w:hint="eastAsia" w:ascii="仿宋_GB2312" w:eastAsia="仿宋_GB2312"/>
              <w:szCs w:val="32"/>
              <w:lang w:val="en-US" w:eastAsia="zh-CN"/>
            </w:rPr>
            <w:t>任务监控模块</w:t>
          </w:r>
          <w:r>
            <w:tab/>
          </w:r>
          <w:r>
            <w:fldChar w:fldCharType="begin"/>
          </w:r>
          <w:r>
            <w:instrText xml:space="preserve"> PAGEREF _Toc1420295722 \h </w:instrText>
          </w:r>
          <w:r>
            <w:fldChar w:fldCharType="separate"/>
          </w:r>
          <w:r>
            <w:t>68</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_Toc1629463249 </w:instrText>
          </w:r>
          <w:r>
            <w:fldChar w:fldCharType="separate"/>
          </w:r>
          <w:r>
            <w:rPr>
              <w:rFonts w:hint="eastAsia" w:ascii="楷体_GB2312" w:hAnsi="楷体_GB2312" w:eastAsia="楷体_GB2312" w:cs="楷体_GB2312"/>
              <w:szCs w:val="32"/>
            </w:rPr>
            <w:t>（</w:t>
          </w:r>
          <w:r>
            <w:rPr>
              <w:rFonts w:hint="eastAsia" w:ascii="楷体_GB2312" w:hAnsi="楷体_GB2312" w:eastAsia="楷体_GB2312" w:cs="楷体_GB2312"/>
              <w:szCs w:val="32"/>
              <w:lang w:val="en-US" w:eastAsia="zh-CN"/>
            </w:rPr>
            <w:t>二</w:t>
          </w:r>
          <w:r>
            <w:rPr>
              <w:rFonts w:hint="eastAsia" w:ascii="楷体_GB2312" w:hAnsi="楷体_GB2312" w:eastAsia="楷体_GB2312" w:cs="楷体_GB2312"/>
              <w:szCs w:val="32"/>
            </w:rPr>
            <w:t>）工作内容</w:t>
          </w:r>
          <w:r>
            <w:tab/>
          </w:r>
          <w:r>
            <w:fldChar w:fldCharType="begin"/>
          </w:r>
          <w:r>
            <w:instrText xml:space="preserve"> PAGEREF _Toc1629463249 \h </w:instrText>
          </w:r>
          <w:r>
            <w:fldChar w:fldCharType="separate"/>
          </w:r>
          <w:r>
            <w:t>72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_Toc1677359399 </w:instrText>
          </w:r>
          <w:r>
            <w:fldChar w:fldCharType="separate"/>
          </w:r>
          <w:r>
            <w:rPr>
              <w:szCs w:val="32"/>
            </w:rPr>
            <w:t xml:space="preserve">1. </w:t>
          </w:r>
          <w:r>
            <w:rPr>
              <w:rFonts w:hint="eastAsia"/>
              <w:szCs w:val="32"/>
            </w:rPr>
            <w:t>需求深度调研与确认</w:t>
          </w:r>
          <w:r>
            <w:tab/>
          </w:r>
          <w:r>
            <w:fldChar w:fldCharType="begin"/>
          </w:r>
          <w:r>
            <w:instrText xml:space="preserve"> PAGEREF _Toc1677359399 \h </w:instrText>
          </w:r>
          <w:r>
            <w:fldChar w:fldCharType="separate"/>
          </w:r>
          <w:r>
            <w:t>72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_Toc1361584824 </w:instrText>
          </w:r>
          <w:r>
            <w:fldChar w:fldCharType="separate"/>
          </w:r>
          <w:r>
            <w:rPr>
              <w:szCs w:val="32"/>
            </w:rPr>
            <w:t xml:space="preserve">2. </w:t>
          </w:r>
          <w:r>
            <w:rPr>
              <w:rFonts w:hint="eastAsia"/>
              <w:szCs w:val="32"/>
            </w:rPr>
            <w:t>资源与环境搭建</w:t>
          </w:r>
          <w:r>
            <w:tab/>
          </w:r>
          <w:r>
            <w:fldChar w:fldCharType="begin"/>
          </w:r>
          <w:r>
            <w:instrText xml:space="preserve"> PAGEREF _Toc1361584824 \h </w:instrText>
          </w:r>
          <w:r>
            <w:fldChar w:fldCharType="separate"/>
          </w:r>
          <w:r>
            <w:t>72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_Toc570394536 </w:instrText>
          </w:r>
          <w:r>
            <w:fldChar w:fldCharType="separate"/>
          </w:r>
          <w:r>
            <w:rPr>
              <w:szCs w:val="32"/>
            </w:rPr>
            <w:t xml:space="preserve">3. </w:t>
          </w:r>
          <w:r>
            <w:rPr>
              <w:rFonts w:hint="eastAsia"/>
              <w:szCs w:val="32"/>
            </w:rPr>
            <w:t>软件架构与模块开发</w:t>
          </w:r>
          <w:r>
            <w:tab/>
          </w:r>
          <w:r>
            <w:fldChar w:fldCharType="begin"/>
          </w:r>
          <w:r>
            <w:instrText xml:space="preserve"> PAGEREF _Toc570394536 \h </w:instrText>
          </w:r>
          <w:r>
            <w:fldChar w:fldCharType="separate"/>
          </w:r>
          <w:r>
            <w:t>72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_Toc253966344 </w:instrText>
          </w:r>
          <w:r>
            <w:fldChar w:fldCharType="separate"/>
          </w:r>
          <w:r>
            <w:rPr>
              <w:szCs w:val="32"/>
            </w:rPr>
            <w:t xml:space="preserve">4. </w:t>
          </w:r>
          <w:r>
            <w:rPr>
              <w:rFonts w:hint="eastAsia"/>
              <w:szCs w:val="32"/>
            </w:rPr>
            <w:t>20类模型与4类平台适配调试</w:t>
          </w:r>
          <w:r>
            <w:tab/>
          </w:r>
          <w:r>
            <w:fldChar w:fldCharType="begin"/>
          </w:r>
          <w:r>
            <w:instrText xml:space="preserve"> PAGEREF _Toc253966344 \h </w:instrText>
          </w:r>
          <w:r>
            <w:fldChar w:fldCharType="separate"/>
          </w:r>
          <w:r>
            <w:t>73</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_Toc1362337019 </w:instrText>
          </w:r>
          <w:r>
            <w:fldChar w:fldCharType="separate"/>
          </w:r>
          <w:r>
            <w:rPr>
              <w:szCs w:val="32"/>
            </w:rPr>
            <w:t xml:space="preserve">5. </w:t>
          </w:r>
          <w:r>
            <w:rPr>
              <w:rFonts w:hint="eastAsia"/>
              <w:szCs w:val="32"/>
            </w:rPr>
            <w:t>功能与性能测试</w:t>
          </w:r>
          <w:r>
            <w:rPr>
              <w:rFonts w:hint="eastAsia"/>
              <w:szCs w:val="32"/>
              <w:lang w:eastAsia="zh-CN"/>
            </w:rPr>
            <w:t>、</w:t>
          </w:r>
          <w:bookmarkStart w:id="78" w:name="_GoBack"/>
          <w:bookmarkEnd w:id="78"/>
          <w:r>
            <w:rPr>
              <w:rFonts w:hint="eastAsia"/>
              <w:szCs w:val="32"/>
              <w:lang w:eastAsia="zh-CN"/>
            </w:rPr>
            <w:t>问题修复与优化</w:t>
          </w:r>
          <w:r>
            <w:tab/>
          </w:r>
          <w:r>
            <w:fldChar w:fldCharType="begin"/>
          </w:r>
          <w:r>
            <w:instrText xml:space="preserve"> PAGEREF _Toc1362337019 \h </w:instrText>
          </w:r>
          <w:r>
            <w:fldChar w:fldCharType="separate"/>
          </w:r>
          <w:r>
            <w:t>73</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_Toc327634019 </w:instrText>
          </w:r>
          <w:r>
            <w:fldChar w:fldCharType="separate"/>
          </w:r>
          <w:r>
            <w:rPr>
              <w:szCs w:val="32"/>
            </w:rPr>
            <w:t xml:space="preserve">6. </w:t>
          </w:r>
          <w:r>
            <w:rPr>
              <w:rFonts w:hint="eastAsia"/>
              <w:szCs w:val="32"/>
            </w:rPr>
            <w:t>交付与服务阶段</w:t>
          </w:r>
          <w:r>
            <w:tab/>
          </w:r>
          <w:r>
            <w:fldChar w:fldCharType="begin"/>
          </w:r>
          <w:r>
            <w:instrText xml:space="preserve"> PAGEREF _Toc327634019 \h </w:instrText>
          </w:r>
          <w:r>
            <w:fldChar w:fldCharType="separate"/>
          </w:r>
          <w:r>
            <w:t>73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_Toc396886425 </w:instrText>
          </w:r>
          <w:r>
            <w:fldChar w:fldCharType="separate"/>
          </w:r>
          <w:r>
            <w:rPr>
              <w:rFonts w:hint="eastAsia" w:ascii="楷体_GB2312" w:hAnsi="楷体_GB2312" w:eastAsia="楷体_GB2312" w:cs="楷体_GB2312"/>
              <w:szCs w:val="32"/>
            </w:rPr>
            <w:t>（三）经费报价方案及测算理由</w:t>
          </w:r>
          <w:r>
            <w:tab/>
          </w:r>
          <w:r>
            <w:fldChar w:fldCharType="begin"/>
          </w:r>
          <w:r>
            <w:instrText xml:space="preserve"> PAGEREF _Toc396886425 \h </w:instrText>
          </w:r>
          <w:r>
            <w:fldChar w:fldCharType="separate"/>
          </w:r>
          <w:r>
            <w:t>74</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_Toc385937393 </w:instrText>
          </w:r>
          <w:r>
            <w:fldChar w:fldCharType="separate"/>
          </w:r>
          <w:r>
            <w:rPr>
              <w:szCs w:val="32"/>
            </w:rPr>
            <w:t xml:space="preserve">1. </w:t>
          </w:r>
          <w:r>
            <w:rPr>
              <w:rFonts w:hint="eastAsia"/>
              <w:szCs w:val="32"/>
              <w:lang w:val="en-US" w:eastAsia="zh-CN"/>
            </w:rPr>
            <w:t>直接费用</w:t>
          </w:r>
          <w:r>
            <w:rPr>
              <w:rFonts w:hint="eastAsia" w:eastAsia="仿宋_GB2312"/>
              <w:szCs w:val="32"/>
              <w:lang w:eastAsia="zh-CN"/>
            </w:rPr>
            <w:t>（</w:t>
          </w:r>
          <w:r>
            <w:rPr>
              <w:rFonts w:hint="eastAsia"/>
              <w:szCs w:val="32"/>
              <w:lang w:val="en-US" w:eastAsia="zh-CN"/>
            </w:rPr>
            <w:t>11</w:t>
          </w:r>
          <w:r>
            <w:rPr>
              <w:rFonts w:hint="eastAsia" w:ascii="仿宋_GB2312" w:eastAsia="仿宋_GB2312"/>
              <w:szCs w:val="32"/>
              <w:lang w:val="en-US" w:eastAsia="zh-CN"/>
            </w:rPr>
            <w:t>.</w:t>
          </w:r>
          <w:r>
            <w:rPr>
              <w:rFonts w:hint="eastAsia"/>
              <w:szCs w:val="32"/>
              <w:lang w:val="en-US" w:eastAsia="zh-CN"/>
            </w:rPr>
            <w:t>18</w:t>
          </w:r>
          <w:r>
            <w:rPr>
              <w:rFonts w:hint="eastAsia" w:ascii="仿宋_GB2312" w:eastAsia="仿宋_GB2312"/>
              <w:szCs w:val="32"/>
              <w:lang w:val="en-US" w:eastAsia="zh-CN"/>
            </w:rPr>
            <w:t>万元）</w:t>
          </w:r>
          <w:r>
            <w:tab/>
          </w:r>
          <w:r>
            <w:fldChar w:fldCharType="begin"/>
          </w:r>
          <w:r>
            <w:instrText xml:space="preserve"> PAGEREF _Toc385937393 \h </w:instrText>
          </w:r>
          <w:r>
            <w:fldChar w:fldCharType="separate"/>
          </w:r>
          <w:r>
            <w:t>74</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_Toc1049150211 </w:instrText>
          </w:r>
          <w:r>
            <w:fldChar w:fldCharType="separate"/>
          </w:r>
          <w:r>
            <w:rPr>
              <w:szCs w:val="32"/>
            </w:rPr>
            <w:t xml:space="preserve">2. </w:t>
          </w:r>
          <w:r>
            <w:rPr>
              <w:rFonts w:hint="eastAsia"/>
              <w:szCs w:val="32"/>
              <w:lang w:val="en-US" w:eastAsia="zh-CN"/>
            </w:rPr>
            <w:t>间接</w:t>
          </w:r>
          <w:r>
            <w:rPr>
              <w:rFonts w:hint="eastAsia"/>
              <w:szCs w:val="32"/>
            </w:rPr>
            <w:t>费</w:t>
          </w:r>
          <w:r>
            <w:rPr>
              <w:rFonts w:hint="eastAsia"/>
              <w:szCs w:val="32"/>
              <w:lang w:eastAsia="zh-CN"/>
            </w:rPr>
            <w:t>（</w:t>
          </w:r>
          <w:r>
            <w:rPr>
              <w:rFonts w:hint="eastAsia"/>
              <w:szCs w:val="32"/>
              <w:lang w:val="en-US" w:eastAsia="zh-CN"/>
            </w:rPr>
            <w:t>27.50万元）</w:t>
          </w:r>
          <w:r>
            <w:tab/>
          </w:r>
          <w:r>
            <w:fldChar w:fldCharType="begin"/>
          </w:r>
          <w:r>
            <w:instrText xml:space="preserve"> PAGEREF _Toc1049150211 \h </w:instrText>
          </w:r>
          <w:r>
            <w:fldChar w:fldCharType="separate"/>
          </w:r>
          <w:r>
            <w:t>75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_Toc79370760 </w:instrText>
          </w:r>
          <w:r>
            <w:fldChar w:fldCharType="separate"/>
          </w:r>
          <w:r>
            <w:rPr>
              <w:szCs w:val="32"/>
            </w:rPr>
            <w:t xml:space="preserve">3. </w:t>
          </w:r>
          <w:r>
            <w:rPr>
              <w:rFonts w:hint="eastAsia"/>
              <w:szCs w:val="32"/>
              <w:lang w:val="en-US" w:eastAsia="zh-CN"/>
            </w:rPr>
            <w:t>管理</w:t>
          </w:r>
          <w:r>
            <w:rPr>
              <w:rFonts w:hint="eastAsia"/>
              <w:szCs w:val="32"/>
            </w:rPr>
            <w:t>费</w:t>
          </w:r>
          <w:r>
            <w:rPr>
              <w:rFonts w:hint="eastAsia" w:eastAsia="仿宋_GB2312"/>
              <w:szCs w:val="32"/>
              <w:lang w:eastAsia="zh-CN"/>
            </w:rPr>
            <w:t>（</w:t>
          </w:r>
          <w:r>
            <w:rPr>
              <w:rFonts w:hint="eastAsia"/>
              <w:szCs w:val="32"/>
              <w:lang w:val="en-US" w:eastAsia="zh-CN"/>
            </w:rPr>
            <w:t>5</w:t>
          </w:r>
          <w:r>
            <w:rPr>
              <w:rFonts w:hint="eastAsia" w:ascii="仿宋_GB2312" w:eastAsia="仿宋_GB2312"/>
              <w:szCs w:val="32"/>
              <w:lang w:val="en-US" w:eastAsia="zh-CN"/>
            </w:rPr>
            <w:t>.</w:t>
          </w:r>
          <w:r>
            <w:rPr>
              <w:rFonts w:hint="eastAsia"/>
              <w:szCs w:val="32"/>
              <w:lang w:val="en-US" w:eastAsia="zh-CN"/>
            </w:rPr>
            <w:t>0</w:t>
          </w:r>
          <w:r>
            <w:rPr>
              <w:rFonts w:hint="eastAsia" w:ascii="仿宋_GB2312" w:eastAsia="仿宋_GB2312"/>
              <w:szCs w:val="32"/>
              <w:lang w:val="en-US" w:eastAsia="zh-CN"/>
            </w:rPr>
            <w:t>0万元）</w:t>
          </w:r>
          <w:r>
            <w:tab/>
          </w:r>
          <w:r>
            <w:fldChar w:fldCharType="begin"/>
          </w:r>
          <w:r>
            <w:instrText xml:space="preserve"> PAGEREF _Toc79370760 \h </w:instrText>
          </w:r>
          <w:r>
            <w:fldChar w:fldCharType="separate"/>
          </w:r>
          <w:r>
            <w:t>77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_Toc397018533 </w:instrText>
          </w:r>
          <w:r>
            <w:fldChar w:fldCharType="separate"/>
          </w:r>
          <w:r>
            <w:rPr>
              <w:szCs w:val="32"/>
            </w:rPr>
            <w:t xml:space="preserve">4. </w:t>
          </w:r>
          <w:r>
            <w:rPr>
              <w:rFonts w:hint="eastAsia"/>
              <w:szCs w:val="32"/>
              <w:lang w:val="en-US" w:eastAsia="zh-CN"/>
            </w:rPr>
            <w:t>其他费用</w:t>
          </w:r>
          <w:r>
            <w:rPr>
              <w:rFonts w:hint="eastAsia" w:eastAsia="仿宋_GB2312"/>
              <w:szCs w:val="32"/>
              <w:lang w:eastAsia="zh-CN"/>
            </w:rPr>
            <w:t>（</w:t>
          </w:r>
          <w:r>
            <w:rPr>
              <w:rFonts w:hint="eastAsia"/>
              <w:szCs w:val="32"/>
              <w:lang w:val="en-US" w:eastAsia="zh-CN"/>
            </w:rPr>
            <w:t>3</w:t>
          </w:r>
          <w:r>
            <w:rPr>
              <w:rFonts w:hint="eastAsia" w:ascii="仿宋_GB2312" w:eastAsia="仿宋_GB2312"/>
              <w:szCs w:val="32"/>
              <w:lang w:val="en-US" w:eastAsia="zh-CN"/>
            </w:rPr>
            <w:t>.</w:t>
          </w:r>
          <w:r>
            <w:rPr>
              <w:rFonts w:hint="eastAsia"/>
              <w:szCs w:val="32"/>
              <w:lang w:val="en-US" w:eastAsia="zh-CN"/>
            </w:rPr>
            <w:t>85</w:t>
          </w:r>
          <w:r>
            <w:rPr>
              <w:rFonts w:hint="eastAsia" w:ascii="仿宋_GB2312" w:eastAsia="仿宋_GB2312"/>
              <w:szCs w:val="32"/>
              <w:lang w:val="en-US" w:eastAsia="zh-CN"/>
            </w:rPr>
            <w:t>万元）</w:t>
          </w:r>
          <w:r>
            <w:tab/>
          </w:r>
          <w:r>
            <w:fldChar w:fldCharType="begin"/>
          </w:r>
          <w:r>
            <w:instrText xml:space="preserve"> PAGEREF _Toc397018533 \h </w:instrText>
          </w:r>
          <w:r>
            <w:fldChar w:fldCharType="separate"/>
          </w:r>
          <w:r>
            <w:t>77</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textAlignment w:val="baseline"/>
          </w:pPr>
          <w:r>
            <w:fldChar w:fldCharType="begin"/>
          </w:r>
          <w:r>
            <w:instrText xml:space="preserve"> HYPERLINK \l _Toc458792902 </w:instrText>
          </w:r>
          <w:r>
            <w:fldChar w:fldCharType="separate"/>
          </w:r>
          <w:r>
            <w:rPr>
              <w:rFonts w:hint="eastAsia" w:ascii="黑体" w:hAnsi="黑体" w:eastAsia="黑体"/>
              <w:szCs w:val="32"/>
            </w:rPr>
            <w:t>四、结论</w:t>
          </w:r>
          <w:r>
            <w:tab/>
          </w:r>
          <w:r>
            <w:fldChar w:fldCharType="begin"/>
          </w:r>
          <w:r>
            <w:instrText xml:space="preserve"> PAGEREF _Toc458792902 \h </w:instrText>
          </w:r>
          <w:r>
            <w:fldChar w:fldCharType="separate"/>
          </w:r>
          <w:r>
            <w:t>77</w:t>
          </w:r>
          <w:r>
            <w:fldChar w:fldCharType="end"/>
          </w:r>
          <w:r>
            <w:fldChar w:fldCharType="end"/>
          </w:r>
        </w:p>
        <w:p>
          <w:pPr>
            <w:rPr>
              <w:b/>
              <w:szCs w:val="32"/>
            </w:rPr>
          </w:pPr>
          <w:r>
            <w:fldChar w:fldCharType="end"/>
          </w:r>
        </w:p>
      </w:sdtContent>
    </w:sdt>
    <w:p>
      <w:pPr>
        <w:widowControl/>
        <w:ind w:firstLine="712"/>
        <w:jc w:val="center"/>
        <w:rPr>
          <w:rFonts w:ascii="楷体_GB2312" w:eastAsia="楷体_GB2312"/>
          <w:sz w:val="36"/>
          <w:szCs w:val="36"/>
        </w:rPr>
      </w:pPr>
    </w:p>
    <w:p>
      <w:pPr>
        <w:widowControl/>
        <w:rPr>
          <w:sz w:val="32"/>
          <w:szCs w:val="32"/>
        </w:rPr>
        <w:sectPr>
          <w:pgSz w:w="11907" w:h="16840"/>
          <w:pgMar w:top="2098" w:right="1474" w:bottom="1814" w:left="1587" w:header="851" w:footer="1607" w:gutter="0"/>
          <w:cols w:space="720" w:num="1"/>
          <w:docGrid w:type="linesAndChars" w:linePitch="586" w:charSpace="-842"/>
        </w:sectPr>
      </w:pPr>
    </w:p>
    <w:p>
      <w:pPr>
        <w:snapToGrid/>
        <w:outlineLvl w:val="0"/>
        <w:rPr>
          <w:rFonts w:ascii="黑体" w:hAnsi="黑体" w:eastAsia="黑体"/>
          <w:sz w:val="32"/>
          <w:szCs w:val="32"/>
        </w:rPr>
      </w:pPr>
      <w:bookmarkStart w:id="0" w:name="_Toc693629168"/>
      <w:bookmarkStart w:id="1" w:name="_Toc357423493"/>
      <w:bookmarkStart w:id="2" w:name="_Toc372529518"/>
      <w:bookmarkStart w:id="3" w:name="_Toc198653961"/>
      <w:r>
        <w:rPr>
          <w:rFonts w:hint="eastAsia" w:ascii="黑体" w:hAnsi="黑体" w:eastAsia="黑体"/>
          <w:sz w:val="32"/>
          <w:szCs w:val="32"/>
        </w:rPr>
        <w:t>一、基本情况</w:t>
      </w:r>
      <w:bookmarkEnd w:id="0"/>
      <w:bookmarkEnd w:id="1"/>
      <w:bookmarkEnd w:id="2"/>
      <w:bookmarkEnd w:id="3"/>
    </w:p>
    <w:p>
      <w:pPr>
        <w:outlineLvl w:val="1"/>
        <w:rPr>
          <w:rFonts w:ascii="楷体_GB2312" w:hAnsi="楷体_GB2312" w:eastAsia="楷体_GB2312" w:cs="楷体_GB2312"/>
          <w:sz w:val="32"/>
          <w:szCs w:val="32"/>
        </w:rPr>
      </w:pPr>
      <w:bookmarkStart w:id="4" w:name="_Toc704886192"/>
      <w:bookmarkStart w:id="5" w:name="_Toc198653962"/>
      <w:bookmarkStart w:id="6" w:name="_Toc1284190660"/>
      <w:r>
        <w:rPr>
          <w:rFonts w:hint="eastAsia" w:ascii="楷体_GB2312" w:hAnsi="楷体_GB2312" w:eastAsia="楷体_GB2312" w:cs="楷体_GB2312"/>
          <w:sz w:val="32"/>
          <w:szCs w:val="32"/>
        </w:rPr>
        <w:t>（一）项目背景</w:t>
      </w:r>
      <w:bookmarkEnd w:id="4"/>
      <w:bookmarkEnd w:id="5"/>
      <w:bookmarkEnd w:id="6"/>
    </w:p>
    <w:p>
      <w:pPr>
        <w:pStyle w:val="2"/>
        <w:ind w:firstLine="552"/>
      </w:pPr>
      <w:r>
        <w:rPr>
          <w:rFonts w:hint="eastAsia"/>
        </w:rPr>
        <w:t>本工具为软件形式在试验场内场调试机内安装，可支持各类载荷的智能模型进行跨平台、跨底层架构的模型格式转化，可支撑智能模型的部署测试。</w:t>
      </w:r>
    </w:p>
    <w:p>
      <w:pPr>
        <w:outlineLvl w:val="1"/>
        <w:rPr>
          <w:rFonts w:ascii="楷体_GB2312" w:hAnsi="楷体_GB2312" w:eastAsia="楷体_GB2312" w:cs="楷体_GB2312"/>
          <w:sz w:val="32"/>
          <w:szCs w:val="32"/>
        </w:rPr>
      </w:pPr>
      <w:bookmarkStart w:id="7" w:name="_Toc1502432092"/>
      <w:bookmarkStart w:id="8" w:name="_Toc198653963"/>
      <w:bookmarkStart w:id="9" w:name="_Toc1181770270"/>
      <w:r>
        <w:rPr>
          <w:rFonts w:hint="eastAsia" w:ascii="楷体_GB2312" w:hAnsi="楷体_GB2312" w:eastAsia="楷体_GB2312" w:cs="楷体_GB2312"/>
          <w:sz w:val="32"/>
          <w:szCs w:val="32"/>
        </w:rPr>
        <w:t>（二）</w:t>
      </w:r>
      <w:r>
        <w:rPr>
          <w:rFonts w:hint="eastAsia" w:ascii="楷体_GB2312" w:hAnsi="楷体_GB2312" w:eastAsia="楷体_GB2312" w:cs="楷体_GB2312"/>
          <w:sz w:val="32"/>
          <w:szCs w:val="32"/>
          <w:lang w:val="en-US" w:eastAsia="zh-CN"/>
        </w:rPr>
        <w:t>项目</w:t>
      </w:r>
      <w:r>
        <w:rPr>
          <w:rFonts w:hint="eastAsia" w:ascii="楷体_GB2312" w:hAnsi="楷体_GB2312" w:eastAsia="楷体_GB2312" w:cs="楷体_GB2312"/>
          <w:sz w:val="32"/>
          <w:szCs w:val="32"/>
        </w:rPr>
        <w:t>内容</w:t>
      </w:r>
      <w:bookmarkEnd w:id="7"/>
      <w:bookmarkEnd w:id="8"/>
      <w:bookmarkEnd w:id="9"/>
    </w:p>
    <w:p>
      <w:pPr>
        <w:numPr>
          <w:ilvl w:val="0"/>
          <w:numId w:val="1"/>
        </w:numPr>
        <w:outlineLvl w:val="2"/>
        <w:rPr>
          <w:rFonts w:hint="eastAsia"/>
          <w:sz w:val="32"/>
          <w:szCs w:val="32"/>
        </w:rPr>
      </w:pPr>
      <w:bookmarkStart w:id="10" w:name="_Toc2084160434"/>
      <w:r>
        <w:rPr>
          <w:rFonts w:hint="eastAsia"/>
          <w:sz w:val="32"/>
          <w:szCs w:val="32"/>
        </w:rPr>
        <w:t>功能指标</w:t>
      </w:r>
      <w:bookmarkEnd w:id="10"/>
    </w:p>
    <w:p>
      <w:pPr>
        <w:numPr>
          <w:ilvl w:val="1"/>
          <w:numId w:val="2"/>
        </w:numPr>
        <w:outlineLvl w:val="3"/>
        <w:rPr>
          <w:rFonts w:hint="eastAsia"/>
        </w:rPr>
      </w:pPr>
      <w:r>
        <w:rPr>
          <w:rFonts w:hint="eastAsia"/>
        </w:rPr>
        <w:t>可支持模型的跨平台、跨底层架构的格式转化；</w:t>
      </w:r>
    </w:p>
    <w:p>
      <w:pPr>
        <w:numPr>
          <w:ilvl w:val="1"/>
          <w:numId w:val="2"/>
        </w:numPr>
        <w:outlineLvl w:val="3"/>
        <w:rPr>
          <w:rFonts w:hint="eastAsia"/>
        </w:rPr>
      </w:pPr>
      <w:r>
        <w:rPr>
          <w:rFonts w:hint="eastAsia"/>
        </w:rPr>
        <w:t>可根据模型格式进行模型可视化。</w:t>
      </w:r>
    </w:p>
    <w:p>
      <w:pPr>
        <w:numPr>
          <w:ilvl w:val="0"/>
          <w:numId w:val="1"/>
        </w:numPr>
        <w:outlineLvl w:val="2"/>
        <w:rPr>
          <w:rFonts w:hint="eastAsia"/>
          <w:sz w:val="32"/>
          <w:szCs w:val="32"/>
        </w:rPr>
      </w:pPr>
      <w:bookmarkStart w:id="11" w:name="_Toc878648021"/>
      <w:r>
        <w:rPr>
          <w:rFonts w:hint="eastAsia"/>
          <w:sz w:val="32"/>
          <w:szCs w:val="32"/>
        </w:rPr>
        <w:t>性能指标</w:t>
      </w:r>
      <w:bookmarkEnd w:id="11"/>
    </w:p>
    <w:p>
      <w:pPr>
        <w:numPr>
          <w:ilvl w:val="1"/>
          <w:numId w:val="3"/>
        </w:numPr>
        <w:outlineLvl w:val="3"/>
        <w:rPr>
          <w:rFonts w:hint="eastAsia"/>
        </w:rPr>
      </w:pPr>
      <w:r>
        <w:rPr>
          <w:rFonts w:hint="eastAsia"/>
        </w:rPr>
        <w:t>为确保项目报价的合理性、合规性与市场竞争力，本方案通过 “同类项目对标、核心资源询价、费用标准锚定” 三维度开展比照分析，结合项目实际需求与管理规定，形成科学测算依据，具体如下：可支持不少于20类主流目标检测、目标分类、目标跟踪、自然语言大模型等智能体模型的网络结构可视化；</w:t>
      </w:r>
    </w:p>
    <w:p>
      <w:pPr>
        <w:numPr>
          <w:ilvl w:val="1"/>
          <w:numId w:val="3"/>
        </w:numPr>
        <w:outlineLvl w:val="3"/>
        <w:rPr>
          <w:rFonts w:hint="eastAsia"/>
        </w:rPr>
      </w:pPr>
      <w:r>
        <w:rPr>
          <w:rFonts w:hint="eastAsia"/>
        </w:rPr>
        <w:t>可支持不少于20类主流目标检测、目标分类、目标跟踪、自然语言大模型等智能体模型的格式转化；</w:t>
      </w:r>
    </w:p>
    <w:p>
      <w:pPr>
        <w:numPr>
          <w:ilvl w:val="1"/>
          <w:numId w:val="3"/>
        </w:numPr>
        <w:outlineLvl w:val="3"/>
      </w:pPr>
      <w:r>
        <w:rPr>
          <w:rFonts w:hint="eastAsia"/>
        </w:rPr>
        <w:t>支持不少于4种包括华为、瑞星微、英伟达、寒武纪平台模型的转化。</w:t>
      </w:r>
    </w:p>
    <w:p>
      <w:pPr>
        <w:outlineLvl w:val="1"/>
        <w:rPr>
          <w:rFonts w:ascii="楷体_GB2312" w:hAnsi="楷体_GB2312" w:eastAsia="楷体_GB2312" w:cs="楷体_GB2312"/>
          <w:sz w:val="32"/>
          <w:szCs w:val="32"/>
        </w:rPr>
      </w:pPr>
      <w:bookmarkStart w:id="12" w:name="_Toc1263448818"/>
      <w:bookmarkStart w:id="13" w:name="_Toc1339732175"/>
      <w:bookmarkStart w:id="14" w:name="_Toc198653964"/>
      <w:r>
        <w:rPr>
          <w:rFonts w:hint="eastAsia" w:ascii="楷体_GB2312" w:hAnsi="楷体_GB2312" w:eastAsia="楷体_GB2312" w:cs="楷体_GB2312"/>
          <w:sz w:val="32"/>
          <w:szCs w:val="32"/>
        </w:rPr>
        <w:t>（三）单位情况</w:t>
      </w:r>
      <w:bookmarkEnd w:id="12"/>
      <w:bookmarkEnd w:id="13"/>
      <w:bookmarkEnd w:id="14"/>
    </w:p>
    <w:p>
      <w:pPr>
        <w:ind w:firstLine="552"/>
      </w:pPr>
      <w:r>
        <w:rPr>
          <w:rFonts w:hint="eastAsia"/>
          <w:lang w:val="en-US" w:eastAsia="zh-CN"/>
        </w:rPr>
        <w:t>西南交通大学是教育部直属全国重点大学，国家首批“双一流”“211工程”“985工程优势学科创新平台”“2011协同创新计划”重点建设高校，设有研究生院。坐落于中国历史文化名城、国家中心城市、“成渝地区双城经济圈”核心城市——成都。</w:t>
      </w:r>
    </w:p>
    <w:p>
      <w:pPr>
        <w:pStyle w:val="2"/>
        <w:ind w:firstLine="552"/>
        <w:rPr>
          <w:sz w:val="32"/>
          <w:szCs w:val="32"/>
          <w:highlight w:val="yellow"/>
        </w:rPr>
      </w:pPr>
      <w:r>
        <w:rPr>
          <w:rFonts w:hint="eastAsia"/>
          <w:highlight w:val="yellow"/>
        </w:rPr>
        <w:t>本次项目由</w:t>
      </w:r>
      <w:r>
        <w:rPr>
          <w:rFonts w:hint="eastAsia"/>
          <w:highlight w:val="yellow"/>
          <w:lang w:val="en-US" w:eastAsia="zh-CN"/>
        </w:rPr>
        <w:t>XXX学院</w:t>
      </w:r>
      <w:r>
        <w:rPr>
          <w:rFonts w:hint="eastAsia"/>
          <w:highlight w:val="yellow"/>
        </w:rPr>
        <w:t>承接，</w:t>
      </w:r>
      <w:r>
        <w:rPr>
          <w:rFonts w:hint="eastAsia"/>
          <w:highlight w:val="yellow"/>
          <w:lang w:val="en-US" w:eastAsia="zh-CN"/>
        </w:rPr>
        <w:t>XXXX</w:t>
      </w:r>
      <w:r>
        <w:rPr>
          <w:rFonts w:hint="eastAsia"/>
          <w:highlight w:val="yellow"/>
        </w:rPr>
        <w:t>。</w:t>
      </w:r>
    </w:p>
    <w:p>
      <w:pPr>
        <w:numPr>
          <w:ilvl w:val="0"/>
          <w:numId w:val="4"/>
        </w:numPr>
        <w:outlineLvl w:val="1"/>
        <w:rPr>
          <w:rFonts w:ascii="楷体_GB2312" w:hAnsi="楷体_GB2312" w:eastAsia="楷体_GB2312" w:cs="楷体_GB2312"/>
          <w:sz w:val="32"/>
          <w:szCs w:val="32"/>
        </w:rPr>
      </w:pPr>
      <w:bookmarkStart w:id="15" w:name="_Toc512626430"/>
      <w:bookmarkStart w:id="16" w:name="_Toc198653965"/>
      <w:bookmarkStart w:id="17" w:name="_Toc465982590"/>
      <w:r>
        <w:rPr>
          <w:rFonts w:hint="eastAsia" w:ascii="楷体_GB2312" w:hAnsi="楷体_GB2312" w:eastAsia="楷体_GB2312" w:cs="楷体_GB2312"/>
          <w:sz w:val="32"/>
          <w:szCs w:val="32"/>
          <w:lang w:val="en-US" w:eastAsia="zh-CN"/>
        </w:rPr>
        <w:t>项目</w:t>
      </w:r>
      <w:r>
        <w:rPr>
          <w:rFonts w:hint="eastAsia" w:ascii="楷体_GB2312" w:hAnsi="楷体_GB2312" w:eastAsia="楷体_GB2312" w:cs="楷体_GB2312"/>
          <w:sz w:val="32"/>
          <w:szCs w:val="32"/>
        </w:rPr>
        <w:t>周期</w:t>
      </w:r>
      <w:bookmarkEnd w:id="15"/>
      <w:bookmarkEnd w:id="16"/>
      <w:bookmarkEnd w:id="17"/>
    </w:p>
    <w:p>
      <w:pPr>
        <w:pStyle w:val="2"/>
        <w:ind w:firstLine="552"/>
      </w:pPr>
      <w:r>
        <w:t>本次项目周期</w:t>
      </w:r>
      <w:r>
        <w:rPr>
          <w:rFonts w:hint="eastAsia"/>
          <w:lang w:val="en-US" w:eastAsia="zh-CN"/>
        </w:rPr>
        <w:t>规划</w:t>
      </w:r>
      <w:r>
        <w:t>为</w:t>
      </w:r>
      <w:r>
        <w:rPr>
          <w:rFonts w:hint="eastAsia"/>
        </w:rPr>
        <w:t>3</w:t>
      </w:r>
      <w:r>
        <w:t>个月，按照1个月4周进行计算，共计</w:t>
      </w:r>
      <w:r>
        <w:rPr>
          <w:rFonts w:hint="eastAsia"/>
        </w:rPr>
        <w:t>12</w:t>
      </w:r>
      <w:r>
        <w:t>周。</w:t>
      </w:r>
    </w:p>
    <w:p>
      <w:pPr>
        <w:widowControl w:val="0"/>
        <w:snapToGrid w:val="0"/>
        <w:spacing w:line="560" w:lineRule="exact"/>
        <w:ind w:firstLine="552" w:firstLineChars="200"/>
        <w:jc w:val="center"/>
        <w:rPr>
          <w:rFonts w:hint="eastAsia" w:ascii="楷体" w:hAnsi="楷体" w:eastAsia="楷体" w:cs="楷体"/>
          <w:kern w:val="2"/>
          <w:sz w:val="28"/>
          <w:szCs w:val="28"/>
          <w:lang w:val="en-US" w:eastAsia="zh-CN" w:bidi="ar-SA"/>
        </w:rPr>
      </w:pPr>
      <w:r>
        <w:rPr>
          <w:rFonts w:hint="eastAsia" w:ascii="楷体" w:hAnsi="楷体" w:eastAsia="楷体" w:cs="楷体"/>
          <w:kern w:val="2"/>
          <w:sz w:val="28"/>
          <w:szCs w:val="28"/>
          <w:lang w:val="en-US" w:eastAsia="zh-CN" w:bidi="ar-SA"/>
        </w:rPr>
        <w:t xml:space="preserve">图表 </w:t>
      </w:r>
      <w:r>
        <w:rPr>
          <w:rFonts w:hint="eastAsia" w:ascii="楷体" w:hAnsi="楷体" w:eastAsia="楷体" w:cs="楷体"/>
          <w:kern w:val="2"/>
          <w:sz w:val="28"/>
          <w:szCs w:val="28"/>
          <w:lang w:val="en-US" w:eastAsia="zh-CN" w:bidi="ar-SA"/>
        </w:rPr>
        <w:fldChar w:fldCharType="begin"/>
      </w:r>
      <w:r>
        <w:rPr>
          <w:rFonts w:hint="eastAsia" w:ascii="楷体" w:hAnsi="楷体" w:eastAsia="楷体" w:cs="楷体"/>
          <w:kern w:val="2"/>
          <w:sz w:val="28"/>
          <w:szCs w:val="28"/>
          <w:lang w:val="en-US" w:eastAsia="zh-CN" w:bidi="ar-SA"/>
        </w:rPr>
        <w:instrText xml:space="preserve"> SEQ 图表 \* ARABIC </w:instrText>
      </w:r>
      <w:r>
        <w:rPr>
          <w:rFonts w:hint="eastAsia" w:ascii="楷体" w:hAnsi="楷体" w:eastAsia="楷体" w:cs="楷体"/>
          <w:kern w:val="2"/>
          <w:sz w:val="28"/>
          <w:szCs w:val="28"/>
          <w:lang w:val="en-US" w:eastAsia="zh-CN" w:bidi="ar-SA"/>
        </w:rPr>
        <w:fldChar w:fldCharType="separate"/>
      </w:r>
      <w:r>
        <w:rPr>
          <w:rFonts w:hint="eastAsia" w:ascii="楷体" w:hAnsi="楷体" w:eastAsia="楷体" w:cs="楷体"/>
          <w:kern w:val="2"/>
          <w:sz w:val="28"/>
          <w:szCs w:val="28"/>
          <w:lang w:val="en-US" w:eastAsia="zh-CN" w:bidi="ar-SA"/>
        </w:rPr>
        <w:t>1</w:t>
      </w:r>
      <w:r>
        <w:rPr>
          <w:rFonts w:hint="eastAsia" w:ascii="楷体" w:hAnsi="楷体" w:eastAsia="楷体" w:cs="楷体"/>
          <w:kern w:val="2"/>
          <w:sz w:val="28"/>
          <w:szCs w:val="28"/>
          <w:lang w:val="en-US" w:eastAsia="zh-CN" w:bidi="ar-SA"/>
        </w:rPr>
        <w:fldChar w:fldCharType="end"/>
      </w:r>
      <w:r>
        <w:rPr>
          <w:rFonts w:hint="eastAsia" w:ascii="楷体" w:hAnsi="楷体" w:eastAsia="楷体" w:cs="楷体"/>
          <w:kern w:val="2"/>
          <w:sz w:val="28"/>
          <w:szCs w:val="28"/>
          <w:lang w:val="en-US" w:eastAsia="zh-CN" w:bidi="ar-SA"/>
        </w:rPr>
        <w:t xml:space="preserve"> 项目周期规划表</w:t>
      </w: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4"/>
        <w:gridCol w:w="1746"/>
        <w:gridCol w:w="1790"/>
        <w:gridCol w:w="4372"/>
      </w:tblGrid>
      <w:tr>
        <w:trPr>
          <w:trHeight w:val="680"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序号</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lang w:val="en-US" w:eastAsia="zh-CN"/>
              </w:rPr>
              <w:t>项目</w:t>
            </w:r>
            <w:r>
              <w:rPr>
                <w:rFonts w:hint="eastAsia"/>
                <w:b/>
                <w:bCs/>
              </w:rPr>
              <w:t>阶段</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时间进度</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备注</w:t>
            </w:r>
          </w:p>
        </w:tc>
      </w:tr>
      <w:tr>
        <w:trPr>
          <w:trHeight w:val="567"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1</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需求调研与分析</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第1周</w:t>
            </w:r>
            <w:r>
              <w:rPr>
                <w:rFonts w:hint="eastAsia"/>
                <w:sz w:val="24"/>
                <w:szCs w:val="24"/>
                <w:lang w:eastAsia="zh-CN"/>
              </w:rPr>
              <w:t>－</w:t>
            </w:r>
            <w:r>
              <w:rPr>
                <w:rFonts w:hint="eastAsia"/>
                <w:sz w:val="24"/>
                <w:szCs w:val="24"/>
              </w:rPr>
              <w:t>第2周</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完成需求分析</w:t>
            </w:r>
          </w:p>
        </w:tc>
      </w:tr>
      <w:tr>
        <w:trPr>
          <w:trHeight w:val="964"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2</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核心开发</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第3周</w:t>
            </w:r>
            <w:r>
              <w:rPr>
                <w:rFonts w:hint="eastAsia"/>
                <w:sz w:val="24"/>
                <w:szCs w:val="24"/>
                <w:lang w:eastAsia="zh-CN"/>
              </w:rPr>
              <w:t>－</w:t>
            </w:r>
            <w:r>
              <w:rPr>
                <w:rFonts w:hint="eastAsia"/>
                <w:sz w:val="24"/>
                <w:szCs w:val="24"/>
              </w:rPr>
              <w:t>第</w:t>
            </w:r>
            <w:r>
              <w:rPr>
                <w:rFonts w:hint="eastAsia"/>
                <w:sz w:val="24"/>
                <w:szCs w:val="24"/>
                <w:lang w:val="en-US" w:eastAsia="zh-CN"/>
              </w:rPr>
              <w:t>8</w:t>
            </w:r>
            <w:r>
              <w:rPr>
                <w:rFonts w:hint="eastAsia"/>
                <w:sz w:val="24"/>
                <w:szCs w:val="24"/>
              </w:rPr>
              <w:t>周</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1. 数据输入层（第3周）：完成模型解析引擎开发，支持ONNX、TensorFlow、PyTorch 原生格式解析；2. 核心处理层（第3-7周）：格式转化模块：第3-6周完成核心适配+4类平台插件开发，第7周完成20类模型转化模板调试；可视化模块：第3-6周完成拓扑解析逻辑+界面开发，第7周完成交互功能优化（如节点拖拽、参数查看）；3. 输出与交互层（第4-8周</w:t>
            </w:r>
            <w:r>
              <w:rPr>
                <w:rFonts w:hint="eastAsia"/>
                <w:sz w:val="24"/>
                <w:szCs w:val="24"/>
                <w:lang w:eastAsia="zh-CN"/>
              </w:rPr>
              <w:t>）</w:t>
            </w:r>
            <w:r>
              <w:rPr>
                <w:rFonts w:hint="eastAsia"/>
                <w:sz w:val="24"/>
                <w:szCs w:val="24"/>
              </w:rPr>
              <w:t>：第4-6周完成多格式导出接口开发，第7-8周完成日志模块开发与客户端整体集成</w:t>
            </w:r>
          </w:p>
        </w:tc>
      </w:tr>
      <w:tr>
        <w:trPr>
          <w:trHeight w:val="1587"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3</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测试与优化</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第</w:t>
            </w:r>
            <w:r>
              <w:rPr>
                <w:rFonts w:hint="eastAsia"/>
                <w:sz w:val="24"/>
                <w:szCs w:val="24"/>
                <w:lang w:val="en-US" w:eastAsia="zh-CN"/>
              </w:rPr>
              <w:t>9</w:t>
            </w:r>
            <w:r>
              <w:rPr>
                <w:rFonts w:hint="eastAsia"/>
                <w:sz w:val="24"/>
                <w:szCs w:val="24"/>
              </w:rPr>
              <w:t>周</w:t>
            </w:r>
            <w:r>
              <w:rPr>
                <w:rFonts w:hint="eastAsia"/>
                <w:sz w:val="24"/>
                <w:szCs w:val="24"/>
                <w:lang w:eastAsia="zh-CN"/>
              </w:rPr>
              <w:t>－</w:t>
            </w:r>
            <w:r>
              <w:rPr>
                <w:rFonts w:hint="eastAsia"/>
                <w:sz w:val="24"/>
                <w:szCs w:val="24"/>
              </w:rPr>
              <w:t>第</w:t>
            </w:r>
            <w:r>
              <w:rPr>
                <w:rFonts w:hint="eastAsia"/>
                <w:sz w:val="24"/>
                <w:szCs w:val="24"/>
                <w:lang w:val="en-US" w:eastAsia="zh-CN"/>
              </w:rPr>
              <w:t>10</w:t>
            </w:r>
            <w:r>
              <w:rPr>
                <w:rFonts w:hint="eastAsia"/>
                <w:sz w:val="24"/>
                <w:szCs w:val="24"/>
              </w:rPr>
              <w:t>周</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1.第9周：完成兼容性测试（20类模型全量测试+4类平台真机测试）、性能测试（转化时间/可视化响应/精度损失），输出初版《测试报告》；2.第9</w:t>
            </w:r>
            <w:r>
              <w:rPr>
                <w:rFonts w:hint="eastAsia"/>
                <w:sz w:val="24"/>
                <w:szCs w:val="24"/>
                <w:lang w:val="en-US" w:eastAsia="zh-CN"/>
              </w:rPr>
              <w:t>-10</w:t>
            </w:r>
            <w:r>
              <w:rPr>
                <w:rFonts w:hint="eastAsia"/>
                <w:sz w:val="24"/>
                <w:szCs w:val="24"/>
              </w:rPr>
              <w:t>周：针对测试问题集中修复（如模型转化失败、可视化参数缺失）；3.第10周：开展</w:t>
            </w:r>
            <w:r>
              <w:rPr>
                <w:rFonts w:hint="eastAsia"/>
                <w:sz w:val="24"/>
                <w:szCs w:val="24"/>
                <w:lang w:val="en-US" w:eastAsia="zh-CN"/>
              </w:rPr>
              <w:t>发布版本</w:t>
            </w:r>
            <w:r>
              <w:rPr>
                <w:rFonts w:hint="eastAsia"/>
                <w:sz w:val="24"/>
                <w:szCs w:val="24"/>
              </w:rPr>
              <w:t>测试+甲方预验收测试，根据验收反馈1日内完成最终优化</w:t>
            </w:r>
          </w:p>
        </w:tc>
      </w:tr>
      <w:tr>
        <w:trPr>
          <w:trHeight w:val="964" w:hRule="atLeast"/>
          <w:jc w:val="center"/>
        </w:trPr>
        <w:tc>
          <w:tcPr>
            <w:tcW w:w="63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4</w:t>
            </w:r>
          </w:p>
        </w:tc>
        <w:tc>
          <w:tcPr>
            <w:tcW w:w="963"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交付与培训</w:t>
            </w:r>
          </w:p>
        </w:tc>
        <w:tc>
          <w:tcPr>
            <w:tcW w:w="9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第</w:t>
            </w:r>
            <w:r>
              <w:rPr>
                <w:rFonts w:hint="eastAsia"/>
                <w:sz w:val="24"/>
                <w:szCs w:val="24"/>
                <w:lang w:val="en-US" w:eastAsia="zh-CN"/>
              </w:rPr>
              <w:t>11</w:t>
            </w:r>
            <w:r>
              <w:rPr>
                <w:rFonts w:hint="eastAsia"/>
                <w:sz w:val="24"/>
                <w:szCs w:val="24"/>
              </w:rPr>
              <w:t>周</w:t>
            </w:r>
            <w:r>
              <w:rPr>
                <w:rFonts w:hint="eastAsia"/>
                <w:sz w:val="24"/>
                <w:szCs w:val="24"/>
                <w:lang w:eastAsia="zh-CN"/>
              </w:rPr>
              <w:t>－</w:t>
            </w:r>
            <w:r>
              <w:rPr>
                <w:rFonts w:hint="eastAsia"/>
                <w:sz w:val="24"/>
                <w:szCs w:val="24"/>
              </w:rPr>
              <w:t>第1</w:t>
            </w:r>
            <w:r>
              <w:rPr>
                <w:rFonts w:hint="eastAsia"/>
                <w:sz w:val="24"/>
                <w:szCs w:val="24"/>
                <w:lang w:val="en-US" w:eastAsia="zh-CN"/>
              </w:rPr>
              <w:t>2</w:t>
            </w:r>
            <w:r>
              <w:rPr>
                <w:rFonts w:hint="eastAsia"/>
                <w:sz w:val="24"/>
                <w:szCs w:val="24"/>
              </w:rPr>
              <w:t>周</w:t>
            </w:r>
          </w:p>
        </w:tc>
        <w:tc>
          <w:tcPr>
            <w:tcW w:w="2411" w:type="pct"/>
            <w:vAlign w:val="center"/>
          </w:tcPr>
          <w:p>
            <w:pPr>
              <w:tabs>
                <w:tab w:val="left" w:pos="360"/>
                <w:tab w:val="left" w:pos="720"/>
              </w:tabs>
              <w:overflowPunct w:val="0"/>
              <w:autoSpaceDE w:val="0"/>
              <w:autoSpaceDN w:val="0"/>
              <w:adjustRightInd w:val="0"/>
              <w:spacing w:after="0" w:line="240" w:lineRule="auto"/>
              <w:ind w:firstLine="0" w:firstLineChars="0"/>
              <w:jc w:val="left"/>
              <w:textAlignment w:val="baseline"/>
              <w:rPr>
                <w:sz w:val="24"/>
                <w:szCs w:val="24"/>
              </w:rPr>
            </w:pPr>
            <w:r>
              <w:rPr>
                <w:rFonts w:hint="eastAsia"/>
                <w:sz w:val="24"/>
                <w:szCs w:val="24"/>
              </w:rPr>
              <w:t>1.第11周：完成试验场内场调试机软件安装部署，逐台验证功能（如模型导入、转化、可视化）；2.第12周：组织现场培训（操作培训：含软件操作、常见问题处理；维护培训：含日志查看、版本更新），覆盖甲方技术人员，输出《培训纪要》；3.第12周：交付最终软件安装包、全套文档（《用户手册》《测试报告》等），组织项目终验收，签署《项目交付确认单》</w:t>
            </w:r>
          </w:p>
        </w:tc>
      </w:tr>
    </w:tbl>
    <w:p>
      <w:pPr>
        <w:outlineLvl w:val="1"/>
        <w:rPr>
          <w:rFonts w:ascii="楷体_GB2312" w:hAnsi="楷体_GB2312" w:eastAsia="楷体_GB2312" w:cs="楷体_GB2312"/>
          <w:sz w:val="32"/>
          <w:szCs w:val="32"/>
        </w:rPr>
      </w:pPr>
      <w:bookmarkStart w:id="18" w:name="_Toc2044013168"/>
      <w:bookmarkStart w:id="19" w:name="_Toc8017246"/>
      <w:bookmarkStart w:id="20" w:name="_Toc198653966"/>
      <w:r>
        <w:rPr>
          <w:rFonts w:hint="eastAsia" w:ascii="楷体_GB2312" w:hAnsi="楷体_GB2312" w:eastAsia="楷体_GB2312" w:cs="楷体_GB2312"/>
          <w:sz w:val="32"/>
          <w:szCs w:val="32"/>
        </w:rPr>
        <w:t>（五）经费概况</w:t>
      </w:r>
      <w:bookmarkEnd w:id="18"/>
      <w:bookmarkEnd w:id="19"/>
      <w:bookmarkEnd w:id="20"/>
    </w:p>
    <w:p>
      <w:pPr>
        <w:ind w:firstLine="552"/>
      </w:pPr>
      <w:r>
        <w:rPr>
          <w:rFonts w:hint="eastAsia"/>
        </w:rPr>
        <w:t>项目总预算为47.53</w:t>
      </w:r>
      <w:r>
        <w:rPr>
          <w:rFonts w:hint="eastAsia"/>
          <w:lang w:val="en-US" w:eastAsia="zh-CN"/>
        </w:rPr>
        <w:t>万元</w:t>
      </w:r>
      <w:r>
        <w:rPr>
          <w:rFonts w:hint="eastAsia"/>
        </w:rPr>
        <w:t>。其中各项经费预算为：</w:t>
      </w:r>
      <w:r>
        <w:rPr>
          <w:rFonts w:hint="eastAsia"/>
          <w:lang w:val="en-US" w:eastAsia="zh-CN"/>
        </w:rPr>
        <w:t>直接费用（设备费、业务费和人力成本）</w:t>
      </w:r>
      <w:r>
        <w:rPr>
          <w:rFonts w:hint="eastAsia"/>
        </w:rPr>
        <w:t>为</w:t>
      </w:r>
      <w:r>
        <w:rPr>
          <w:rFonts w:hint="eastAsia"/>
          <w:lang w:val="en-US" w:eastAsia="zh-CN"/>
        </w:rPr>
        <w:t>11</w:t>
      </w:r>
      <w:r>
        <w:rPr>
          <w:rFonts w:hint="eastAsia"/>
        </w:rPr>
        <w:t>.</w:t>
      </w:r>
      <w:r>
        <w:rPr>
          <w:rFonts w:hint="eastAsia"/>
          <w:lang w:val="en-US" w:eastAsia="zh-CN"/>
        </w:rPr>
        <w:t>18</w:t>
      </w:r>
      <w:r>
        <w:rPr>
          <w:rFonts w:hint="eastAsia"/>
        </w:rPr>
        <w:t>万元、</w:t>
      </w:r>
      <w:r>
        <w:rPr>
          <w:rFonts w:hint="eastAsia"/>
          <w:lang w:val="en-US" w:eastAsia="zh-CN"/>
        </w:rPr>
        <w:t>间接费用</w:t>
      </w:r>
      <w:r>
        <w:rPr>
          <w:rFonts w:hint="eastAsia"/>
        </w:rPr>
        <w:t>（在职员工人力成本摊销</w:t>
      </w:r>
      <w:r>
        <w:rPr>
          <w:rFonts w:hint="eastAsia"/>
          <w:lang w:val="en-US" w:eastAsia="zh-CN"/>
        </w:rPr>
        <w:t>和使用已有设备成本摊销</w:t>
      </w:r>
      <w:r>
        <w:rPr>
          <w:rFonts w:hint="eastAsia"/>
        </w:rPr>
        <w:t>）为</w:t>
      </w:r>
      <w:r>
        <w:rPr>
          <w:rFonts w:hint="eastAsia"/>
          <w:lang w:val="en-US" w:eastAsia="zh-CN"/>
        </w:rPr>
        <w:t>27</w:t>
      </w:r>
      <w:r>
        <w:rPr>
          <w:rFonts w:hint="eastAsia"/>
        </w:rPr>
        <w:t>.</w:t>
      </w:r>
      <w:r>
        <w:rPr>
          <w:rFonts w:hint="eastAsia"/>
          <w:lang w:val="en-US" w:eastAsia="zh-CN"/>
        </w:rPr>
        <w:t>5</w:t>
      </w:r>
      <w:r>
        <w:rPr>
          <w:rFonts w:hint="eastAsia"/>
        </w:rPr>
        <w:t>0万元、管理费为</w:t>
      </w:r>
      <w:r>
        <w:rPr>
          <w:rFonts w:hint="eastAsia"/>
          <w:lang w:val="en-US" w:eastAsia="zh-CN"/>
        </w:rPr>
        <w:t>5</w:t>
      </w:r>
      <w:r>
        <w:rPr>
          <w:rFonts w:hint="eastAsia"/>
        </w:rPr>
        <w:t>.00万元、</w:t>
      </w:r>
      <w:r>
        <w:rPr>
          <w:rFonts w:hint="eastAsia"/>
          <w:lang w:val="en-US" w:eastAsia="zh-CN"/>
        </w:rPr>
        <w:t>其他支出为3.85万元，</w:t>
      </w:r>
      <w:r>
        <w:rPr>
          <w:rFonts w:hint="eastAsia"/>
        </w:rPr>
        <w:t>收益</w:t>
      </w:r>
      <w:r>
        <w:rPr>
          <w:rFonts w:hint="eastAsia"/>
          <w:lang w:val="en-US" w:eastAsia="zh-CN"/>
        </w:rPr>
        <w:t>0</w:t>
      </w:r>
      <w:r>
        <w:rPr>
          <w:rFonts w:hint="eastAsia"/>
        </w:rPr>
        <w:t>.</w:t>
      </w:r>
      <w:r>
        <w:rPr>
          <w:rFonts w:hint="eastAsia"/>
          <w:lang w:val="en-US" w:eastAsia="zh-CN"/>
        </w:rPr>
        <w:t>0</w:t>
      </w:r>
      <w:r>
        <w:rPr>
          <w:rFonts w:hint="eastAsia"/>
        </w:rPr>
        <w:t>0万元。</w:t>
      </w:r>
    </w:p>
    <w:p>
      <w:pPr>
        <w:numPr>
          <w:ilvl w:val="0"/>
          <w:numId w:val="4"/>
        </w:numPr>
        <w:ind w:left="0" w:leftChars="0" w:firstLine="632" w:firstLineChars="200"/>
        <w:outlineLvl w:val="1"/>
        <w:rPr>
          <w:rFonts w:hint="eastAsia" w:ascii="楷体_GB2312" w:hAnsi="楷体_GB2312" w:eastAsia="楷体_GB2312" w:cs="楷体_GB2312"/>
          <w:sz w:val="32"/>
          <w:szCs w:val="32"/>
        </w:rPr>
      </w:pPr>
      <w:bookmarkStart w:id="21" w:name="_Toc198653967"/>
      <w:bookmarkStart w:id="22" w:name="_Toc1601867408"/>
      <w:bookmarkStart w:id="23" w:name="_Toc433413517"/>
      <w:r>
        <w:rPr>
          <w:rFonts w:hint="eastAsia" w:ascii="楷体_GB2312" w:hAnsi="楷体_GB2312" w:eastAsia="楷体_GB2312" w:cs="楷体_GB2312"/>
          <w:sz w:val="32"/>
          <w:szCs w:val="32"/>
        </w:rPr>
        <w:t>成果及交付形式</w:t>
      </w:r>
      <w:bookmarkEnd w:id="21"/>
      <w:bookmarkEnd w:id="22"/>
      <w:bookmarkEnd w:id="23"/>
    </w:p>
    <w:p>
      <w:pPr>
        <w:widowControl w:val="0"/>
        <w:snapToGrid w:val="0"/>
        <w:spacing w:line="560" w:lineRule="exact"/>
        <w:ind w:firstLine="552" w:firstLineChars="200"/>
        <w:jc w:val="center"/>
        <w:rPr>
          <w:rFonts w:hint="eastAsia" w:ascii="楷体" w:hAnsi="楷体" w:eastAsia="楷体" w:cs="楷体"/>
          <w:kern w:val="2"/>
          <w:sz w:val="28"/>
          <w:szCs w:val="28"/>
          <w:lang w:val="en-US" w:eastAsia="zh-CN" w:bidi="ar-SA"/>
        </w:rPr>
      </w:pPr>
      <w:r>
        <w:rPr>
          <w:rFonts w:hint="eastAsia" w:ascii="楷体" w:hAnsi="楷体" w:eastAsia="楷体" w:cs="楷体"/>
          <w:kern w:val="2"/>
          <w:sz w:val="28"/>
          <w:szCs w:val="28"/>
          <w:lang w:val="en-US" w:eastAsia="zh-CN" w:bidi="ar-SA"/>
        </w:rPr>
        <w:t xml:space="preserve">图表 </w:t>
      </w:r>
      <w:r>
        <w:rPr>
          <w:rFonts w:hint="eastAsia" w:ascii="楷体" w:hAnsi="楷体" w:eastAsia="楷体" w:cs="楷体"/>
          <w:kern w:val="2"/>
          <w:sz w:val="28"/>
          <w:szCs w:val="28"/>
          <w:lang w:val="en-US" w:eastAsia="zh-CN" w:bidi="ar-SA"/>
        </w:rPr>
        <w:fldChar w:fldCharType="begin"/>
      </w:r>
      <w:r>
        <w:rPr>
          <w:rFonts w:hint="eastAsia" w:ascii="楷体" w:hAnsi="楷体" w:eastAsia="楷体" w:cs="楷体"/>
          <w:kern w:val="2"/>
          <w:sz w:val="28"/>
          <w:szCs w:val="28"/>
          <w:lang w:val="en-US" w:eastAsia="zh-CN" w:bidi="ar-SA"/>
        </w:rPr>
        <w:instrText xml:space="preserve"> SEQ 图表 \* ARABIC </w:instrText>
      </w:r>
      <w:r>
        <w:rPr>
          <w:rFonts w:hint="eastAsia" w:ascii="楷体" w:hAnsi="楷体" w:eastAsia="楷体" w:cs="楷体"/>
          <w:kern w:val="2"/>
          <w:sz w:val="28"/>
          <w:szCs w:val="28"/>
          <w:lang w:val="en-US" w:eastAsia="zh-CN" w:bidi="ar-SA"/>
        </w:rPr>
        <w:fldChar w:fldCharType="separate"/>
      </w:r>
      <w:r>
        <w:rPr>
          <w:rFonts w:hint="eastAsia" w:ascii="楷体" w:hAnsi="楷体" w:eastAsia="楷体" w:cs="楷体"/>
          <w:kern w:val="2"/>
          <w:sz w:val="28"/>
          <w:szCs w:val="28"/>
          <w:lang w:val="en-US" w:eastAsia="zh-CN" w:bidi="ar-SA"/>
        </w:rPr>
        <w:t>2</w:t>
      </w:r>
      <w:r>
        <w:rPr>
          <w:rFonts w:hint="eastAsia" w:ascii="楷体" w:hAnsi="楷体" w:eastAsia="楷体" w:cs="楷体"/>
          <w:kern w:val="2"/>
          <w:sz w:val="28"/>
          <w:szCs w:val="28"/>
          <w:lang w:val="en-US" w:eastAsia="zh-CN" w:bidi="ar-SA"/>
        </w:rPr>
        <w:fldChar w:fldCharType="end"/>
      </w:r>
      <w:r>
        <w:rPr>
          <w:rFonts w:hint="eastAsia" w:ascii="楷体" w:hAnsi="楷体" w:eastAsia="楷体" w:cs="楷体"/>
          <w:kern w:val="2"/>
          <w:sz w:val="28"/>
          <w:szCs w:val="28"/>
          <w:lang w:val="en-US" w:eastAsia="zh-CN" w:bidi="ar-SA"/>
        </w:rPr>
        <w:t xml:space="preserve"> 成果交付名称和形式</w:t>
      </w: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5141"/>
        <w:gridCol w:w="2313"/>
      </w:tblGrid>
      <w:tr>
        <w:trPr>
          <w:trHeight w:val="567" w:hRule="atLeast"/>
          <w:jc w:val="center"/>
        </w:trPr>
        <w:tc>
          <w:tcPr>
            <w:tcW w:w="8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序号</w:t>
            </w:r>
          </w:p>
        </w:tc>
        <w:tc>
          <w:tcPr>
            <w:tcW w:w="283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成果名称</w:t>
            </w:r>
          </w:p>
        </w:tc>
        <w:tc>
          <w:tcPr>
            <w:tcW w:w="127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b/>
                <w:bCs/>
              </w:rPr>
            </w:pPr>
            <w:r>
              <w:rPr>
                <w:rFonts w:hint="eastAsia"/>
                <w:b/>
                <w:bCs/>
              </w:rPr>
              <w:t>交付形式</w:t>
            </w:r>
          </w:p>
        </w:tc>
      </w:tr>
      <w:tr>
        <w:trPr>
          <w:trHeight w:val="567" w:hRule="atLeast"/>
          <w:jc w:val="center"/>
        </w:trPr>
        <w:tc>
          <w:tcPr>
            <w:tcW w:w="8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1</w:t>
            </w:r>
          </w:p>
        </w:tc>
        <w:tc>
          <w:tcPr>
            <w:tcW w:w="283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跨平台智能模型转化工具</w:t>
            </w:r>
          </w:p>
        </w:tc>
        <w:tc>
          <w:tcPr>
            <w:tcW w:w="127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软件</w:t>
            </w:r>
          </w:p>
        </w:tc>
      </w:tr>
      <w:tr>
        <w:trPr>
          <w:trHeight w:val="567" w:hRule="atLeast"/>
          <w:jc w:val="center"/>
        </w:trPr>
        <w:tc>
          <w:tcPr>
            <w:tcW w:w="8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2</w:t>
            </w:r>
          </w:p>
        </w:tc>
        <w:tc>
          <w:tcPr>
            <w:tcW w:w="283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跨平台智能模型转化工具测试报告</w:t>
            </w:r>
          </w:p>
        </w:tc>
        <w:tc>
          <w:tcPr>
            <w:tcW w:w="127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文档</w:t>
            </w:r>
          </w:p>
        </w:tc>
      </w:tr>
      <w:tr>
        <w:trPr>
          <w:trHeight w:val="567" w:hRule="atLeast"/>
          <w:jc w:val="center"/>
        </w:trPr>
        <w:tc>
          <w:tcPr>
            <w:tcW w:w="887"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3</w:t>
            </w:r>
          </w:p>
        </w:tc>
        <w:tc>
          <w:tcPr>
            <w:tcW w:w="283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rFonts w:hint="default" w:eastAsia="仿宋_GB2312"/>
                <w:sz w:val="24"/>
                <w:szCs w:val="24"/>
                <w:lang w:val="en-US" w:eastAsia="zh-CN"/>
              </w:rPr>
            </w:pPr>
            <w:r>
              <w:rPr>
                <w:rFonts w:hint="eastAsia"/>
                <w:sz w:val="24"/>
                <w:szCs w:val="24"/>
              </w:rPr>
              <w:t>跨平台智能模型转化工具</w:t>
            </w:r>
            <w:r>
              <w:rPr>
                <w:rFonts w:hint="eastAsia"/>
                <w:sz w:val="24"/>
                <w:szCs w:val="24"/>
                <w:lang w:val="en-US" w:eastAsia="zh-CN"/>
              </w:rPr>
              <w:t>用户手册</w:t>
            </w:r>
          </w:p>
        </w:tc>
        <w:tc>
          <w:tcPr>
            <w:tcW w:w="1276" w:type="pct"/>
            <w:vAlign w:val="center"/>
          </w:tcPr>
          <w:p>
            <w:pPr>
              <w:tabs>
                <w:tab w:val="left" w:pos="360"/>
                <w:tab w:val="left" w:pos="720"/>
              </w:tabs>
              <w:overflowPunct w:val="0"/>
              <w:autoSpaceDE w:val="0"/>
              <w:autoSpaceDN w:val="0"/>
              <w:adjustRightInd w:val="0"/>
              <w:spacing w:after="0" w:line="240" w:lineRule="auto"/>
              <w:ind w:firstLine="0" w:firstLineChars="0"/>
              <w:jc w:val="center"/>
              <w:textAlignment w:val="baseline"/>
              <w:rPr>
                <w:sz w:val="24"/>
                <w:szCs w:val="24"/>
              </w:rPr>
            </w:pPr>
            <w:r>
              <w:rPr>
                <w:rFonts w:hint="eastAsia"/>
                <w:sz w:val="24"/>
                <w:szCs w:val="24"/>
              </w:rPr>
              <w:t>文档</w:t>
            </w:r>
          </w:p>
        </w:tc>
      </w:tr>
    </w:tbl>
    <w:p>
      <w:pPr>
        <w:rPr>
          <w:sz w:val="32"/>
          <w:szCs w:val="32"/>
        </w:rPr>
      </w:pPr>
    </w:p>
    <w:p>
      <w:pPr>
        <w:outlineLvl w:val="0"/>
        <w:rPr>
          <w:rFonts w:ascii="黑体" w:hAnsi="黑体" w:eastAsia="黑体"/>
          <w:sz w:val="32"/>
          <w:szCs w:val="32"/>
        </w:rPr>
      </w:pPr>
      <w:bookmarkStart w:id="24" w:name="_Toc198653968"/>
      <w:bookmarkStart w:id="25" w:name="_Toc116449595"/>
      <w:bookmarkStart w:id="26" w:name="_Toc372529527"/>
      <w:bookmarkStart w:id="27" w:name="_Toc1730527464"/>
      <w:r>
        <w:rPr>
          <w:rFonts w:hint="eastAsia" w:ascii="黑体" w:hAnsi="黑体" w:eastAsia="黑体"/>
          <w:sz w:val="32"/>
          <w:szCs w:val="32"/>
        </w:rPr>
        <w:t>二、方案依据</w:t>
      </w:r>
      <w:bookmarkEnd w:id="24"/>
      <w:bookmarkEnd w:id="25"/>
      <w:bookmarkEnd w:id="26"/>
      <w:bookmarkEnd w:id="27"/>
    </w:p>
    <w:p>
      <w:pPr>
        <w:outlineLvl w:val="1"/>
        <w:rPr>
          <w:rFonts w:ascii="楷体_GB2312" w:hAnsi="楷体_GB2312" w:eastAsia="楷体_GB2312" w:cs="楷体_GB2312"/>
          <w:sz w:val="32"/>
          <w:szCs w:val="32"/>
        </w:rPr>
      </w:pPr>
      <w:bookmarkStart w:id="28" w:name="_Toc198653969"/>
      <w:bookmarkStart w:id="29" w:name="_Toc1604056127"/>
      <w:bookmarkStart w:id="30" w:name="_Toc810740748"/>
      <w:r>
        <w:rPr>
          <w:rFonts w:hint="eastAsia" w:ascii="楷体_GB2312" w:hAnsi="楷体_GB2312" w:eastAsia="楷体_GB2312" w:cs="楷体_GB2312"/>
          <w:sz w:val="32"/>
          <w:szCs w:val="32"/>
        </w:rPr>
        <w:t>（一）参照法规标准</w:t>
      </w:r>
      <w:bookmarkEnd w:id="28"/>
      <w:bookmarkEnd w:id="29"/>
      <w:bookmarkEnd w:id="30"/>
    </w:p>
    <w:p>
      <w:pPr>
        <w:ind w:firstLine="552"/>
        <w:rPr>
          <w:rFonts w:hint="default" w:eastAsia="仿宋_GB2312"/>
          <w:lang w:val="en-US" w:eastAsia="zh-CN"/>
        </w:rPr>
      </w:pPr>
      <w:r>
        <w:rPr>
          <w:rFonts w:hint="eastAsia"/>
        </w:rPr>
        <w:t>本次报价严格遵循</w:t>
      </w:r>
      <w:r>
        <w:rPr>
          <w:rFonts w:hint="eastAsia"/>
          <w:lang w:val="en-US" w:eastAsia="zh-CN"/>
        </w:rPr>
        <w:t>国家和行业</w:t>
      </w:r>
      <w:r>
        <w:rPr>
          <w:rFonts w:hint="eastAsia"/>
        </w:rPr>
        <w:t>相关规定，确保报价在合规框架内进行，依据管理办法中对于费用核算、成本控制等方面的规定，合理规划各项成本支出</w:t>
      </w:r>
      <w:r>
        <w:rPr>
          <w:rFonts w:hint="eastAsia"/>
          <w:lang w:eastAsia="zh-CN"/>
        </w:rPr>
        <w:t>，</w:t>
      </w:r>
      <w:r>
        <w:rPr>
          <w:rFonts w:hint="eastAsia"/>
          <w:lang w:val="en-US" w:eastAsia="zh-CN"/>
        </w:rPr>
        <w:t>具体法规标准依据如下：</w:t>
      </w:r>
    </w:p>
    <w:p>
      <w:pPr>
        <w:pStyle w:val="2"/>
        <w:rPr>
          <w:rFonts w:hint="eastAsia"/>
        </w:rPr>
      </w:pPr>
      <w:r>
        <w:rPr>
          <w:rFonts w:hint="eastAsia"/>
        </w:rPr>
        <w:t>《中华人民共和国网络安全法》：方案中在模型文件解析与处理过程，需严格遵循该法要求，确保数据在收集、存储、传输、使用过程中的安全性。如在数据输入层，对模型文件解析时，要防止数据泄露，对敏感数据进行加密存储与传输，避免因技术漏洞导致用户数据被非法获取或篡改。</w:t>
      </w:r>
    </w:p>
    <w:p>
      <w:pPr>
        <w:pStyle w:val="2"/>
        <w:rPr>
          <w:rFonts w:hint="eastAsia"/>
        </w:rPr>
      </w:pPr>
      <w:r>
        <w:rPr>
          <w:rFonts w:hint="eastAsia"/>
        </w:rPr>
        <w:t>《</w:t>
      </w:r>
      <w:r>
        <w:rPr>
          <w:rFonts w:hint="eastAsia"/>
          <w:lang w:eastAsia="zh-CN"/>
        </w:rPr>
        <w:t>中华人民共和国数据安全法</w:t>
      </w:r>
      <w:r>
        <w:rPr>
          <w:rFonts w:hint="eastAsia"/>
        </w:rPr>
        <w:t>》：明确数据处理者的安全保护义务。在构建“原生格式→ONNX→目标平台格式”的转化流程中，涉及大量模型数据的处理，应建立健全数据安全管理制度，对不同类型模型数据进行分类分级保护，确保数据全生命周期安全。​</w:t>
      </w:r>
    </w:p>
    <w:p>
      <w:pPr>
        <w:pStyle w:val="2"/>
        <w:rPr>
          <w:rFonts w:hint="eastAsia"/>
        </w:rPr>
      </w:pPr>
      <w:r>
        <w:rPr>
          <w:rFonts w:hint="eastAsia"/>
        </w:rPr>
        <w:t>《</w:t>
      </w:r>
      <w:r>
        <w:rPr>
          <w:rFonts w:hint="eastAsia"/>
          <w:lang w:eastAsia="zh-CN"/>
        </w:rPr>
        <w:t>中华人民共和国著作权法</w:t>
      </w:r>
      <w:r>
        <w:rPr>
          <w:rFonts w:hint="eastAsia"/>
        </w:rPr>
        <w:t>》：方案中使用的各类开源技术，需遵循其开源协议与《</w:t>
      </w:r>
      <w:r>
        <w:rPr>
          <w:rFonts w:hint="eastAsia"/>
          <w:lang w:eastAsia="zh-CN"/>
        </w:rPr>
        <w:t>中华人民共和国著作权法</w:t>
      </w:r>
      <w:r>
        <w:rPr>
          <w:rFonts w:hint="eastAsia"/>
        </w:rPr>
        <w:t>》规定。在引用开源代码时，需保留原作者版权声明，确保不侵犯开源项目作者的著作权。同时，对于自研的模型解析引擎、格式转化插件等核心技术，要及时申请软件著作权，保护</w:t>
      </w:r>
      <w:r>
        <w:rPr>
          <w:rFonts w:hint="eastAsia"/>
          <w:lang w:eastAsia="zh-CN"/>
        </w:rPr>
        <w:t>自主知识产权</w:t>
      </w:r>
      <w:r>
        <w:rPr>
          <w:rFonts w:hint="eastAsia"/>
        </w:rPr>
        <w:t>。​</w:t>
      </w:r>
    </w:p>
    <w:p>
      <w:pPr>
        <w:pStyle w:val="2"/>
        <w:rPr>
          <w:rFonts w:hint="eastAsia"/>
        </w:rPr>
      </w:pPr>
      <w:r>
        <w:rPr>
          <w:rFonts w:hint="eastAsia"/>
        </w:rPr>
        <w:t>行业知识产权惯例：在预设20类主流模型的“转化模板”时，对于涉及第三方模型（</w:t>
      </w:r>
      <w:r>
        <w:rPr>
          <w:rFonts w:hint="eastAsia"/>
          <w:lang w:val="en-US" w:eastAsia="zh-CN"/>
        </w:rPr>
        <w:t>例如</w:t>
      </w:r>
      <w:r>
        <w:rPr>
          <w:rFonts w:hint="eastAsia"/>
        </w:rPr>
        <w:t>YOLO、</w:t>
      </w:r>
      <w:r>
        <w:rPr>
          <w:rFonts w:hint="eastAsia"/>
          <w:lang w:val="en-US" w:eastAsia="zh-CN"/>
        </w:rPr>
        <w:t>TensorFlow</w:t>
      </w:r>
      <w:r>
        <w:rPr>
          <w:rFonts w:hint="eastAsia"/>
        </w:rPr>
        <w:t>等）的转化适配，需确保在合法授权范围内使用其模型结构与相关技术，避免潜在知识产权纠纷。</w:t>
      </w:r>
    </w:p>
    <w:p>
      <w:pPr>
        <w:pStyle w:val="2"/>
        <w:rPr>
          <w:rFonts w:hint="eastAsia"/>
        </w:rPr>
      </w:pPr>
      <w:r>
        <w:rPr>
          <w:rFonts w:hint="eastAsia"/>
        </w:rPr>
        <w:t>ISO/IEC 25010软件产品质量模型：方案在软件架构设计、功能实现与性能保障措施制定上，可参考该标准。如在整体架构设计中，采用“三层架构+模块化设计”，确保软件的可扩展性、兼容性与稳定性，符合该标准中对软件质量特性（如功能性、可靠性、易用性、可维护性、可移植性等）的要求。在性能指标保障方面，规定的“20类模型”兼容性保障与“4类平台”转化保障措施，也是为满足软件质量模型中对兼容性与可靠性的量化指标要求。</w:t>
      </w:r>
    </w:p>
    <w:p>
      <w:pPr>
        <w:pStyle w:val="2"/>
        <w:rPr>
          <w:rFonts w:hint="eastAsia"/>
        </w:rPr>
      </w:pPr>
      <w:r>
        <w:rPr>
          <w:rFonts w:hint="eastAsia"/>
        </w:rPr>
        <w:t>《中华人民共和国价格法》：本项目采用“固定总价+售后</w:t>
      </w:r>
      <w:r>
        <w:rPr>
          <w:rFonts w:hint="eastAsia"/>
          <w:lang w:val="en-US" w:eastAsia="zh-CN"/>
        </w:rPr>
        <w:t>质保</w:t>
      </w:r>
      <w:r>
        <w:rPr>
          <w:rFonts w:hint="eastAsia"/>
        </w:rPr>
        <w:t>”模式报价，总报价需遵循价格法中关于公平、合法和诚实信用原则。报价明细清晰列出研发费用、测试与交付费用、售后服务包费用等，各项费用核算需合理有据，不得存在价格欺诈、哄抬价格等违法行为。同时，明确含税，包含项目全周期所有费用，无隐藏成本，符合价格法中对价格公开透明的要求。</w:t>
      </w:r>
    </w:p>
    <w:p>
      <w:pPr>
        <w:pStyle w:val="2"/>
        <w:rPr>
          <w:rFonts w:hint="eastAsia"/>
        </w:rPr>
      </w:pPr>
      <w:r>
        <w:rPr>
          <w:rFonts w:hint="eastAsia"/>
        </w:rPr>
        <w:t>行业价格规范：相较于行业同类工具报价，本方案报价</w:t>
      </w:r>
      <w:r>
        <w:rPr>
          <w:rFonts w:hint="eastAsia"/>
          <w:lang w:eastAsia="zh-CN"/>
        </w:rPr>
        <w:t>须具备</w:t>
      </w:r>
      <w:r>
        <w:rPr>
          <w:rFonts w:hint="eastAsia"/>
        </w:rPr>
        <w:t>合理性与竞争力。在确保覆盖“4类平台+20类模型+可视化功能+</w:t>
      </w:r>
      <w:r>
        <w:rPr>
          <w:rFonts w:hint="eastAsia"/>
          <w:lang w:val="en-US" w:eastAsia="zh-CN"/>
        </w:rPr>
        <w:t>1</w:t>
      </w:r>
      <w:r>
        <w:rPr>
          <w:rFonts w:hint="eastAsia"/>
        </w:rPr>
        <w:t>年全周期服务”且在3个月短周期内交付的前提下，需参考行业市场价格水平，避免报价过高或过低扰乱市场秩序。</w:t>
      </w:r>
    </w:p>
    <w:p>
      <w:pPr>
        <w:pStyle w:val="2"/>
        <w:rPr>
          <w:rFonts w:hint="eastAsia"/>
        </w:rPr>
      </w:pPr>
      <w:r>
        <w:rPr>
          <w:rFonts w:hint="eastAsia"/>
        </w:rPr>
        <w:t>《中华人民共和国招标投标法》及实施条例：在投标报价环节，需严格遵守招投标法规。报价文件需按招标文件要求编制，确保完整性与准确性。例如，明确报价有效期、付款方式（支持</w:t>
      </w:r>
      <w:r>
        <w:rPr>
          <w:rFonts w:hint="eastAsia"/>
          <w:lang w:val="en-US" w:eastAsia="zh-CN"/>
        </w:rPr>
        <w:t>甲方</w:t>
      </w:r>
      <w:r>
        <w:rPr>
          <w:rFonts w:hint="eastAsia"/>
        </w:rPr>
        <w:t>“按阶段付款”：预付款30%+尾款</w:t>
      </w:r>
      <w:r>
        <w:rPr>
          <w:rFonts w:hint="eastAsia"/>
          <w:lang w:val="en-US" w:eastAsia="zh-CN"/>
        </w:rPr>
        <w:t>7</w:t>
      </w:r>
      <w:r>
        <w:rPr>
          <w:rFonts w:hint="eastAsia"/>
        </w:rPr>
        <w:t>0%）等关键信息，符合招投标法规中对合同条款与付款安排的相关规定，保障招投标活动的公平公正与顺利进行。</w:t>
      </w:r>
    </w:p>
    <w:p>
      <w:pPr>
        <w:outlineLvl w:val="1"/>
        <w:rPr>
          <w:rFonts w:eastAsia="楷体_GB2312"/>
          <w:b/>
          <w:bCs/>
          <w:sz w:val="32"/>
          <w:szCs w:val="32"/>
        </w:rPr>
      </w:pPr>
      <w:bookmarkStart w:id="31" w:name="_Toc198653970"/>
      <w:bookmarkStart w:id="32" w:name="_Toc2009105698"/>
      <w:bookmarkStart w:id="33" w:name="_Toc336011421"/>
      <w:r>
        <w:rPr>
          <w:rFonts w:hint="eastAsia" w:ascii="楷体_GB2312" w:hAnsi="楷体_GB2312" w:eastAsia="楷体_GB2312" w:cs="楷体_GB2312"/>
          <w:sz w:val="32"/>
          <w:szCs w:val="32"/>
        </w:rPr>
        <w:t>（二）比照条件分析</w:t>
      </w:r>
      <w:bookmarkEnd w:id="31"/>
      <w:bookmarkEnd w:id="32"/>
      <w:bookmarkEnd w:id="33"/>
    </w:p>
    <w:p>
      <w:pPr>
        <w:ind w:firstLine="552"/>
        <w:rPr>
          <w:rFonts w:hint="eastAsia"/>
        </w:rPr>
      </w:pPr>
      <w:r>
        <w:rPr>
          <w:rFonts w:hint="eastAsia"/>
        </w:rPr>
        <w:t>为确保项目报价的合理性、合规性与市场竞争力，本方案通过“同类项目对标、核心资源询价、费用标准锚定”三维度开展比照分析，结合项目实际需求与管理规定，形成科学测算依据，具体如下。</w:t>
      </w:r>
    </w:p>
    <w:p>
      <w:pPr>
        <w:numPr>
          <w:ilvl w:val="0"/>
          <w:numId w:val="5"/>
        </w:numPr>
        <w:outlineLvl w:val="2"/>
        <w:rPr>
          <w:rFonts w:hint="eastAsia"/>
        </w:rPr>
      </w:pPr>
      <w:bookmarkStart w:id="34" w:name="_Toc6600858"/>
      <w:r>
        <w:rPr>
          <w:rFonts w:hint="eastAsia"/>
        </w:rPr>
        <w:t>同类项目价格对标​</w:t>
      </w:r>
      <w:bookmarkEnd w:id="34"/>
    </w:p>
    <w:p>
      <w:pPr>
        <w:pStyle w:val="2"/>
        <w:rPr>
          <w:rFonts w:hint="eastAsia"/>
        </w:rPr>
      </w:pPr>
      <w:r>
        <w:rPr>
          <w:rFonts w:hint="eastAsia"/>
        </w:rPr>
        <w:t>通过调研国内外跨平台智能模型转化工具同类项目（如某研究所“多模态模型跨架构适配系统”、某科技公司“AI模型全平台转换工具开发”），梳理核心功能与报价关联关系：</w:t>
      </w:r>
    </w:p>
    <w:p>
      <w:pPr>
        <w:pStyle w:val="2"/>
        <w:rPr>
          <w:rFonts w:hint="eastAsia"/>
        </w:rPr>
      </w:pPr>
      <w:r>
        <w:rPr>
          <w:rFonts w:hint="eastAsia"/>
        </w:rPr>
        <w:t>功能维度对标：同类项目中，支持“4类硬件平台+15类模型”转换的基础版本报价区间为38-45万元，若新增模型可视化功能（含网络结构展示、参数热力图），报价平均上浮15%-20%；本项目需覆盖“4类平台+20类模型+可视化+1年售后”，功能复杂度高于基础版本，报价需在同类项目基础上合理调整，确保与服务范围匹配。</w:t>
      </w:r>
    </w:p>
    <w:p>
      <w:pPr>
        <w:pStyle w:val="2"/>
        <w:rPr>
          <w:rFonts w:hint="eastAsia"/>
        </w:rPr>
      </w:pPr>
      <w:r>
        <w:rPr>
          <w:rFonts w:hint="eastAsia"/>
        </w:rPr>
        <w:t>周期维度对标：同类项目常规开发周期为4-6个月，报价中人力成本占比约60%；本项目周期压缩至3个月，需投入更多专职人员（如算法工程师、测试工程师）保障进度，人力成本核算需参考“短周期项目人力溢价”行业惯例（平均溢价10%-15%），确保成本覆盖高强度开发投入。</w:t>
      </w:r>
    </w:p>
    <w:p>
      <w:pPr>
        <w:numPr>
          <w:ilvl w:val="0"/>
          <w:numId w:val="5"/>
        </w:numPr>
        <w:outlineLvl w:val="2"/>
        <w:rPr>
          <w:rFonts w:hint="eastAsia"/>
        </w:rPr>
      </w:pPr>
      <w:bookmarkStart w:id="35" w:name="_Toc1418954409"/>
      <w:r>
        <w:rPr>
          <w:rFonts w:hint="eastAsia"/>
        </w:rPr>
        <w:t>核心资源价格询价​</w:t>
      </w:r>
      <w:bookmarkEnd w:id="35"/>
    </w:p>
    <w:p>
      <w:pPr>
        <w:pStyle w:val="2"/>
        <w:rPr>
          <w:rFonts w:hint="eastAsia"/>
        </w:rPr>
      </w:pPr>
      <w:r>
        <w:rPr>
          <w:rFonts w:hint="eastAsia"/>
        </w:rPr>
        <w:t>针对项目所需外购产品、材料及服务，通过多渠道询价（供应商报价、电商平台比价、行业采购数据库）确定市场公允价格，作为成本核算基准：</w:t>
      </w:r>
    </w:p>
    <w:p>
      <w:pPr>
        <w:pStyle w:val="2"/>
        <w:rPr>
          <w:rFonts w:hint="eastAsia"/>
        </w:rPr>
      </w:pPr>
      <w:r>
        <w:rPr>
          <w:rFonts w:hint="eastAsia"/>
        </w:rPr>
        <w:t>硬件租赁价格：华为昇腾Atlas800服务器（月租金约4500元）、瑞芯微RK3588开发板（月租金约1200元）、英伟达Jetson AGX Orin（月租金约3000元）、寒武纪思元370服务器（月租金约4000元），按3个月项目周期计算，硬件租赁总成本约3.51万元。</w:t>
      </w:r>
    </w:p>
    <w:p>
      <w:pPr>
        <w:pStyle w:val="2"/>
        <w:rPr>
          <w:rFonts w:hint="eastAsia"/>
        </w:rPr>
      </w:pPr>
      <w:r>
        <w:rPr>
          <w:rFonts w:hint="eastAsia"/>
        </w:rPr>
        <w:t>第三方服务价格：模型测试数据集（如COCO 2017全量数据集授权、GLUE标准数据集）采购单价约5000-8000元，模型转换专用SDK（如某商用ONNX优化工具）授权费用约1.2-1.5万元。</w:t>
      </w:r>
    </w:p>
    <w:p>
      <w:pPr>
        <w:numPr>
          <w:ilvl w:val="0"/>
          <w:numId w:val="5"/>
        </w:numPr>
        <w:outlineLvl w:val="2"/>
        <w:rPr>
          <w:rFonts w:hint="eastAsia"/>
        </w:rPr>
      </w:pPr>
      <w:bookmarkStart w:id="36" w:name="_Toc560852128"/>
      <w:r>
        <w:rPr>
          <w:rFonts w:hint="eastAsia"/>
        </w:rPr>
        <w:t>费用标准锚定与核算​</w:t>
      </w:r>
      <w:bookmarkEnd w:id="36"/>
    </w:p>
    <w:p>
      <w:pPr>
        <w:pStyle w:val="2"/>
        <w:rPr>
          <w:rFonts w:hint="eastAsia"/>
        </w:rPr>
      </w:pPr>
      <w:r>
        <w:rPr>
          <w:rFonts w:hint="eastAsia"/>
        </w:rPr>
        <w:t>严格依据国家、军队及单位相关财务规定，明确事务类费用（会议费、差旅费、专家咨询费）测算标准，确保费用合规：</w:t>
      </w:r>
    </w:p>
    <w:p>
      <w:pPr>
        <w:pStyle w:val="2"/>
        <w:rPr>
          <w:rFonts w:hint="eastAsia"/>
        </w:rPr>
      </w:pPr>
      <w:r>
        <w:rPr>
          <w:rFonts w:hint="eastAsia"/>
        </w:rPr>
        <w:t>会议费：参照《中央和国家机关会议费管理办法》中“三类会议”标准，按人均550元/天核算，</w:t>
      </w:r>
      <w:r>
        <w:rPr>
          <w:rFonts w:hint="eastAsia"/>
          <w:lang w:val="en-US" w:eastAsia="zh-CN"/>
        </w:rPr>
        <w:t>本项目会议均在项目地召开，不计入费用</w:t>
      </w:r>
      <w:r>
        <w:rPr>
          <w:rFonts w:hint="eastAsia"/>
        </w:rPr>
        <w:t>。</w:t>
      </w:r>
    </w:p>
    <w:p>
      <w:pPr>
        <w:pStyle w:val="2"/>
        <w:rPr>
          <w:rFonts w:hint="eastAsia"/>
        </w:rPr>
      </w:pPr>
      <w:r>
        <w:rPr>
          <w:rFonts w:hint="eastAsia"/>
        </w:rPr>
        <w:t>差旅费：依据《中央和国家机关差旅费管理办法》，人均城市间往返交通费按项目地（成都）至甲方试验场</w:t>
      </w:r>
      <w:r>
        <w:rPr>
          <w:rFonts w:hint="eastAsia"/>
          <w:lang w:eastAsia="zh-CN"/>
        </w:rPr>
        <w:t>（</w:t>
      </w:r>
      <w:r>
        <w:rPr>
          <w:rFonts w:hint="eastAsia"/>
          <w:lang w:val="en-US" w:eastAsia="zh-CN"/>
        </w:rPr>
        <w:t>连云港</w:t>
      </w:r>
      <w:r>
        <w:rPr>
          <w:rFonts w:hint="eastAsia"/>
        </w:rPr>
        <w:t>）</w:t>
      </w:r>
      <w:r>
        <w:rPr>
          <w:rFonts w:hint="eastAsia"/>
          <w:lang w:val="en-US" w:eastAsia="zh-CN"/>
        </w:rPr>
        <w:t>飞机</w:t>
      </w:r>
      <w:r>
        <w:rPr>
          <w:rFonts w:hint="eastAsia"/>
        </w:rPr>
        <w:t>票价（约</w:t>
      </w:r>
      <w:r>
        <w:rPr>
          <w:rFonts w:hint="eastAsia"/>
          <w:lang w:val="en-US" w:eastAsia="zh-CN"/>
        </w:rPr>
        <w:t>10</w:t>
      </w:r>
      <w:r>
        <w:rPr>
          <w:rFonts w:hint="eastAsia"/>
        </w:rPr>
        <w:t>00元/单程）核算，住宿按500元/天・人、伙食补助100元/天・人、市内交通费80元/天・人计算，项目需现场调研、部署及培训共3次（每次2人，3天/次），差旅费预算约1.</w:t>
      </w:r>
      <w:r>
        <w:rPr>
          <w:rFonts w:hint="eastAsia"/>
          <w:lang w:val="en-US" w:eastAsia="zh-CN"/>
        </w:rPr>
        <w:t>50</w:t>
      </w:r>
      <w:r>
        <w:rPr>
          <w:rFonts w:hint="eastAsia"/>
        </w:rPr>
        <w:t>万元。</w:t>
      </w:r>
    </w:p>
    <w:p>
      <w:pPr>
        <w:pStyle w:val="2"/>
        <w:rPr>
          <w:rFonts w:hAnsi="仿宋_GB2312" w:cs="仿宋_GB2312"/>
        </w:rPr>
      </w:pPr>
      <w:r>
        <w:rPr>
          <w:rFonts w:hint="eastAsia"/>
        </w:rPr>
        <w:t>专家咨询费：参照《国家科研计划课题经费管理办法》，按“技术咨询类专家人均1500元/天”标准核算，项目关键节点（需求论证、技术评审、验收）需邀请5名行业专家（如高校教授、企业高级工程师），共2天，专家咨询费预算约1.5万元。</w:t>
      </w:r>
    </w:p>
    <w:p>
      <w:pPr>
        <w:outlineLvl w:val="1"/>
        <w:rPr>
          <w:rFonts w:eastAsia="楷体_GB2312"/>
          <w:sz w:val="32"/>
          <w:szCs w:val="32"/>
        </w:rPr>
      </w:pPr>
      <w:bookmarkStart w:id="37" w:name="_Toc935988613"/>
      <w:bookmarkStart w:id="38" w:name="_Toc198653971"/>
      <w:bookmarkStart w:id="39" w:name="_Toc1609444784"/>
      <w:r>
        <w:rPr>
          <w:rFonts w:hint="eastAsia" w:ascii="楷体_GB2312" w:hAnsi="楷体_GB2312" w:eastAsia="楷体_GB2312" w:cs="楷体_GB2312"/>
          <w:sz w:val="32"/>
          <w:szCs w:val="32"/>
        </w:rPr>
        <w:t>（三）论证方法</w:t>
      </w:r>
      <w:bookmarkEnd w:id="37"/>
      <w:bookmarkEnd w:id="38"/>
      <w:bookmarkEnd w:id="39"/>
    </w:p>
    <w:p>
      <w:pPr>
        <w:ind w:firstLine="552"/>
        <w:rPr>
          <w:rFonts w:hint="eastAsia"/>
        </w:rPr>
      </w:pPr>
      <w:r>
        <w:rPr>
          <w:rFonts w:hint="eastAsia"/>
        </w:rPr>
        <w:t>在论证方法上，以“合规要点拆解→方案对应措施→达标判定依据”为核心，覆盖技术、报价、成本全维度，如成本核算环节需拆解“价格法合规要点→成本明细编制措施→核算依据文件”的闭环链条。</w:t>
      </w:r>
    </w:p>
    <w:p>
      <w:pPr>
        <w:numPr>
          <w:ilvl w:val="0"/>
          <w:numId w:val="6"/>
        </w:numPr>
        <w:outlineLvl w:val="2"/>
        <w:rPr>
          <w:rFonts w:hint="eastAsia"/>
        </w:rPr>
      </w:pPr>
      <w:bookmarkStart w:id="40" w:name="_Toc842904416"/>
      <w:r>
        <w:rPr>
          <w:rFonts w:hint="eastAsia"/>
        </w:rPr>
        <w:t>分类论证法​</w:t>
      </w:r>
      <w:bookmarkEnd w:id="40"/>
    </w:p>
    <w:p>
      <w:pPr>
        <w:pStyle w:val="2"/>
        <w:rPr>
          <w:rFonts w:hint="eastAsia"/>
        </w:rPr>
      </w:pPr>
      <w:r>
        <w:rPr>
          <w:rFonts w:hint="eastAsia"/>
        </w:rPr>
        <w:t>按“技术合规”“报价合规”“成本核算合规”三大维度拆分，成本核算单独作为子模块，聚焦“成本构成合理性”“核算依据合法性”“费用与服务匹配性”论证，避免与报价论证交叉混淆。​</w:t>
      </w:r>
    </w:p>
    <w:p>
      <w:pPr>
        <w:numPr>
          <w:ilvl w:val="0"/>
          <w:numId w:val="6"/>
        </w:numPr>
        <w:outlineLvl w:val="2"/>
        <w:rPr>
          <w:rFonts w:hint="eastAsia"/>
        </w:rPr>
      </w:pPr>
      <w:bookmarkStart w:id="41" w:name="_Toc1892384100"/>
      <w:r>
        <w:rPr>
          <w:rFonts w:hint="eastAsia"/>
        </w:rPr>
        <w:t>量化支撑论证法​</w:t>
      </w:r>
      <w:bookmarkEnd w:id="41"/>
    </w:p>
    <w:p>
      <w:pPr>
        <w:pStyle w:val="2"/>
        <w:rPr>
          <w:rFonts w:hint="eastAsia"/>
        </w:rPr>
      </w:pPr>
      <w:r>
        <w:rPr>
          <w:rFonts w:hint="eastAsia"/>
        </w:rPr>
        <w:t>技术端：“</w:t>
      </w:r>
      <w:r>
        <w:rPr>
          <w:rFonts w:hint="eastAsia"/>
          <w:lang w:val="en-US" w:eastAsia="zh-CN"/>
        </w:rPr>
        <w:t>模型转换成功率</w:t>
      </w:r>
      <w:r>
        <w:rPr>
          <w:rFonts w:hint="eastAsia"/>
        </w:rPr>
        <w:t>”“</w:t>
      </w:r>
      <w:r>
        <w:rPr>
          <w:rFonts w:hint="eastAsia"/>
          <w:lang w:val="en-US" w:eastAsia="zh-CN"/>
        </w:rPr>
        <w:t>20类模型</w:t>
      </w:r>
      <w:r>
        <w:rPr>
          <w:rFonts w:hint="eastAsia"/>
        </w:rPr>
        <w:t>”</w:t>
      </w:r>
      <w:r>
        <w:rPr>
          <w:rFonts w:hint="eastAsia"/>
          <w:lang w:val="en-US" w:eastAsia="zh-CN"/>
        </w:rPr>
        <w:t>和“4种平台”</w:t>
      </w:r>
      <w:r>
        <w:rPr>
          <w:rFonts w:hint="eastAsia"/>
        </w:rPr>
        <w:t>等量化指标验证质量；​</w:t>
      </w:r>
    </w:p>
    <w:p>
      <w:pPr>
        <w:pStyle w:val="2"/>
        <w:rPr>
          <w:rFonts w:hint="eastAsia"/>
        </w:rPr>
      </w:pPr>
      <w:r>
        <w:rPr>
          <w:rFonts w:hint="eastAsia"/>
        </w:rPr>
        <w:t>报价端：</w:t>
      </w:r>
      <w:r>
        <w:rPr>
          <w:rFonts w:hint="eastAsia"/>
          <w:lang w:val="en-US" w:eastAsia="zh-CN"/>
        </w:rPr>
        <w:t>考虑</w:t>
      </w:r>
      <w:r>
        <w:rPr>
          <w:rFonts w:hint="eastAsia"/>
        </w:rPr>
        <w:t>“行业均价”“税率”等数值体现合规；​</w:t>
      </w:r>
    </w:p>
    <w:p>
      <w:pPr>
        <w:pStyle w:val="2"/>
        <w:rPr>
          <w:rFonts w:hint="eastAsia" w:eastAsia="仿宋_GB2312"/>
          <w:lang w:val="en-US" w:eastAsia="zh-CN"/>
        </w:rPr>
      </w:pPr>
      <w:r>
        <w:rPr>
          <w:rFonts w:hint="eastAsia"/>
        </w:rPr>
        <w:t>成本端：“研发人力成本=</w:t>
      </w:r>
      <w:r>
        <w:rPr>
          <w:rFonts w:hint="eastAsia"/>
          <w:lang w:val="en-US" w:eastAsia="zh-CN"/>
        </w:rPr>
        <w:t>5</w:t>
      </w:r>
      <w:r>
        <w:rPr>
          <w:rFonts w:hint="eastAsia"/>
        </w:rPr>
        <w:t>名工程师×12周×行业薪资标准”“硬件成本=4类测试设备</w:t>
      </w:r>
      <w:r>
        <w:rPr>
          <w:rFonts w:hint="eastAsia"/>
          <w:lang w:val="en-US" w:eastAsia="zh-CN"/>
        </w:rPr>
        <w:t>租赁价</w:t>
      </w:r>
      <w:r>
        <w:rPr>
          <w:rFonts w:hint="eastAsia"/>
        </w:rPr>
        <w:t>明细”等公式化核算证明费用合理。</w:t>
      </w:r>
    </w:p>
    <w:p>
      <w:pPr>
        <w:numPr>
          <w:ilvl w:val="0"/>
          <w:numId w:val="6"/>
        </w:numPr>
        <w:outlineLvl w:val="2"/>
        <w:rPr>
          <w:rFonts w:hint="eastAsia"/>
        </w:rPr>
      </w:pPr>
      <w:bookmarkStart w:id="42" w:name="_Toc1066756630"/>
      <w:r>
        <w:rPr>
          <w:rFonts w:hint="eastAsia"/>
        </w:rPr>
        <w:t>成本溯源论证法​</w:t>
      </w:r>
      <w:bookmarkEnd w:id="42"/>
    </w:p>
    <w:p>
      <w:pPr>
        <w:pStyle w:val="2"/>
        <w:rPr>
          <w:rFonts w:hint="eastAsia"/>
        </w:rPr>
      </w:pPr>
      <w:r>
        <w:rPr>
          <w:rFonts w:hint="eastAsia"/>
        </w:rPr>
        <w:t>针对每一项成本构成（研发、硬件、售后），提供可追溯依据：​</w:t>
      </w:r>
    </w:p>
    <w:p>
      <w:pPr>
        <w:pStyle w:val="2"/>
        <w:rPr>
          <w:rFonts w:hint="eastAsia"/>
        </w:rPr>
      </w:pPr>
      <w:r>
        <w:rPr>
          <w:rFonts w:hint="eastAsia"/>
        </w:rPr>
        <w:t>人力成本：附工程师薪资标准文件、项目工时计划表；​</w:t>
      </w:r>
    </w:p>
    <w:p>
      <w:pPr>
        <w:pStyle w:val="2"/>
        <w:rPr>
          <w:rFonts w:hint="eastAsia"/>
        </w:rPr>
      </w:pPr>
      <w:r>
        <w:rPr>
          <w:rFonts w:hint="eastAsia"/>
        </w:rPr>
        <w:t>硬件成本：</w:t>
      </w:r>
      <w:r>
        <w:rPr>
          <w:rFonts w:hint="eastAsia"/>
          <w:lang w:val="en-US" w:eastAsia="zh-CN"/>
        </w:rPr>
        <w:t>参见前面“比照条件分析”</w:t>
      </w:r>
      <w:r>
        <w:rPr>
          <w:rFonts w:hint="eastAsia"/>
        </w:rPr>
        <w:t>；​</w:t>
      </w:r>
    </w:p>
    <w:p>
      <w:pPr>
        <w:ind w:firstLine="552"/>
      </w:pPr>
      <w:r>
        <w:rPr>
          <w:rFonts w:hint="eastAsia"/>
        </w:rPr>
        <w:t>售后成本：</w:t>
      </w:r>
      <w:r>
        <w:rPr>
          <w:rFonts w:hint="eastAsia"/>
          <w:lang w:val="en-US" w:eastAsia="zh-CN"/>
        </w:rPr>
        <w:t>本项目是纯软件工具，后期运维支撑成本较低，暂不考虑该部分成本</w:t>
      </w:r>
      <w:r>
        <w:rPr>
          <w:rFonts w:hint="eastAsia"/>
        </w:rPr>
        <w:t>。</w:t>
      </w:r>
    </w:p>
    <w:p>
      <w:pPr>
        <w:numPr>
          <w:ilvl w:val="0"/>
          <w:numId w:val="7"/>
        </w:numPr>
        <w:outlineLvl w:val="0"/>
        <w:rPr>
          <w:rFonts w:hint="eastAsia" w:ascii="黑体" w:hAnsi="黑体" w:eastAsia="黑体"/>
          <w:sz w:val="32"/>
          <w:szCs w:val="32"/>
        </w:rPr>
      </w:pPr>
      <w:bookmarkStart w:id="43" w:name="_Toc372529530"/>
      <w:bookmarkStart w:id="44" w:name="_Toc198653972"/>
      <w:bookmarkStart w:id="45" w:name="_Toc234467076"/>
      <w:bookmarkStart w:id="46" w:name="_Toc1785195254"/>
      <w:r>
        <w:rPr>
          <w:rFonts w:hint="eastAsia" w:ascii="黑体" w:hAnsi="黑体" w:eastAsia="黑体"/>
          <w:sz w:val="32"/>
          <w:szCs w:val="32"/>
        </w:rPr>
        <w:t>项目技术内容与经费报价方案及测算理由</w:t>
      </w:r>
      <w:bookmarkEnd w:id="43"/>
      <w:bookmarkEnd w:id="44"/>
      <w:bookmarkEnd w:id="45"/>
      <w:bookmarkEnd w:id="46"/>
    </w:p>
    <w:p>
      <w:pPr>
        <w:outlineLvl w:val="1"/>
        <w:rPr>
          <w:rFonts w:hint="eastAsia" w:ascii="楷体_GB2312" w:hAnsi="楷体_GB2312" w:eastAsia="楷体_GB2312" w:cs="楷体_GB2312"/>
          <w:sz w:val="32"/>
          <w:szCs w:val="32"/>
        </w:rPr>
      </w:pPr>
      <w:bookmarkStart w:id="47" w:name="_Toc55654087"/>
      <w:bookmarkStart w:id="48" w:name="_Toc1282601741"/>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一</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rPr>
        <w:t>技术方案</w:t>
      </w:r>
      <w:bookmarkEnd w:id="47"/>
      <w:bookmarkEnd w:id="48"/>
    </w:p>
    <w:p>
      <w:pPr>
        <w:pStyle w:val="2"/>
        <w:ind w:firstLine="552"/>
        <w:rPr>
          <w:rFonts w:hint="eastAsia"/>
        </w:rPr>
      </w:pPr>
      <w:r>
        <w:rPr>
          <w:rFonts w:hint="eastAsia"/>
        </w:rPr>
        <w:t>为响应智能模型在跨平台应用与高效理解领域的迫切需求，破解不同硬件平台架构壁垒及模型结构复杂难懂的难题，本项目聚焦构建一套功能完备、性能可靠的智能模型跨平台适配与可视化系统。通过搭建B/S架构基础支撑体系，开发模型转换、可视化展示及不同硬件集成验证等核心系统，配套关键功能开发与保障体系建设，实现20个主流智能模型（含自然语言大模型）的跨平台高效转换、直观可视化及硬件平台有效验证，全面提升智能模型的应用效率与可解释性，为智能模型全生命周期管理提供有力支撑。</w:t>
      </w:r>
    </w:p>
    <w:p>
      <w:pPr>
        <w:numPr>
          <w:ilvl w:val="0"/>
          <w:numId w:val="8"/>
        </w:numPr>
        <w:outlineLvl w:val="2"/>
        <w:rPr>
          <w:sz w:val="32"/>
          <w:szCs w:val="32"/>
        </w:rPr>
      </w:pPr>
      <w:bookmarkStart w:id="49" w:name="_Toc246612401"/>
      <w:r>
        <w:rPr>
          <w:rFonts w:hint="eastAsia"/>
          <w:sz w:val="32"/>
          <w:szCs w:val="32"/>
          <w:lang w:val="en-US" w:eastAsia="zh-CN"/>
        </w:rPr>
        <w:t>系统设计</w:t>
      </w:r>
      <w:bookmarkEnd w:id="49"/>
    </w:p>
    <w:p>
      <w:pPr>
        <w:numPr>
          <w:ilvl w:val="1"/>
          <w:numId w:val="8"/>
        </w:numPr>
        <w:outlineLvl w:val="3"/>
      </w:pPr>
      <w:r>
        <w:rPr>
          <w:rFonts w:hint="eastAsia"/>
        </w:rPr>
        <w:t>B/S架构基础支撑系统</w:t>
      </w:r>
    </w:p>
    <w:p>
      <w:pPr>
        <w:pStyle w:val="2"/>
        <w:ind w:firstLine="552"/>
        <w:rPr>
          <w:rFonts w:hint="eastAsia"/>
        </w:rPr>
      </w:pPr>
      <w:r>
        <w:rPr>
          <w:rFonts w:hint="eastAsia"/>
        </w:rPr>
        <w:t>B/S架构基础支撑系统是整个工具的运行骨架，从用户交互到数据存储再到硬件调度，实现全流程协同。</w:t>
      </w:r>
    </w:p>
    <w:p>
      <w:pPr>
        <w:pStyle w:val="2"/>
        <w:ind w:firstLine="552"/>
        <w:rPr>
          <w:rFonts w:hint="eastAsia"/>
        </w:rPr>
      </w:pPr>
      <w:r>
        <w:rPr>
          <w:rFonts w:hint="eastAsia"/>
        </w:rPr>
        <w:t>用户层：支持Chrome、Edge、Firefox等主流浏览器访问，无需额外安装客户端插件。界面采用响应式设计，适配1920×1080等常见分辨率，满足试验场调试机不同显示设备需求。核心交互功能包括模型上传（</w:t>
      </w:r>
      <w:r>
        <w:rPr>
          <w:rFonts w:hint="eastAsia"/>
          <w:lang w:val="en-US" w:eastAsia="zh-CN"/>
        </w:rPr>
        <w:t>大文件尽量本地工具上传</w:t>
      </w:r>
      <w:r>
        <w:rPr>
          <w:rFonts w:hint="eastAsia"/>
        </w:rPr>
        <w:t>）、转换配置（可视化选择目标平台、精度模式（FP32/FP16/INT8））、任务进度查看（实时进度条+百分比显示，支持任务</w:t>
      </w:r>
      <w:r>
        <w:rPr>
          <w:rFonts w:hint="eastAsia"/>
          <w:lang w:val="en-US" w:eastAsia="zh-CN"/>
        </w:rPr>
        <w:t>新增查询和删除</w:t>
      </w:r>
      <w:r>
        <w:rPr>
          <w:rFonts w:hint="eastAsia"/>
        </w:rPr>
        <w:t>）、结果下载（转换后模型文件下载），确保用户操作便捷高效。</w:t>
      </w:r>
    </w:p>
    <w:p>
      <w:pPr>
        <w:pStyle w:val="2"/>
        <w:ind w:firstLine="552"/>
        <w:rPr>
          <w:rFonts w:hint="eastAsia"/>
        </w:rPr>
      </w:pPr>
      <w:r>
        <w:rPr>
          <w:rFonts w:hint="eastAsia"/>
        </w:rPr>
        <w:t>应用服务层：采用微服务架构拆分功能模块，各模块通过RESTful API实现通信，支持独立部署与弹性扩展。前端应用基于Vue3+TypeScript开发，搭配Element Plus组件库构建轻量化交互界面，集成ECharts实现任务</w:t>
      </w:r>
      <w:r>
        <w:rPr>
          <w:rFonts w:hint="eastAsia"/>
          <w:lang w:val="en-US" w:eastAsia="zh-CN"/>
        </w:rPr>
        <w:t>状态</w:t>
      </w:r>
      <w:r>
        <w:rPr>
          <w:rFonts w:hint="eastAsia"/>
        </w:rPr>
        <w:t>、性能指标等数据可视化展示；后端RESTful API服务基于</w:t>
      </w:r>
      <w:r>
        <w:rPr>
          <w:rFonts w:hint="eastAsia"/>
          <w:lang w:val="en-US" w:eastAsia="zh-CN"/>
        </w:rPr>
        <w:t>常见开源框架</w:t>
      </w:r>
      <w:r>
        <w:rPr>
          <w:rFonts w:hint="eastAsia"/>
        </w:rPr>
        <w:t>开发，采用Swagger生成接口文档，方便后期维护与二次开发。模块拆分遵循“高内聚、低耦合”原则，将模型解析、格式转换、可视化处理等核心功能拆分为独立服务。</w:t>
      </w:r>
    </w:p>
    <w:p>
      <w:pPr>
        <w:pStyle w:val="2"/>
        <w:ind w:firstLine="552"/>
        <w:rPr>
          <w:rFonts w:hint="eastAsia"/>
        </w:rPr>
      </w:pPr>
      <w:r>
        <w:rPr>
          <w:rFonts w:hint="eastAsia"/>
        </w:rPr>
        <w:t>数据存储层：采用混合存储架构满足不同数据类型需求。MySQL 8.0数据库用于存储结构化数据，包括用户信息（账号、权限、操作日志）、任务数据（任务ID、模型名称、目标平台、转换状态、创建时间）、系统配置（支持的模型类型、平台参数、精度阈值），保障数据安全性；MinIO分布式对象存储用于存储非结构化数据，包括原始模型文件、转换后模型文件、测试数据集、日志文件，支持断点续传与版本控制，可根据需求扩展存储节点，满足试验场日益增长的模型数据存储需求；Redis用于缓存高频访问数据，如用户登录令牌、任务实时状态、模型元数据（输入输出维度、算子数量），缓存有效期可配置（默认24小时），大幅提升系统响应速度，减少数据库访问压力。</w:t>
      </w:r>
    </w:p>
    <w:p>
      <w:pPr>
        <w:pStyle w:val="2"/>
        <w:ind w:firstLine="552"/>
        <w:rPr>
          <w:rFonts w:hint="eastAsia"/>
        </w:rPr>
      </w:pPr>
      <w:r>
        <w:rPr>
          <w:rFonts w:hint="eastAsia"/>
        </w:rPr>
        <w:t xml:space="preserve">硬件资源层：部署英伟达（RTX </w:t>
      </w:r>
      <w:r>
        <w:rPr>
          <w:rFonts w:hint="eastAsia"/>
          <w:lang w:val="en-US" w:eastAsia="zh-CN"/>
        </w:rPr>
        <w:t>3060或</w:t>
      </w:r>
      <w:r>
        <w:rPr>
          <w:rFonts w:hint="eastAsia"/>
        </w:rPr>
        <w:t>Jetson AGX Orin）、华为昇腾（Atlas</w:t>
      </w:r>
      <w:r>
        <w:rPr>
          <w:rFonts w:hint="eastAsia"/>
          <w:lang w:val="en-US" w:eastAsia="zh-CN"/>
        </w:rPr>
        <w:t>某型号</w:t>
      </w:r>
      <w:r>
        <w:rPr>
          <w:rFonts w:hint="eastAsia"/>
        </w:rPr>
        <w:t>）、瑞芯微（RK3588</w:t>
      </w:r>
      <w:r>
        <w:rPr>
          <w:rFonts w:hint="eastAsia"/>
          <w:lang w:val="en-US" w:eastAsia="zh-CN"/>
        </w:rPr>
        <w:t>或</w:t>
      </w:r>
      <w:r>
        <w:rPr>
          <w:rFonts w:hint="eastAsia"/>
        </w:rPr>
        <w:t>RK3599）、寒武纪（思元370</w:t>
      </w:r>
      <w:r>
        <w:rPr>
          <w:rFonts w:hint="eastAsia"/>
          <w:lang w:val="en-US" w:eastAsia="zh-CN"/>
        </w:rPr>
        <w:t>或</w:t>
      </w:r>
      <w:r>
        <w:rPr>
          <w:rFonts w:hint="eastAsia"/>
        </w:rPr>
        <w:t>思元590）等4类平台硬件测试节点，形成分布式测试集群。通过Docker容器化技术</w:t>
      </w:r>
      <w:r>
        <w:rPr>
          <w:rFonts w:hint="eastAsia"/>
          <w:lang w:val="en-US" w:eastAsia="zh-CN"/>
        </w:rPr>
        <w:t>或者Conda虚拟化环境等方式</w:t>
      </w:r>
      <w:r>
        <w:rPr>
          <w:rFonts w:hint="eastAsia"/>
        </w:rPr>
        <w:t>统一管理各节点运行环境，为每类平台预置专用镜像</w:t>
      </w:r>
      <w:r>
        <w:rPr>
          <w:rFonts w:hint="eastAsia"/>
          <w:lang w:val="en-US" w:eastAsia="zh-CN"/>
        </w:rPr>
        <w:t>或者执行环境</w:t>
      </w:r>
      <w:r>
        <w:rPr>
          <w:rFonts w:hint="eastAsia"/>
        </w:rPr>
        <w:t>（含驱动、SDK、依赖库），如华为昇腾节点镜像包含CANN 7.0 SDK、MindSpore 2.0框架，英伟达节点镜像包含CUDA、TensorRT，确保环境一致性。</w:t>
      </w:r>
    </w:p>
    <w:p>
      <w:pPr>
        <w:numPr>
          <w:ilvl w:val="1"/>
          <w:numId w:val="8"/>
        </w:numPr>
        <w:outlineLvl w:val="3"/>
        <w:rPr>
          <w:rFonts w:hint="eastAsia"/>
        </w:rPr>
      </w:pPr>
      <w:r>
        <w:rPr>
          <w:rFonts w:hint="eastAsia"/>
        </w:rPr>
        <w:t>模型跨平台转换系统</w:t>
      </w:r>
    </w:p>
    <w:p>
      <w:pPr>
        <w:pStyle w:val="2"/>
        <w:ind w:firstLine="552"/>
        <w:rPr>
          <w:rFonts w:hint="eastAsia"/>
        </w:rPr>
      </w:pPr>
      <w:r>
        <w:rPr>
          <w:rFonts w:hint="eastAsia"/>
        </w:rPr>
        <w:t>模型跨平台转换系统是工具的核心功能模块，解决不同硬件平台间模型格式不兼容问题，实现“一次开发，多端部署”。</w:t>
      </w:r>
    </w:p>
    <w:p>
      <w:pPr>
        <w:pStyle w:val="2"/>
        <w:ind w:firstLine="552"/>
        <w:rPr>
          <w:rFonts w:hint="eastAsia"/>
        </w:rPr>
      </w:pPr>
    </w:p>
    <w:p>
      <w:pPr>
        <w:pStyle w:val="2"/>
        <w:ind w:firstLine="552"/>
        <w:rPr>
          <w:rFonts w:hint="eastAsia"/>
        </w:rPr>
      </w:pPr>
      <w:r>
        <w:rPr>
          <w:rFonts w:hint="eastAsia"/>
        </w:rPr>
        <w:t>转换工具集：集成ONNX Runtime作为基础转换框架，搭配各平台专用转换工具形成完整工具链。华为昇腾平台采用ATC（Ascend Tensor Compiler）工具将ONNX模型转换为OM格式，支持算子融合、常量折叠等优化；瑞芯微平台采用RKNN Toolkit 2工具实现ONNX到RKNN格式转换，提供量化工具（支持KL散度、Min-Max等量化算法）；英伟达平台采用TensorRT工具将ONNX模型转换为TensorRT Engine格式，支持动态形状推理与混合精度计算；寒武纪平台采用MagicMind工具完成ONNX到CNModel格式转换，优化算子调度策略提升推理性能。同时，集成ONNX Simplifier工具对输入模型进行简化（移除冗余算子、合并常量节点），减少转换复杂度，提升转换效率。</w:t>
      </w:r>
    </w:p>
    <w:p>
      <w:pPr>
        <w:pStyle w:val="2"/>
        <w:ind w:firstLine="552"/>
        <w:rPr>
          <w:rFonts w:hint="eastAsia"/>
        </w:rPr>
      </w:pPr>
      <w:r>
        <w:rPr>
          <w:rFonts w:hint="eastAsia"/>
        </w:rPr>
        <w:t>多模型适配模块：针对20类主流智能模型（</w:t>
      </w:r>
      <w:r>
        <w:rPr>
          <w:rFonts w:hint="eastAsia"/>
          <w:lang w:val="en-US" w:eastAsia="zh-CN"/>
        </w:rPr>
        <w:t>例如</w:t>
      </w:r>
      <w:r>
        <w:rPr>
          <w:rFonts w:hint="eastAsia"/>
        </w:rPr>
        <w:t>YOLO、Faster R-CNN、SSD</w:t>
      </w:r>
      <w:r>
        <w:rPr>
          <w:rFonts w:hint="eastAsia"/>
          <w:lang w:eastAsia="zh-CN"/>
        </w:rPr>
        <w:t>、</w:t>
      </w:r>
      <w:r>
        <w:rPr>
          <w:rFonts w:hint="eastAsia"/>
        </w:rPr>
        <w:t>ResNet50/101、EfficientNet-B0/B4、MobileNetV3</w:t>
      </w:r>
      <w:r>
        <w:rPr>
          <w:rFonts w:hint="eastAsia"/>
          <w:lang w:val="en-US" w:eastAsia="zh-CN"/>
        </w:rPr>
        <w:t>等等）</w:t>
      </w:r>
      <w:r>
        <w:rPr>
          <w:rFonts w:hint="eastAsia"/>
        </w:rPr>
        <w:t>开发专用适配模板，每个模板包含模型结构解析规则、算子映射表、精度优化策略。例如，针对YOLO系列模型，模板中预设检测头结构解析逻辑，确保转换时保留Anchor信息；针对BERT类自然语言模型，优化Transformer层算子调用顺序，减少跨平台精度损失。</w:t>
      </w:r>
    </w:p>
    <w:p>
      <w:pPr>
        <w:pStyle w:val="2"/>
        <w:ind w:firstLine="552"/>
        <w:rPr>
          <w:rFonts w:hint="eastAsia"/>
        </w:rPr>
      </w:pPr>
      <w:r>
        <w:rPr>
          <w:rFonts w:hint="eastAsia"/>
        </w:rPr>
        <w:t>跨平台转换逻辑模块：采用“原生格式→ONNX→目标平台格式”的两步转换流程，ONNX作为中间格式实现“解耦”，降低不同原生格式与目标平台间的适配复杂度。第一步，通过模型解析引擎读取PyTorch（.pth/.pt）、TensorFlow（.pb/.saved_model）、TensorFlow Lite（.tflite）等原生格式模型，提取模型拓扑结构、算子类型、输入输出维度、权重数据，转换为标准ONNX格式，转换过程中自动处理格式差异（如TensorFlow的NHWC格式转ONNX的NCHW格式）；第二步，根据目标平台选择对应转换工具，加载该平台专用适配模板，执行格式转换与优化，如华为昇腾平台转换时启用算子融合优化（将Conv+BN+ReLU合并为一个算子），瑞芯微平台转换时根据硬件算力选择合适量化精度（RK3588支持INT8量化，RK3599支持FP16/INT8混合量化）。转换过程中实时记录日志（包含每一步操作、耗时、错误信息），便于后期问题排查。</w:t>
      </w:r>
    </w:p>
    <w:p>
      <w:pPr>
        <w:pStyle w:val="2"/>
        <w:ind w:firstLine="552"/>
        <w:rPr>
          <w:rFonts w:hint="eastAsia"/>
        </w:rPr>
      </w:pPr>
      <w:r>
        <w:rPr>
          <w:rFonts w:hint="eastAsia"/>
        </w:rPr>
        <w:t>转换流程管控模块：构建任务队列机制实现批量任务有序处理，采用RabbitMQ作为消息队列，用户提交的转换任务先进入队列等待，调度器根据节点负载（CPU/内存/GPU利用率）分配任务至空闲测试节点。实时监控转换进度，通过Redis记录任务状态（等待中、处理中、成功、失败），前端通过WebSocket</w:t>
      </w:r>
      <w:r>
        <w:rPr>
          <w:rFonts w:hint="eastAsia"/>
          <w:lang w:val="en-US" w:eastAsia="zh-CN"/>
        </w:rPr>
        <w:t>或者轮询等方式</w:t>
      </w:r>
      <w:r>
        <w:rPr>
          <w:rFonts w:hint="eastAsia"/>
        </w:rPr>
        <w:t>实时获取状态更新，无需手动刷新页面。转换完成后自动进行基础校验，对比转换前后模型的输入输出维度、权重数据哈希值，若校验不通过则标记任务失败并生成错误报告（含失败原因、解决方案建议）；校验通过则将转换后模型文件存储至MinIO，任务状态更新为“成功”并通知用户。</w:t>
      </w:r>
    </w:p>
    <w:p>
      <w:pPr>
        <w:numPr>
          <w:ilvl w:val="1"/>
          <w:numId w:val="8"/>
        </w:numPr>
        <w:outlineLvl w:val="3"/>
      </w:pPr>
      <w:r>
        <w:rPr>
          <w:rFonts w:hint="eastAsia"/>
        </w:rPr>
        <w:t>模型可视化展示系统</w:t>
      </w:r>
    </w:p>
    <w:p>
      <w:pPr>
        <w:pStyle w:val="2"/>
        <w:ind w:firstLine="552"/>
        <w:rPr>
          <w:rFonts w:hint="eastAsia"/>
        </w:rPr>
      </w:pPr>
      <w:r>
        <w:rPr>
          <w:rFonts w:hint="eastAsia"/>
        </w:rPr>
        <w:t>模型可视化展示系统帮助用户直观理解模型结构与参数特征，降低智能模型“黑箱”属性，辅助模型调试与优化。</w:t>
      </w:r>
    </w:p>
    <w:p>
      <w:pPr>
        <w:pStyle w:val="2"/>
        <w:ind w:firstLine="552"/>
        <w:rPr>
          <w:rFonts w:hint="eastAsia"/>
        </w:rPr>
      </w:pPr>
      <w:r>
        <w:rPr>
          <w:rFonts w:hint="eastAsia"/>
        </w:rPr>
        <w:t>网络结构可视化模块：基于Netron开源框架进行二次开发，增强对复杂模型（尤其是自然语言大模型）的解析与展示能力。支持自动提取模型网络层信息（输入层、卷积层、池化层、全连接层、Transformer层等）、节点关系（层间数据流向）、算子参数（卷积核大小、步长、填充方式、激活函数类型），以拓扑图形式展示，不同类型层采用不同颜色标识（如卷积层、全连接层、Transformer层</w:t>
      </w:r>
      <w:r>
        <w:rPr>
          <w:rFonts w:hint="eastAsia"/>
          <w:lang w:val="en-US" w:eastAsia="zh-CN"/>
        </w:rPr>
        <w:t>颜色设定不同</w:t>
      </w:r>
      <w:r>
        <w:rPr>
          <w:rFonts w:hint="eastAsia"/>
        </w:rPr>
        <w:t>），便于用户快速区分。支持交互操作：鼠标滚轮缩放拓扑图、拖拽移动整个拓扑图或单个节点、双击节点展开查看层内详细参数（如权重矩阵维度、偏置值范围）、框选多个节点查看层间数据依赖关系。针对大型模型，提供分层展示功能，可按功能模块（如编码器层、解码器层）折叠/展开，避免界面混乱。</w:t>
      </w:r>
    </w:p>
    <w:p>
      <w:pPr>
        <w:pStyle w:val="2"/>
        <w:ind w:firstLine="552"/>
        <w:rPr>
          <w:rFonts w:hint="eastAsia"/>
        </w:rPr>
      </w:pPr>
      <w:r>
        <w:rPr>
          <w:rFonts w:hint="eastAsia"/>
        </w:rPr>
        <w:t>可视化配置适配模块：针对不同类型模型（计算机视觉模型、自然语言模型）开发专用可视化模板，满足差异化展示需求。计算机视觉模型模板重点展示特征提取流程，如YOLO模型展示从输入层到backbone（如CSPDarknet）、neck（如FPN）、head（如检测头）的完整结构，标注各层输出特征图尺寸；自然语言模型模板突出Transformer层细节，展示多头注意力机制（每个注意力头的权重分布、Q/K/V矩阵维度）、Feed Forward网络结构（隐藏层神经元数量、激活函数）。</w:t>
      </w:r>
    </w:p>
    <w:p>
      <w:pPr>
        <w:pStyle w:val="2"/>
        <w:ind w:firstLine="552"/>
        <w:rPr>
          <w:rFonts w:hint="eastAsia"/>
        </w:rPr>
      </w:pPr>
      <w:r>
        <w:rPr>
          <w:rFonts w:hint="eastAsia"/>
        </w:rPr>
        <w:t>渲染优化模块：针对大规模模型可视化时易出现的页面卡顿、加载缓慢问题，采用多项优化技术。采用分层加载策略，优先加载模型整体拓扑结构，用户点击展开节点时再加载该节点的详细参数，减少初始加载数据量；利用WebWorker在后台线程处理模型解析与数据计算，避免阻塞主线程导致界面无响应；采用Canvas绘图替代DOM元素渲染，提升图形绘制效率，支持每秒60帧稳定渲染；对权重数据等大规模数值信息采用抽样展示（默认抽样10%数据），用户可点击“查看全部”获取完整数据，平衡展示效果与性能。</w:t>
      </w:r>
    </w:p>
    <w:p>
      <w:pPr>
        <w:numPr>
          <w:ilvl w:val="1"/>
          <w:numId w:val="8"/>
        </w:numPr>
        <w:outlineLvl w:val="3"/>
      </w:pPr>
      <w:r>
        <w:rPr>
          <w:rFonts w:hint="eastAsia"/>
        </w:rPr>
        <w:t>硬件集成验证系统</w:t>
      </w:r>
    </w:p>
    <w:p>
      <w:pPr>
        <w:pStyle w:val="2"/>
        <w:ind w:firstLine="552"/>
        <w:rPr>
          <w:rFonts w:hint="eastAsia"/>
        </w:rPr>
      </w:pPr>
      <w:r>
        <w:rPr>
          <w:rFonts w:hint="eastAsia"/>
        </w:rPr>
        <w:t>硬件集成验证系统用于验证转换后模型在目标硬件平台的实际运行效果，确保模型功能正常、性能达标、精度满足需求。</w:t>
      </w:r>
    </w:p>
    <w:p>
      <w:pPr>
        <w:pStyle w:val="2"/>
        <w:ind w:firstLine="552"/>
        <w:rPr>
          <w:rFonts w:hint="default" w:eastAsia="仿宋_GB2312"/>
          <w:lang w:val="en-US" w:eastAsia="zh-CN"/>
        </w:rPr>
      </w:pPr>
      <w:r>
        <w:rPr>
          <w:rFonts w:hint="eastAsia"/>
        </w:rPr>
        <w:t>硬件测试集群：搭建包含4类平台的硬件测试集群，确保测试连续性。具体设备配置如下：华为昇腾平台采用Atlas 800（Ascend 910 NPU，32GB显存）、Atlas 200I（Ascend 310 NPU，4GB显存）；瑞芯微平台采用RK3588开发板（NPU算力6TOPS，8GB内存）、RK3599开发板（NPU算力10TOPS，16GB内存）；英伟达平台采用RTX 4090（24GB显存）、Jetson AGX Orin（32GB显存）；寒武纪平台采用思元370服务器（2颗思元370NPU，每颗16GB显存）、思元590服务器（4颗思元590 NPU，每颗32GB显存）。所有设备接入试验场内网，通过远程控制工具（如SSH、VNC）实现统一管理，支持远程部署模型、执行测试任务、采集测试数据。</w:t>
      </w:r>
      <w:r>
        <w:rPr>
          <w:rFonts w:hint="eastAsia"/>
          <w:lang w:val="en-US" w:eastAsia="zh-CN"/>
        </w:rPr>
        <w:t>实际硬件环境根据建设方选型进行调整。</w:t>
      </w:r>
    </w:p>
    <w:p>
      <w:pPr>
        <w:pStyle w:val="2"/>
        <w:ind w:firstLine="552"/>
        <w:rPr>
          <w:rFonts w:hint="eastAsia"/>
        </w:rPr>
      </w:pPr>
      <w:r>
        <w:rPr>
          <w:rFonts w:hint="eastAsia"/>
        </w:rPr>
        <w:t>验证环境管理模块：开发统一的验证环境管理界面，支持查看各硬件节点的实时状态（在线/离线、CPU/内存/GPU/NPU利用率、磁盘空间）、已部署模型列表、历史测试任务记录。提供环境配置</w:t>
      </w:r>
      <w:r>
        <w:rPr>
          <w:rFonts w:hint="eastAsia"/>
          <w:lang w:val="en-US" w:eastAsia="zh-CN"/>
        </w:rPr>
        <w:t>手册</w:t>
      </w:r>
      <w:r>
        <w:rPr>
          <w:rFonts w:hint="eastAsia"/>
        </w:rPr>
        <w:t>，可</w:t>
      </w:r>
      <w:r>
        <w:rPr>
          <w:rFonts w:hint="eastAsia"/>
          <w:lang w:val="en-US" w:eastAsia="zh-CN"/>
        </w:rPr>
        <w:t>依据参考</w:t>
      </w:r>
      <w:r>
        <w:rPr>
          <w:rFonts w:hint="eastAsia"/>
        </w:rPr>
        <w:t>远程为各节点安装/更新驱动、SDK、依赖库，如为华为昇腾节点更新CANN SDK版本，为英伟达节点安装最新TensorRT插件，配置过程自动生成日志，便于追溯。支持环境快照功能，可保存当前节点的环境状态（驱动版本、软件依赖），当后续环境出现问题时，可快速恢复至快照状态，减少环境配置时间。</w:t>
      </w:r>
    </w:p>
    <w:p>
      <w:pPr>
        <w:pStyle w:val="2"/>
        <w:ind w:firstLine="552"/>
        <w:rPr>
          <w:rFonts w:hint="eastAsia"/>
        </w:rPr>
      </w:pPr>
      <w:r>
        <w:rPr>
          <w:rFonts w:hint="eastAsia"/>
        </w:rPr>
        <w:t>多维度验证模块：从功能、性能、精度三个维度开展验证，全面评估模型适配效果。</w:t>
      </w:r>
    </w:p>
    <w:p>
      <w:pPr>
        <w:pStyle w:val="2"/>
        <w:ind w:firstLine="552"/>
        <w:rPr>
          <w:rFonts w:hint="eastAsia"/>
        </w:rPr>
      </w:pPr>
      <w:r>
        <w:rPr>
          <w:rFonts w:hint="eastAsia"/>
        </w:rPr>
        <w:t>功能验证：上传测试数据集（目标检测采用COCO 2017验证集、目标分类采用ImageNet验证集、自然语言模型采用GLUE数据集），执行模型推理，检查是否能正常输出结果（如目标检测输出bounding box、类别、置信度；分类模型输出类别概率；NLP模型输出文本预测结果），验证结果格式是否符合目标平台要求，无推理崩溃、输出为空等异常情况。</w:t>
      </w:r>
    </w:p>
    <w:p>
      <w:pPr>
        <w:pStyle w:val="2"/>
        <w:ind w:firstLine="552"/>
        <w:rPr>
          <w:rFonts w:hint="eastAsia"/>
        </w:rPr>
      </w:pPr>
      <w:r>
        <w:rPr>
          <w:rFonts w:hint="eastAsia"/>
        </w:rPr>
        <w:t>性能测试：针对不同输入数据量（如目标检测测试不同分辨率图像、NLP模型测试不同长度文本）执行多轮推理，采集关键性能指标：推理延迟（单条数据从输入到输出的耗时，取100轮平均值）。例如，测试YOLOv8模型在华为Atlas 800上的推理性能，记录输入图像分辨率640×640时的延迟与吞吐量。</w:t>
      </w:r>
    </w:p>
    <w:p>
      <w:pPr>
        <w:pStyle w:val="2"/>
        <w:ind w:firstLine="552"/>
        <w:rPr>
          <w:rFonts w:hint="eastAsia"/>
        </w:rPr>
      </w:pPr>
      <w:r>
        <w:rPr>
          <w:rFonts w:hint="eastAsia"/>
        </w:rPr>
        <w:t>精度对比：以英伟达平台</w:t>
      </w:r>
      <w:r>
        <w:rPr>
          <w:rFonts w:hint="eastAsia"/>
          <w:lang w:eastAsia="zh-CN"/>
        </w:rPr>
        <w:t>（</w:t>
      </w:r>
      <w:r>
        <w:rPr>
          <w:rFonts w:hint="eastAsia"/>
          <w:lang w:val="en-US" w:eastAsia="zh-CN"/>
        </w:rPr>
        <w:t>例如RTX3060，具体以实际研发环境为准</w:t>
      </w:r>
      <w:r>
        <w:rPr>
          <w:rFonts w:hint="eastAsia"/>
          <w:lang w:eastAsia="zh-CN"/>
        </w:rPr>
        <w:t>）</w:t>
      </w:r>
      <w:r>
        <w:rPr>
          <w:rFonts w:hint="eastAsia"/>
        </w:rPr>
        <w:t>（FP32精度）的推理结果为基准，计算转换后模型在其他平台的精度损失。目标检测模型采用mAP（mean Average Precision）、Precision（精确率）、Recall（召回率）作为评价指标；目标分类模型采用Top-1 Accuracy、Top-5 Accuracy；自然语言模型采用GLUE Score（含CoLA、SST-2等子任务得分）。精度损失阈值可配置（默认≤5%），若超过阈值则分析原因（如量化精度过高、算子替换导致误差累积），并提供优化建议（如调整量化算法、更换适配模板）。</w:t>
      </w:r>
    </w:p>
    <w:p>
      <w:pPr>
        <w:pStyle w:val="2"/>
        <w:ind w:firstLine="552"/>
        <w:rPr>
          <w:rFonts w:hint="eastAsia"/>
        </w:rPr>
      </w:pPr>
      <w:r>
        <w:rPr>
          <w:rFonts w:hint="eastAsia"/>
        </w:rPr>
        <w:t>报告生成模块：验证完成后自动生成可视化验证报告，采用HTML/PDF两种格式存储，报告包含测试概况（测试模型、目标平台、测试时间、测试人员）、功能验证结果（是否通过、异常信息）、性能数据图表（推理延迟对比图、吞吐量趋势图、资源占用热力图）、精度对比表格（各指标基准值、测试值、损失率）、优化建议（针对性能不达标或精度损失超标的问题）。</w:t>
      </w:r>
    </w:p>
    <w:p>
      <w:pPr>
        <w:numPr>
          <w:ilvl w:val="0"/>
          <w:numId w:val="8"/>
        </w:numPr>
        <w:outlineLvl w:val="2"/>
        <w:rPr>
          <w:sz w:val="32"/>
          <w:szCs w:val="32"/>
        </w:rPr>
      </w:pPr>
      <w:bookmarkStart w:id="50" w:name="_Toc171184897"/>
      <w:r>
        <w:rPr>
          <w:rFonts w:hint="eastAsia"/>
          <w:sz w:val="32"/>
          <w:szCs w:val="32"/>
        </w:rPr>
        <w:t>架构设计</w:t>
      </w:r>
      <w:bookmarkEnd w:id="50"/>
    </w:p>
    <w:p>
      <w:pPr>
        <w:pStyle w:val="2"/>
        <w:ind w:firstLine="552"/>
        <w:rPr>
          <w:rFonts w:hint="eastAsia"/>
        </w:rPr>
      </w:pPr>
      <w:r>
        <w:rPr>
          <w:rFonts w:hint="eastAsia"/>
        </w:rPr>
        <w:t>本系统采用分层架构设计，从用户交互到硬件执行，依次分为用户层、应用服务层、数据存储层、硬件资源层，各层职责清晰、协同运作，实现智能模型跨平台适配与可视化全流程管理。</w:t>
      </w:r>
    </w:p>
    <w:p>
      <w:pPr>
        <w:pStyle w:val="2"/>
        <w:ind w:firstLine="552"/>
        <w:rPr>
          <w:rFonts w:hint="eastAsia"/>
        </w:rPr>
      </w:pPr>
      <w:r>
        <w:rPr>
          <w:rFonts w:hint="default"/>
          <w:lang w:val="en-US" w:eastAsia="zh-CN"/>
        </w:rPr>
        <w:drawing>
          <wp:anchor distT="0" distB="0" distL="114300" distR="114300" simplePos="0" relativeHeight="251659264" behindDoc="0" locked="0" layoutInCell="1" allowOverlap="0">
            <wp:simplePos x="0" y="0"/>
            <wp:positionH relativeFrom="column">
              <wp:posOffset>167005</wp:posOffset>
            </wp:positionH>
            <wp:positionV relativeFrom="margin">
              <wp:posOffset>1286510</wp:posOffset>
            </wp:positionV>
            <wp:extent cx="5264150" cy="6124575"/>
            <wp:effectExtent l="0" t="0" r="19050" b="22225"/>
            <wp:wrapTopAndBottom/>
            <wp:docPr id="4" name="图片 4"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架构图"/>
                    <pic:cNvPicPr>
                      <a:picLocks noChangeAspect="1"/>
                    </pic:cNvPicPr>
                  </pic:nvPicPr>
                  <pic:blipFill>
                    <a:blip r:embed="rId12"/>
                    <a:stretch>
                      <a:fillRect/>
                    </a:stretch>
                  </pic:blipFill>
                  <pic:spPr>
                    <a:xfrm>
                      <a:off x="0" y="0"/>
                      <a:ext cx="5264150" cy="6124575"/>
                    </a:xfrm>
                    <a:prstGeom prst="rect">
                      <a:avLst/>
                    </a:prstGeom>
                  </pic:spPr>
                </pic:pic>
              </a:graphicData>
            </a:graphic>
          </wp:anchor>
        </w:drawing>
      </w:r>
    </w:p>
    <w:p>
      <w:pPr>
        <w:pStyle w:val="2"/>
        <w:ind w:firstLine="552"/>
        <w:rPr>
          <w:rFonts w:hint="eastAsia"/>
        </w:rPr>
      </w:pPr>
    </w:p>
    <w:p>
      <w:pPr>
        <w:pStyle w:val="6"/>
        <w:widowControl w:val="0"/>
        <w:snapToGrid w:val="0"/>
        <w:spacing w:line="560" w:lineRule="exact"/>
        <w:ind w:firstLine="552" w:firstLineChars="200"/>
        <w:jc w:val="center"/>
        <w:rPr>
          <w:rFonts w:hint="eastAsia"/>
        </w:rPr>
      </w:pPr>
      <w:r>
        <w:rPr>
          <w:rFonts w:hint="eastAsia" w:ascii="楷体" w:hAnsi="楷体" w:eastAsia="楷体" w:cs="楷体"/>
          <w:sz w:val="28"/>
          <w:szCs w:val="28"/>
        </w:rPr>
        <w:t xml:space="preserve">图表 </w:t>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SEQ 图表 \* ARABIC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sz w:val="28"/>
          <w:szCs w:val="28"/>
          <w:lang w:val="en-US" w:eastAsia="zh-CN"/>
        </w:rPr>
        <w:t xml:space="preserve"> 架构图</w:t>
      </w:r>
    </w:p>
    <w:p>
      <w:pPr>
        <w:numPr>
          <w:ilvl w:val="1"/>
          <w:numId w:val="8"/>
        </w:numPr>
        <w:outlineLvl w:val="3"/>
      </w:pPr>
      <w:r>
        <w:rPr>
          <w:rFonts w:hint="eastAsia"/>
        </w:rPr>
        <w:t>用户层：便捷交互入口</w:t>
      </w:r>
    </w:p>
    <w:p>
      <w:pPr>
        <w:pStyle w:val="2"/>
        <w:ind w:firstLine="552"/>
        <w:rPr>
          <w:rFonts w:hint="eastAsia"/>
        </w:rPr>
      </w:pPr>
      <w:r>
        <w:rPr>
          <w:rFonts w:hint="eastAsia"/>
        </w:rPr>
        <w:t>作为系统与用户的交互界面，聚焦模型管理全流程操作，提供直观、简洁的功能入口：</w:t>
      </w:r>
    </w:p>
    <w:p>
      <w:pPr>
        <w:pStyle w:val="2"/>
        <w:ind w:firstLine="552"/>
        <w:rPr>
          <w:rFonts w:hint="eastAsia"/>
        </w:rPr>
      </w:pPr>
      <w:r>
        <w:rPr>
          <w:rFonts w:hint="eastAsia"/>
        </w:rPr>
        <w:t>核心功能覆盖</w:t>
      </w:r>
    </w:p>
    <w:p>
      <w:pPr>
        <w:pStyle w:val="2"/>
        <w:ind w:firstLine="552"/>
        <w:rPr>
          <w:rFonts w:hint="eastAsia"/>
        </w:rPr>
      </w:pPr>
      <w:r>
        <w:rPr>
          <w:rFonts w:hint="eastAsia"/>
        </w:rPr>
        <w:t>模型上传下载：支持本地文件上传（支持拖拽上传、点击选择文件）、内网文件导入（从试验场文件服务器选择模型文件，通过路径映射直接读取）；支持转换后模型文件下载（可选择单个模型下载）、原始模型文件重新下载（保留上传记录，便于后续重新转换），下载速度取决于内网带宽。</w:t>
      </w:r>
    </w:p>
    <w:p>
      <w:pPr>
        <w:pStyle w:val="2"/>
        <w:ind w:firstLine="552"/>
        <w:rPr>
          <w:rFonts w:hint="eastAsia"/>
        </w:rPr>
      </w:pPr>
      <w:r>
        <w:rPr>
          <w:rFonts w:hint="eastAsia"/>
        </w:rPr>
        <w:t>可视化查看：提供模型网络结构拓扑图展示（支持缩放、拖拽、节点展开/折叠）、层参数详情查看（点击节点显示算子类型、输入输出维度、权重数据范围、计算量）、参数分布可视化（以直方图展示权重值分布，以热力图展示注意力权重（NLP模型）），支持将可视化结果导出为PNG、SVG格式，用于文档编写或汇报展示。</w:t>
      </w:r>
    </w:p>
    <w:p>
      <w:pPr>
        <w:pStyle w:val="2"/>
        <w:ind w:firstLine="552"/>
        <w:rPr>
          <w:rFonts w:hint="eastAsia"/>
        </w:rPr>
      </w:pPr>
      <w:r>
        <w:rPr>
          <w:rFonts w:hint="eastAsia"/>
        </w:rPr>
        <w:t>模型转换：支持选择目标平台（华为昇腾、瑞芯微、英伟达、寒武纪）、精度模式（FP32（高精度）、FP16（平衡精度与性能）、INT8（高性能，适合边缘设备））、输入形状适配（固定形状、动态形状（设置最大/最小/步长）），提供转换参数预设功能（可保存常用配置，如“瑞芯微RK3588-INT8”配置，后续直接调用），提交转换任务后实时显示进度（百分比+进度条），支持任务</w:t>
      </w:r>
      <w:r>
        <w:rPr>
          <w:rFonts w:hint="eastAsia"/>
          <w:lang w:val="en-US" w:eastAsia="zh-CN"/>
        </w:rPr>
        <w:t>开始</w:t>
      </w:r>
      <w:r>
        <w:rPr>
          <w:rFonts w:hint="eastAsia"/>
        </w:rPr>
        <w:t>（</w:t>
      </w:r>
      <w:r>
        <w:rPr>
          <w:rFonts w:hint="eastAsia"/>
          <w:lang w:val="en-US" w:eastAsia="zh-CN"/>
        </w:rPr>
        <w:t>任务配置和运行状态分开</w:t>
      </w:r>
      <w:r>
        <w:rPr>
          <w:rFonts w:hint="eastAsia"/>
        </w:rPr>
        <w:t>）、取消（取消后释放资源）。</w:t>
      </w:r>
    </w:p>
    <w:p>
      <w:pPr>
        <w:pStyle w:val="2"/>
        <w:ind w:firstLine="552"/>
        <w:rPr>
          <w:rFonts w:hint="eastAsia"/>
        </w:rPr>
      </w:pPr>
      <w:r>
        <w:rPr>
          <w:rFonts w:hint="eastAsia"/>
        </w:rPr>
        <w:t>推理测试：支持上传测试数据（图像文件（JPG/PNG/BMP）、文本文件（TXT）、批量测试数据集（ZIP压缩包）</w:t>
      </w:r>
      <w:r>
        <w:rPr>
          <w:rFonts w:hint="eastAsia"/>
          <w:lang w:eastAsia="zh-CN"/>
        </w:rPr>
        <w:t>，</w:t>
      </w:r>
      <w:r>
        <w:rPr>
          <w:rFonts w:hint="eastAsia"/>
          <w:lang w:val="en-US" w:eastAsia="zh-CN"/>
        </w:rPr>
        <w:t>使用MinIO存储系统</w:t>
      </w:r>
      <w:r>
        <w:rPr>
          <w:rFonts w:hint="eastAsia"/>
        </w:rPr>
        <w:t>），选择测试硬件节点，执行推理测试，实时展示推理结果（目标检测显示带bounding box的图像、分类显示类别与置信度、NLP显示生成文本或分类结果），支持推理结果截图保存、推理日志查看（包含每一步推理操作、耗时）。</w:t>
      </w:r>
    </w:p>
    <w:p>
      <w:pPr>
        <w:pStyle w:val="2"/>
        <w:ind w:firstLine="552"/>
      </w:pPr>
      <w:r>
        <w:rPr>
          <w:rFonts w:hint="eastAsia"/>
        </w:rPr>
        <w:t>任务监控：展示所有任务列表（任务ID、模型名称、目标平台、提交时间、状态（等待中/处理中/成功/失败）），支持按状态（全部/等待中/处理中/成功/失败）、时间（自定义时间段）、目标平台筛选任务，点击任务查看详情（转换参数、日志、结果链接），失败任务显示失败原因（如模型解析错误、算子不兼容）及解决方案建议。</w:t>
      </w:r>
    </w:p>
    <w:p>
      <w:pPr>
        <w:numPr>
          <w:ilvl w:val="1"/>
          <w:numId w:val="8"/>
        </w:numPr>
        <w:outlineLvl w:val="3"/>
      </w:pPr>
      <w:r>
        <w:rPr>
          <w:rFonts w:hint="eastAsia"/>
        </w:rPr>
        <w:t>应用服务层：业务逻辑核心</w:t>
      </w:r>
    </w:p>
    <w:p>
      <w:pPr>
        <w:pStyle w:val="2"/>
        <w:ind w:firstLine="552"/>
        <w:rPr>
          <w:rFonts w:hint="eastAsia"/>
        </w:rPr>
      </w:pPr>
      <w:r>
        <w:rPr>
          <w:rFonts w:hint="eastAsia"/>
        </w:rPr>
        <w:t>作为系统业务逻辑的核心承载层，应用服务层围绕模型处理全流程需求，按“高内聚、低耦合”原则拆分为前端服务、转换系统、可视化系统、支撑服务四大模块，各模块通过标准化接口协同工作，同时具备独立扩展与维护能力，可应对试验场调试机场景下模型处理的多样性与高可靠性需求。</w:t>
      </w:r>
    </w:p>
    <w:p>
      <w:pPr>
        <w:pStyle w:val="2"/>
        <w:ind w:firstLine="552"/>
        <w:rPr>
          <w:rFonts w:hint="eastAsia"/>
        </w:rPr>
      </w:pPr>
      <w:r>
        <w:rPr>
          <w:rFonts w:hint="eastAsia"/>
          <w:b/>
          <w:bCs/>
        </w:rPr>
        <w:t>前端服务：轻量化交互与数据可视化载体</w:t>
      </w:r>
      <w:r>
        <w:rPr>
          <w:rFonts w:hint="eastAsia"/>
          <w:lang w:eastAsia="zh-CN"/>
        </w:rPr>
        <w:t>。</w:t>
      </w:r>
      <w:r>
        <w:rPr>
          <w:rFonts w:hint="eastAsia"/>
        </w:rPr>
        <w:t>前端服务聚焦用户操作体验与数据直观呈现，基于Web技术栈构建适配试验场调试机终端的交互界面，实现“操作-反馈-分析”的闭环体验。</w:t>
      </w:r>
    </w:p>
    <w:p>
      <w:pPr>
        <w:pStyle w:val="2"/>
        <w:ind w:firstLine="552"/>
        <w:rPr>
          <w:rFonts w:hint="eastAsia"/>
        </w:rPr>
      </w:pPr>
      <w:r>
        <w:rPr>
          <w:rFonts w:hint="eastAsia"/>
        </w:rPr>
        <w:t>交互式界面开发：采用Vue3框架结合TypeScript语言开发，确保代码可维护性与类型安全性；集成Element Plus组件库构建标准化界面元素（如按钮、表单、弹窗、表格），统一视觉风格；通过响应式布局适配调试机常见的1920×1080等分辨率，同时支持窗口缩放时界面元素自适应调整，避免出现内容截断或空白问题。针对模型上传、转换配置等核心操作，设计</w:t>
      </w:r>
      <w:r>
        <w:rPr>
          <w:rFonts w:hint="eastAsia"/>
          <w:lang w:val="en-US" w:eastAsia="zh-CN"/>
        </w:rPr>
        <w:t>联动式配置</w:t>
      </w:r>
      <w:r>
        <w:rPr>
          <w:rFonts w:hint="eastAsia"/>
        </w:rPr>
        <w:t>（配置项按“目标平台→精度模式→输入形状”逻辑</w:t>
      </w:r>
      <w:r>
        <w:rPr>
          <w:rFonts w:hint="eastAsia"/>
          <w:lang w:val="en-US" w:eastAsia="zh-CN"/>
        </w:rPr>
        <w:t>层级约束</w:t>
      </w:r>
      <w:r>
        <w:rPr>
          <w:rFonts w:hint="eastAsia"/>
        </w:rPr>
        <w:t>），降低操作复杂度；支持操作历史记录（保留近30天的模型上传、转换任务记录），用户可快速回溯历史操作或重复发起相似任务。</w:t>
      </w:r>
    </w:p>
    <w:p>
      <w:pPr>
        <w:pStyle w:val="2"/>
        <w:ind w:firstLine="552"/>
        <w:rPr>
          <w:rFonts w:hint="eastAsia"/>
        </w:rPr>
      </w:pPr>
      <w:r>
        <w:rPr>
          <w:rFonts w:hint="eastAsia"/>
        </w:rPr>
        <w:t>可视化引擎集成：以Netron开源框架为核心二次开发，增强对20类目标模型（含自然语言大模型）的解析适配能力。针对计算机视觉模型（如YOLO、ResNet），优化卷积层、池化层、检测头等结构的渲染逻辑，确保拓扑图中层与层的连接关系清晰；针对自然语言大模型（如BERT、GPT），新增Transformer层专用渲染模板，单独展示多头注意力模块、Feed Forward网络的内部结构，并用不同颜色标识Q/K/V矩阵流向。同时，开发引擎适配接口，支持将解析后的模型结构数据转换为前端可渲染的JSON格式，接口响应时间</w:t>
      </w:r>
      <w:r>
        <w:rPr>
          <w:rFonts w:hint="eastAsia"/>
          <w:lang w:val="en-US" w:eastAsia="zh-CN"/>
        </w:rPr>
        <w:t>短</w:t>
      </w:r>
      <w:r>
        <w:rPr>
          <w:rFonts w:hint="eastAsia"/>
        </w:rPr>
        <w:t>（针对1000层以内模型），避免用户等待过长。</w:t>
      </w:r>
    </w:p>
    <w:p>
      <w:pPr>
        <w:pStyle w:val="2"/>
        <w:ind w:firstLine="552"/>
        <w:rPr>
          <w:rFonts w:hint="eastAsia"/>
        </w:rPr>
      </w:pPr>
      <w:r>
        <w:rPr>
          <w:rFonts w:hint="eastAsia"/>
        </w:rPr>
        <w:t>EChart图表可视化：集成ECharts实现多维度数据展示，覆盖任务进度、性能指标、精度对比等核心场景。任务进度展示采用“环形进度条+实时日志流”组合形式，进度条实时更新转换/测试任务完成百分比，下方日志流按时间顺序显示任务关键节点（如“模型解析完成”“开始ONNX格式转换”“目标平台插件加载成功”），日志支持关键词搜索（如搜索“错误”快速定位问题）；性能指标展示采用多折线图对比不同平台的推理延迟（如华为昇腾、英伟达平台处理同一份数据的延迟曲线），图表支持鼠标悬浮查看具体数值、缩放时间范围、切换显示指标（如从“延迟”切换为“吞吐量”）；精度对比采用柱状图展示转换前后模型的mAP、Top-1 Accuracy等指标差异，超标数据（如精度损失＞5%）自动标红提示，辅助用户快速识别异常。</w:t>
      </w:r>
    </w:p>
    <w:p>
      <w:pPr>
        <w:pStyle w:val="2"/>
        <w:ind w:firstLine="552"/>
        <w:rPr>
          <w:rFonts w:hint="eastAsia"/>
        </w:rPr>
      </w:pPr>
      <w:r>
        <w:rPr>
          <w:rFonts w:hint="eastAsia"/>
          <w:b/>
          <w:bCs/>
        </w:rPr>
        <w:t>转换系统：跨平台格式适配核心引擎</w:t>
      </w:r>
      <w:r>
        <w:rPr>
          <w:rFonts w:hint="eastAsia"/>
          <w:lang w:eastAsia="zh-CN"/>
        </w:rPr>
        <w:t>。</w:t>
      </w:r>
      <w:r>
        <w:rPr>
          <w:rFonts w:hint="eastAsia"/>
        </w:rPr>
        <w:t>转换系统是实现“跨平台、跨底层架构格式转化”功能指标的核心，通过整合多平台工具链、开发适配模块，确保20类模型在4类目标平台上的高效、精准转换。</w:t>
      </w:r>
    </w:p>
    <w:p>
      <w:pPr>
        <w:pStyle w:val="2"/>
        <w:ind w:firstLine="552"/>
        <w:rPr>
          <w:rFonts w:hint="eastAsia"/>
        </w:rPr>
      </w:pPr>
      <w:r>
        <w:rPr>
          <w:rFonts w:hint="eastAsia"/>
        </w:rPr>
        <w:t>工具集工厂构建：整合ONNX Runtime作为基础转换框架，统一处理不同原生格式（PyTorch、TensorFlow、TensorFlow Lite）到ONNX中间格式的转换，支持ONNX</w:t>
      </w:r>
      <w:r>
        <w:rPr>
          <w:rFonts w:hint="eastAsia"/>
          <w:lang w:val="en-US" w:eastAsia="zh-CN"/>
        </w:rPr>
        <w:t>多个</w:t>
      </w:r>
      <w:r>
        <w:rPr>
          <w:rFonts w:hint="eastAsia"/>
        </w:rPr>
        <w:t>版本兼容；针对4类目标平台分别集成专用转换工具，形成完整工具链：华为昇腾平台集成ATC（Ascend Tensor Compiler）工具，支持算子融合、常量折叠、数据排布优化（NHWC转NCHW）；瑞芯微平台集成RKNN Toolkit 2工具，提供KL散度、Min-Max、ADMM等多种量化算法，适配RK3588、RK3599等硬件的NPU算力特性；英伟达平台集成TensorRT工具，支持动态形状推理、混合精度计算（FP32/FP16/INT8），并优化CUDA内核调用逻辑；寒武纪平台集成MagicMind 1.8工具，通过算子自动映射与调度优化，提升CNModel格式模型的推理性能。同时，开发工具集管理模块，实现工具版本监控（如检测到ATC工具版本过低时自动提示更新）、工具异常重试（单次转换失败时自动重新调用工具，最多重试3次），保障转换工具链稳定性。</w:t>
      </w:r>
    </w:p>
    <w:p>
      <w:pPr>
        <w:pStyle w:val="2"/>
        <w:ind w:firstLine="552"/>
        <w:rPr>
          <w:rFonts w:hint="eastAsia"/>
        </w:rPr>
      </w:pPr>
      <w:r>
        <w:rPr>
          <w:rFonts w:hint="eastAsia"/>
        </w:rPr>
        <w:t>多模型适配模块开发：针对20类主流智能模型（</w:t>
      </w:r>
      <w:r>
        <w:rPr>
          <w:rFonts w:hint="eastAsia"/>
          <w:lang w:val="en-US" w:eastAsia="zh-CN"/>
        </w:rPr>
        <w:t>例如</w:t>
      </w:r>
      <w:r>
        <w:rPr>
          <w:rFonts w:hint="eastAsia"/>
        </w:rPr>
        <w:t>目标检测：YOLO、Faster R-CNN、SSD目标分类：ResNet、EfficientNet-B0/B4、MobileNetV3；目标跟踪：SORT、DeepSORT、ByteTrack；自然语言大模型：BERT-base、RoBERTa、GPT-2、T5-small</w:t>
      </w:r>
      <w:r>
        <w:rPr>
          <w:rFonts w:hint="eastAsia"/>
          <w:lang w:eastAsia="zh-CN"/>
        </w:rPr>
        <w:t>，</w:t>
      </w:r>
      <w:r>
        <w:rPr>
          <w:rFonts w:hint="eastAsia"/>
          <w:lang w:val="en-US" w:eastAsia="zh-CN"/>
        </w:rPr>
        <w:t>具体模型框架在项目实施过程中按照实际需求调整</w:t>
      </w:r>
      <w:r>
        <w:rPr>
          <w:rFonts w:hint="eastAsia"/>
        </w:rPr>
        <w:t>），开发专用适配模板，每个模板包含模型结构特征库、算子映射规则、精度优化策略三部分。模型结构特征库存储该类模型的典型层结构（</w:t>
      </w:r>
      <w:r>
        <w:rPr>
          <w:rFonts w:hint="eastAsia"/>
          <w:lang w:val="en-US" w:eastAsia="zh-CN"/>
        </w:rPr>
        <w:t>例如</w:t>
      </w:r>
      <w:r>
        <w:rPr>
          <w:rFonts w:hint="eastAsia"/>
        </w:rPr>
        <w:t>如YOLO的CSPDarknet backbone、FPN neck、Detect head），用于快速识别模型类型并定位关键层；算子映射规则定义原生框架算子（如PyTorch的nn.Conv2d）到目标平台算子（如华为昇腾的Conv2D算子）的对应关系，解决算子不兼容问题（如将TensorFlow的Unique算子替换为瑞芯微平台支持的Sort+Deduplicate组合算子）；精度优化策略针对不同模型类型配置参数，如自然语言大模型的Transformer层采用FP16精度以平衡精度与性能，目标检测模型的检测头采用FP32精度确保定位准确性。模块支持模板动态更新，用户可通过界面上传新模型的适配模板（JSON格式），无需修改系统代码即可扩展模型支持范围。</w:t>
      </w:r>
    </w:p>
    <w:p>
      <w:pPr>
        <w:pStyle w:val="2"/>
        <w:ind w:firstLine="552"/>
        <w:rPr>
          <w:rFonts w:hint="eastAsia"/>
        </w:rPr>
      </w:pPr>
      <w:r>
        <w:rPr>
          <w:rFonts w:hint="eastAsia"/>
        </w:rPr>
        <w:t>跨平台转换逻辑实现：采用“原生格式→ONNX中间格式→目标平台格式”的两步转换流程，降低不同原生格式与目标平台的适配复杂度。第一步，原生格式转ONNX：通过模型解析引擎读取PyTorch（.pth/.pt）、TensorFlow（.pb/.saved_model）等原生格式文件，提取模型拓扑结构、输入输出维度、权重数据，自动处理格式差异（如TensorFlow的NHWC数据排布转为ONNX标准的NCHW排布，PyTorch的动态BatchSize转为固定BatchSize或标记为动态维度），生成标准ONNX模型；第二步，ONNX转目标平台格式：根据用户选择的目标平台，加载对应平台的转换工具与适配模板，执行格式转换与优化。例如，转换为华为OM格式时，调用ATC工具并传入适配模板中的算子映射规则，完成ONNX模型到OM模型的编译，同时启用算子融合优化（将Conv+BN+ReLU合并为一个算子，减少计算量）；转换为瑞芯微RKNN格式时，调用RKNN Toolkit 2工具，根据模板中的量化策略执行INT8量化，并生成量化校准报告。转换过程中实时记录关键数据（如每一步耗时、算子转换数量、优化项），形成转换日志，便于后续问题排查。</w:t>
      </w:r>
    </w:p>
    <w:p>
      <w:pPr>
        <w:pStyle w:val="2"/>
        <w:ind w:firstLine="552"/>
        <w:rPr>
          <w:rFonts w:hint="eastAsia"/>
          <w:lang w:eastAsia="zh-CN"/>
        </w:rPr>
      </w:pPr>
      <w:r>
        <w:rPr>
          <w:rFonts w:hint="eastAsia"/>
          <w:b/>
          <w:bCs/>
        </w:rPr>
        <w:t>可视化系统：模型结构与参数直观呈现载体</w:t>
      </w:r>
      <w:r>
        <w:rPr>
          <w:rFonts w:hint="eastAsia"/>
          <w:lang w:eastAsia="zh-CN"/>
        </w:rPr>
        <w:t>。可视化系统聚焦解决模型“黑箱”问题，通过结构解析、模板管理、渲染优化，实现20类模型的清晰展示与交互，辅助试验场技术人员理解模型结构、调试转换问题。</w:t>
      </w:r>
    </w:p>
    <w:p>
      <w:pPr>
        <w:pStyle w:val="2"/>
        <w:ind w:firstLine="552"/>
        <w:rPr>
          <w:rFonts w:hint="eastAsia"/>
          <w:lang w:eastAsia="zh-CN"/>
        </w:rPr>
      </w:pPr>
      <w:r>
        <w:rPr>
          <w:rFonts w:hint="eastAsia"/>
          <w:lang w:eastAsia="zh-CN"/>
        </w:rPr>
        <w:t>结构解析模块开发：基于Netron核心解析能力扩展，开发模型结构深度解析功能，支持提取模型的层信息、节点关系、参数细节三类数据。层信息包含层名称、层类型（如Conv2d、Linear、MultiHeadAttention）、输入输出张量形状（如[1,3,640,640]）、计算量（FLOPs）；节点关系包含层间数据流向（如输入层→卷积层1→卷积层2→池化层）、依赖关系（如某卷积层依赖前一层的输出作为输入）；参数细节包含卷积核大小、步长、填充方式、激活函数类型、权重数据范围（如权重值分布在[-1.2,1.5]）。针对自然语言大模型，额外解析Transformer层的注意力头数量、隐藏层维度、序列长度等关键参数；针对目标检测模型，解析Anchor尺寸、检测层数量、类别数等信息。解析模块支持批量处理，可同时解析多个模型文件并对比结构差异（如展示两个YOLO模型的层数量、算子类型差异），解析成功率≥9</w:t>
      </w:r>
      <w:r>
        <w:rPr>
          <w:rFonts w:hint="eastAsia"/>
          <w:lang w:val="en-US" w:eastAsia="zh-CN"/>
        </w:rPr>
        <w:t>0</w:t>
      </w:r>
      <w:r>
        <w:rPr>
          <w:rFonts w:hint="eastAsia"/>
          <w:lang w:eastAsia="zh-CN"/>
        </w:rPr>
        <w:t>%（针对20类目标模型）。</w:t>
      </w:r>
    </w:p>
    <w:p>
      <w:pPr>
        <w:pStyle w:val="2"/>
        <w:ind w:firstLine="552"/>
        <w:rPr>
          <w:rFonts w:hint="eastAsia"/>
          <w:lang w:eastAsia="zh-CN"/>
        </w:rPr>
      </w:pPr>
      <w:r>
        <w:rPr>
          <w:rFonts w:hint="eastAsia"/>
          <w:lang w:eastAsia="zh-CN"/>
        </w:rPr>
        <w:t>模板管理模块设计：为不同类型模型设计专用可视化模板，实现差异化展示。计算机视觉模型模板采用“分层展开式”布局，将模型按功能模块（backbone、neck、head）分组，用户可单独展开某一模块查看内部层结构，同时标注各模块的功能描述（如“backbone：提取图像特征”）；自然语言大模型模板采用“横向链式”布局，按Transformer层顺序横向排列，突出层间的序列依赖关系，同时用悬浮窗展示注意力头的权重热力图；目标跟踪模型模板新增“跟踪流程可视化”功能，展示检测器输出结果如何通过卡尔曼滤波、匈牙利算法进行轨迹关联。模板支持用户自定义配置，如调整层的显示颜色（默认卷积层蓝色、全连接层绿色）、设置是否显示计算量（FLOPs）、隐藏无关层（如忽略BN层仅显示卷积层），配置结果可保存为个性化模板，供后续使用。</w:t>
      </w:r>
    </w:p>
    <w:p>
      <w:pPr>
        <w:pStyle w:val="2"/>
        <w:ind w:firstLine="552"/>
        <w:rPr>
          <w:rFonts w:hint="eastAsia"/>
          <w:lang w:eastAsia="zh-CN"/>
        </w:rPr>
      </w:pPr>
      <w:r>
        <w:rPr>
          <w:rFonts w:hint="eastAsia"/>
          <w:lang w:eastAsia="zh-CN"/>
        </w:rPr>
        <w:t>渲染优化模块实现：针对大规模模型（如包含上千层的GPT-2、ResNet101）可视化时易出现的页面卡顿、加载缓慢问题，采用三项核心优化技术。一是分层加载：优先加载模型整体拓扑结构（仅显示层名称与连接关系），用户点击某一层时再动态加载该层的详细参数（如权重数据），初始加载时间控制在</w:t>
      </w:r>
      <w:r>
        <w:rPr>
          <w:rFonts w:hint="eastAsia"/>
          <w:lang w:val="en-US" w:eastAsia="zh-CN"/>
        </w:rPr>
        <w:t>10s</w:t>
      </w:r>
      <w:r>
        <w:rPr>
          <w:rFonts w:hint="eastAsia"/>
          <w:lang w:eastAsia="zh-CN"/>
        </w:rPr>
        <w:t>以内；二是异步渲染：利用WebWorker在后台线程处理模型解析与图形绘制，避免阻塞主线程导致界面无响应，支持同时渲染多个模型窗口；三是图形压缩：对模型拓扑图采用矢量图形（SVG）格式存储，减少文件大小，同时支持图形缩放时不失真；对大规模权重数据采用抽样展示（默认显示10%的权重值，用户可点击“查看全部”加载完整数据），降低数据传输与渲染压力。优化后，支持1000层以上模型的流畅可视化，界面操作响应时间≤1</w:t>
      </w:r>
      <w:r>
        <w:rPr>
          <w:rFonts w:hint="eastAsia"/>
          <w:lang w:val="en-US" w:eastAsia="zh-CN"/>
        </w:rPr>
        <w:t>0</w:t>
      </w:r>
      <w:r>
        <w:rPr>
          <w:rFonts w:hint="eastAsia"/>
          <w:lang w:eastAsia="zh-CN"/>
        </w:rPr>
        <w:t>00ms。</w:t>
      </w:r>
    </w:p>
    <w:p>
      <w:pPr>
        <w:pStyle w:val="2"/>
        <w:ind w:firstLine="552"/>
        <w:rPr>
          <w:rFonts w:hint="eastAsia"/>
          <w:lang w:eastAsia="zh-CN"/>
        </w:rPr>
      </w:pPr>
      <w:r>
        <w:rPr>
          <w:rFonts w:hint="eastAsia"/>
          <w:b/>
          <w:bCs/>
          <w:lang w:eastAsia="zh-CN"/>
        </w:rPr>
        <w:t>支撑服务：系统稳定运行基础保障</w:t>
      </w:r>
      <w:r>
        <w:rPr>
          <w:rFonts w:hint="eastAsia"/>
          <w:lang w:eastAsia="zh-CN"/>
        </w:rPr>
        <w:t>。</w:t>
      </w:r>
    </w:p>
    <w:p>
      <w:pPr>
        <w:pStyle w:val="2"/>
        <w:ind w:firstLine="552"/>
        <w:rPr>
          <w:rFonts w:hint="eastAsia"/>
          <w:lang w:eastAsia="zh-CN"/>
        </w:rPr>
      </w:pPr>
      <w:r>
        <w:rPr>
          <w:rFonts w:hint="eastAsia"/>
          <w:lang w:eastAsia="zh-CN"/>
        </w:rPr>
        <w:t>支撑服务为前端服务、转换系统、可视化系统提供基础能力支撑，涵盖用户管理、任务调度、接口管理、日志监控，确保系统在试验场多用户、多任务场景下稳定运行。</w:t>
      </w:r>
    </w:p>
    <w:p>
      <w:pPr>
        <w:pStyle w:val="2"/>
        <w:ind w:firstLine="552"/>
        <w:rPr>
          <w:rFonts w:hint="eastAsia"/>
          <w:lang w:eastAsia="zh-CN"/>
        </w:rPr>
      </w:pPr>
      <w:r>
        <w:rPr>
          <w:rFonts w:hint="eastAsia"/>
          <w:lang w:eastAsia="zh-CN"/>
        </w:rPr>
        <w:t>注册登录与权限管理：实现用户身份认证，用户通过账号密码登录后，系统生成有效期为24小时的Token，后续请求携带Token验证身份；</w:t>
      </w:r>
      <w:r>
        <w:rPr>
          <w:rFonts w:hint="eastAsia"/>
          <w:lang w:val="en-US" w:eastAsia="zh-CN"/>
        </w:rPr>
        <w:t>一般系统划分</w:t>
      </w:r>
      <w:r>
        <w:rPr>
          <w:rFonts w:hint="eastAsia"/>
          <w:lang w:eastAsia="zh-CN"/>
        </w:rPr>
        <w:t>“管理员”“操作员”“查看员”三类角色（</w:t>
      </w:r>
      <w:r>
        <w:rPr>
          <w:rFonts w:hint="eastAsia"/>
          <w:lang w:val="en-US" w:eastAsia="zh-CN"/>
        </w:rPr>
        <w:t>但本系统主要是工具应用，暂时不区分角色，登录用户均具备所有权限），对应三类角色权限如下</w:t>
      </w:r>
      <w:r>
        <w:rPr>
          <w:rFonts w:hint="eastAsia"/>
          <w:lang w:eastAsia="zh-CN"/>
        </w:rPr>
        <w:t>：管理员拥有系统配置（如添加目标平台、更新转换工具）、用户管理（新增/删除用户、分配角色）权限；操作员拥有模型上传、转换任务提交、推理测试权限；查看员仅拥有任务结果查看、可视化展示权限。权限管理模块支持细粒度控制，如限制某操作员仅能使用英伟达平台进行转换，无法访问华为昇腾平台，确保试验场数据安全与操作合规。</w:t>
      </w:r>
    </w:p>
    <w:p>
      <w:pPr>
        <w:pStyle w:val="2"/>
        <w:ind w:firstLine="552"/>
        <w:rPr>
          <w:rFonts w:hint="eastAsia"/>
          <w:lang w:eastAsia="zh-CN"/>
        </w:rPr>
      </w:pPr>
      <w:r>
        <w:rPr>
          <w:rFonts w:hint="eastAsia"/>
          <w:lang w:eastAsia="zh-CN"/>
        </w:rPr>
        <w:t>任务调度模块开发：采用“消息队列+分布式调度”架构，处理模型转换、推理测试等耗时任务。基于RabbitMQ构建任务队列，用户提交的任务先进入队列等待，调度中心（基于XXL-Job开发）根据任务优先级（高/中/低）、硬件节点负载（CPU/内存/GPU利用率）分配任务至空闲节点。任务优先级支持动态调整，试验场紧急调试任务可设为高优先级，优先占用资源；硬件节点负载监控采用Prometheus采集数据，当某节点CPU利用率＞80%或内存利用率＞90%时，自动将后续任务调度至其他节点，避免节点过载。同时，开发任务管理功能，支持任务暂停（暂停后保留当前进度，恢复时继续执行）、取消（取消后释放占用的硬件资源）、重试（失败任务可一键重试，无需重新配置参数），任务成功率≥98%（排除硬件故障、模型文件损坏等不可抗因素）。</w:t>
      </w:r>
    </w:p>
    <w:p>
      <w:pPr>
        <w:pStyle w:val="2"/>
        <w:ind w:firstLine="552"/>
        <w:rPr>
          <w:rFonts w:hint="eastAsia"/>
          <w:lang w:eastAsia="zh-CN"/>
        </w:rPr>
      </w:pPr>
      <w:r>
        <w:rPr>
          <w:rFonts w:hint="eastAsia"/>
          <w:lang w:eastAsia="zh-CN"/>
        </w:rPr>
        <w:t>网关代理与接口管理：</w:t>
      </w:r>
      <w:r>
        <w:rPr>
          <w:rFonts w:hint="eastAsia"/>
          <w:lang w:val="en-US" w:eastAsia="zh-CN"/>
        </w:rPr>
        <w:t>实现</w:t>
      </w:r>
      <w:r>
        <w:rPr>
          <w:rFonts w:hint="eastAsia"/>
          <w:lang w:eastAsia="zh-CN"/>
        </w:rPr>
        <w:t>API网关，统一管理所有后端接口，实现“入口统一、路由转发、权限校验”</w:t>
      </w:r>
      <w:r>
        <w:rPr>
          <w:rFonts w:hint="eastAsia"/>
          <w:lang w:val="en-US" w:eastAsia="zh-CN"/>
        </w:rPr>
        <w:t>三</w:t>
      </w:r>
      <w:r>
        <w:rPr>
          <w:rFonts w:hint="eastAsia"/>
          <w:lang w:eastAsia="zh-CN"/>
        </w:rPr>
        <w:t>大功能。入口统一：前端所有请求均通过网关转发至对应服务（如转换任务请求转发至转换系统，可视化请求转发至可视化系统），避免直接访问后端服务；路由转发：通过配置路由规则（如“/api/convert/**”转发至转换系统），支持动态调整路由（如服务扩容后新增节点时，无需修改前端请求地址）；权限校验：网关拦截所有请求，验证用户Token有效性与接口访问权限（如普通操作员无法访问管理员接口），拒绝非法请求。网关支持接口调用日志记录（包含请求参数、响应结果、耗时），便于后期接口性能分析与问题排查。</w:t>
      </w:r>
    </w:p>
    <w:p>
      <w:pPr>
        <w:pStyle w:val="2"/>
        <w:ind w:firstLine="552"/>
        <w:rPr>
          <w:rFonts w:hint="eastAsia"/>
          <w:lang w:eastAsia="zh-CN"/>
        </w:rPr>
      </w:pPr>
      <w:r>
        <w:rPr>
          <w:rFonts w:hint="eastAsia"/>
          <w:lang w:eastAsia="zh-CN"/>
        </w:rPr>
        <w:t>日志监控模块设计：构建全链路日志监控体系，覆盖用户操作、系统运行、任务执行三大场景。用户操作日志记录用户的登录、模型上传、转换配置等操作（包含操作人、操作时间、操作内容、IP地址），用于安全审计与操作追溯；系统运行日志记录服务启动/停止、接口调用异常、硬件节点状态变化等信息（如“华为昇腾节点离线”“转换工具调用失败”），支持日志级别划分（DEBUG/INFO/WARN/ERROR），ERROR级日志实时推送至管理员告警列表；任务执行日志记录转换、测试任务的每一步细节（如“模型解析开始时间：2025-09-10 10:00:00”“ONNX转换完成，耗时120s”“目标平台OM格式生成成功”），日志支持按任务ID查询、关键词搜索（如搜索“算子不兼容”定位转换失败原因）</w:t>
      </w:r>
      <w:r>
        <w:rPr>
          <w:rFonts w:hint="eastAsia"/>
          <w:lang w:val="en-US" w:eastAsia="zh-CN"/>
        </w:rPr>
        <w:t>和</w:t>
      </w:r>
      <w:r>
        <w:rPr>
          <w:rFonts w:hint="eastAsia"/>
          <w:lang w:eastAsia="zh-CN"/>
        </w:rPr>
        <w:t>导出。。</w:t>
      </w:r>
    </w:p>
    <w:p>
      <w:pPr>
        <w:numPr>
          <w:ilvl w:val="1"/>
          <w:numId w:val="8"/>
        </w:numPr>
        <w:outlineLvl w:val="3"/>
      </w:pPr>
      <w:r>
        <w:rPr>
          <w:rFonts w:hint="eastAsia"/>
        </w:rPr>
        <w:t>数据存储层：数据流转中枢</w:t>
      </w:r>
    </w:p>
    <w:p>
      <w:pPr>
        <w:pStyle w:val="2"/>
        <w:ind w:firstLine="552"/>
        <w:rPr>
          <w:rFonts w:hint="eastAsia"/>
        </w:rPr>
      </w:pPr>
      <w:r>
        <w:rPr>
          <w:rFonts w:hint="eastAsia"/>
        </w:rPr>
        <w:t>作为系统数据全生命周期管理的核心载体，数据存储层采用“混合存储架构”，针对结构化数据、非结构化数据、高频访问数据的不同特性，分别选用MySQL、MinIO、Redis三类存储组件，实现数据分类存储、安全管控与高效调用，同时满足试验场调试机场景下模型文件大、任务数据多、访问频率高的存储需求。</w:t>
      </w:r>
    </w:p>
    <w:p>
      <w:pPr>
        <w:pStyle w:val="2"/>
        <w:ind w:firstLine="552"/>
        <w:rPr>
          <w:rFonts w:hint="eastAsia"/>
          <w:lang w:eastAsia="zh-CN"/>
        </w:rPr>
      </w:pPr>
      <w:r>
        <w:rPr>
          <w:rFonts w:hint="eastAsia"/>
          <w:b/>
          <w:bCs/>
        </w:rPr>
        <w:t>关系数据存储：MySQL结构化数据管理</w:t>
      </w:r>
      <w:r>
        <w:rPr>
          <w:rFonts w:hint="eastAsia"/>
          <w:lang w:eastAsia="zh-CN"/>
        </w:rPr>
        <w:t>。MySQL数据库主要用于存储系统运行过程中产生的结构化数据，通过“表分区+索引优化”保障数据查询效率，支撑用户管理、任务调度、系统配置等核心业务逻辑的有序运行。</w:t>
      </w:r>
    </w:p>
    <w:p>
      <w:pPr>
        <w:pStyle w:val="2"/>
        <w:ind w:firstLine="552"/>
        <w:rPr>
          <w:rFonts w:hint="eastAsia"/>
          <w:lang w:eastAsia="zh-CN"/>
        </w:rPr>
      </w:pPr>
    </w:p>
    <w:p>
      <w:pPr>
        <w:pStyle w:val="2"/>
        <w:ind w:firstLine="552"/>
        <w:rPr>
          <w:rFonts w:hint="eastAsia"/>
          <w:lang w:eastAsia="zh-CN"/>
        </w:rPr>
      </w:pPr>
      <w:r>
        <w:rPr>
          <w:rFonts w:hint="eastAsia"/>
          <w:lang w:eastAsia="zh-CN"/>
        </w:rPr>
        <w:t>核心数据表设计</w:t>
      </w:r>
    </w:p>
    <w:p>
      <w:pPr>
        <w:pStyle w:val="2"/>
        <w:ind w:firstLine="552"/>
        <w:rPr>
          <w:rFonts w:hint="eastAsia"/>
          <w:lang w:eastAsia="zh-CN"/>
        </w:rPr>
      </w:pPr>
      <w:r>
        <w:rPr>
          <w:rFonts w:hint="eastAsia"/>
          <w:lang w:eastAsia="zh-CN"/>
        </w:rPr>
        <w:t>用户信息表（sys_user）：存储用户账号、密码（采用加密算法</w:t>
      </w:r>
      <w:r>
        <w:rPr>
          <w:rFonts w:hint="eastAsia"/>
          <w:lang w:val="en-US" w:eastAsia="zh-CN"/>
        </w:rPr>
        <w:t>并加盐</w:t>
      </w:r>
      <w:r>
        <w:rPr>
          <w:rFonts w:hint="eastAsia"/>
          <w:lang w:eastAsia="zh-CN"/>
        </w:rPr>
        <w:t>存储，防止明文泄露）、角色类型（管理员/操作员/查看员，</w:t>
      </w:r>
      <w:r>
        <w:rPr>
          <w:rFonts w:hint="eastAsia"/>
          <w:lang w:val="en-US" w:eastAsia="zh-CN"/>
        </w:rPr>
        <w:t>预留字段，暂不生效</w:t>
      </w:r>
      <w:r>
        <w:rPr>
          <w:rFonts w:hint="eastAsia"/>
          <w:lang w:eastAsia="zh-CN"/>
        </w:rPr>
        <w:t>）、所属部门、联系方式、账号状态（启用/禁用）、创建时间、最后登录时间等字段。新增“登录IP白名单”字段，仅允许试验场内网指定IP段（如192.168.1.0/24）的设备登录，提升账号安全性。</w:t>
      </w:r>
    </w:p>
    <w:p>
      <w:pPr>
        <w:pStyle w:val="2"/>
        <w:ind w:firstLine="552"/>
        <w:rPr>
          <w:rFonts w:hint="eastAsia"/>
          <w:lang w:eastAsia="zh-CN"/>
        </w:rPr>
      </w:pPr>
      <w:r>
        <w:rPr>
          <w:rFonts w:hint="eastAsia"/>
          <w:lang w:eastAsia="zh-CN"/>
        </w:rPr>
        <w:t>任务信息表（task_info）：记录模型转换、推理测试任务的核心数据，包括任务ID（采用UUID生成唯一标识）、模型名称、源模型格式（PyTorch/TensorFlow/ONNX）、目标平台（华为昇腾/瑞芯微/英伟达/寒武纪）、精度模式（FP32/FP16/INT8）、任务状态（等待中/处理中/成功/失败）、提交人、提交时间、开始时间、完成时间、失败原因（任务失败时填写，如“算子不兼容”“硬件节点离线”）。针对任务状态查询场景，建立“状态+提交时间”联合索引，将任务列表查询耗时控制在50ms以内；支持按“目标平台”“任务状态”进行表分区（如按平台分为4个分区，按状态分为4个分区），提升大批量任务数据的查询与统计效率。</w:t>
      </w:r>
    </w:p>
    <w:p>
      <w:pPr>
        <w:pStyle w:val="2"/>
        <w:ind w:firstLine="552"/>
        <w:rPr>
          <w:rFonts w:hint="eastAsia"/>
          <w:lang w:eastAsia="zh-CN"/>
        </w:rPr>
      </w:pPr>
      <w:r>
        <w:rPr>
          <w:rFonts w:hint="eastAsia"/>
          <w:lang w:eastAsia="zh-CN"/>
        </w:rPr>
        <w:t>模型元数据表（model_meta）：存储上传模型的基础信息，包括模型ID、模型名称、文件大小（单位：MB）、源格式、输入维度（如[1,3,640,640]）、输出维度（如[1,80,8400]）、算子数量、模型类型（目标检测/分类/跟踪/NLP大模型）、上传人、上传时间、存储路径（关联MinIO中的模型文件路径）。新增“模型</w:t>
      </w:r>
      <w:r>
        <w:rPr>
          <w:rFonts w:hint="eastAsia"/>
          <w:lang w:val="en-US" w:eastAsia="zh-CN"/>
        </w:rPr>
        <w:t>MD5</w:t>
      </w:r>
      <w:r>
        <w:rPr>
          <w:rFonts w:hint="eastAsia"/>
          <w:lang w:eastAsia="zh-CN"/>
        </w:rPr>
        <w:t>”字段，用于检测重复上传（若</w:t>
      </w:r>
      <w:r>
        <w:rPr>
          <w:rFonts w:hint="eastAsia"/>
          <w:lang w:val="en-US" w:eastAsia="zh-CN"/>
        </w:rPr>
        <w:t>MD5</w:t>
      </w:r>
      <w:r>
        <w:rPr>
          <w:rFonts w:hint="eastAsia"/>
          <w:lang w:eastAsia="zh-CN"/>
        </w:rPr>
        <w:t>值已存在，提示用户“该模型已上传，是否直接使用”），避免存储空间浪费；针对模型类型筛选场景，建立“模型类型”索引，支持快速筛选出某类模型（如所有目标检测模型）。</w:t>
      </w:r>
    </w:p>
    <w:p>
      <w:pPr>
        <w:pStyle w:val="2"/>
        <w:ind w:firstLine="552"/>
        <w:rPr>
          <w:rFonts w:hint="eastAsia"/>
          <w:lang w:eastAsia="zh-CN"/>
        </w:rPr>
      </w:pPr>
      <w:r>
        <w:rPr>
          <w:rFonts w:hint="eastAsia"/>
          <w:lang w:eastAsia="zh-CN"/>
        </w:rPr>
        <w:t>系统配置表（sys_config）：存储系统运行所需的配置参数，包括支持的模型格式列表、目标平台参数（如华为昇腾ATC工具路径、瑞芯微RKNN Toolkit版本）、任务优先级规则（如“紧急任务优先级高于普通任务”）、精度损失阈值（默认≤5%）、日志保留天数（默认30天）。采用“键-值”存储结构（key字段为配置项名称，value字段为配置值），支持通过接口动态修改配置（如管理员调整精度损失阈值），无需重启系统即可生效，提升系统灵活性。</w:t>
      </w:r>
    </w:p>
    <w:p>
      <w:pPr>
        <w:pStyle w:val="2"/>
        <w:ind w:firstLine="552"/>
        <w:rPr>
          <w:rFonts w:hint="eastAsia"/>
          <w:lang w:eastAsia="zh-CN"/>
        </w:rPr>
      </w:pPr>
      <w:r>
        <w:rPr>
          <w:rFonts w:hint="eastAsia"/>
          <w:lang w:eastAsia="zh-CN"/>
        </w:rPr>
        <w:t>数据安全与备份策略</w:t>
      </w:r>
    </w:p>
    <w:p>
      <w:pPr>
        <w:pStyle w:val="2"/>
        <w:ind w:firstLine="552"/>
        <w:rPr>
          <w:rFonts w:hint="eastAsia"/>
          <w:lang w:eastAsia="zh-CN"/>
        </w:rPr>
      </w:pPr>
      <w:r>
        <w:rPr>
          <w:rFonts w:hint="eastAsia"/>
          <w:lang w:eastAsia="zh-CN"/>
        </w:rPr>
        <w:t>定时备份：采用xtrabackup工具（</w:t>
      </w:r>
      <w:r>
        <w:rPr>
          <w:rFonts w:hint="eastAsia"/>
          <w:lang w:val="en-US" w:eastAsia="zh-CN"/>
        </w:rPr>
        <w:t>或者类似工具</w:t>
      </w:r>
      <w:r>
        <w:rPr>
          <w:rFonts w:hint="eastAsia"/>
          <w:lang w:eastAsia="zh-CN"/>
        </w:rPr>
        <w:t>）实现MySQL全量备份与增量备份，全量备份每日凌晨2点执行（此时系统负载最低），增量备份每6小时执行1次；备份文件存储至独立的存储服务器（与数据库服务器物理隔离），并保留最近30天的备份文件；定期（每周日）进行备份恢复测试，验证备份文件有效性，确保数据可恢复率100%。</w:t>
      </w:r>
    </w:p>
    <w:p>
      <w:pPr>
        <w:pStyle w:val="2"/>
        <w:ind w:firstLine="552"/>
        <w:rPr>
          <w:rFonts w:hint="eastAsia"/>
          <w:lang w:eastAsia="zh-CN"/>
        </w:rPr>
      </w:pPr>
      <w:r>
        <w:rPr>
          <w:rFonts w:hint="eastAsia"/>
          <w:b/>
          <w:bCs/>
          <w:lang w:eastAsia="zh-CN"/>
        </w:rPr>
        <w:t>对象存储：MinIO非结构化数据管理</w:t>
      </w:r>
      <w:r>
        <w:rPr>
          <w:rFonts w:hint="eastAsia"/>
          <w:lang w:eastAsia="zh-CN"/>
        </w:rPr>
        <w:t>。MinIO作为分布式对象存储组件，主要用于存储模型文件（原始模型、转换后模型）、测试数据集（图像/文本文件）、日志文件（任务执行日志、系统运行日志）等非结构化数据，通过“分布式部署+版本控制+访问控制”实现数据的安全存储与高效访问，满足试验场大文件存储与共享需求。</w:t>
      </w:r>
    </w:p>
    <w:p>
      <w:pPr>
        <w:pStyle w:val="2"/>
        <w:ind w:firstLine="552"/>
        <w:rPr>
          <w:rFonts w:hint="eastAsia"/>
          <w:lang w:eastAsia="zh-CN"/>
        </w:rPr>
      </w:pPr>
      <w:r>
        <w:rPr>
          <w:rFonts w:hint="eastAsia"/>
          <w:lang w:eastAsia="zh-CN"/>
        </w:rPr>
        <w:t>存储结构与桶规划</w:t>
      </w:r>
    </w:p>
    <w:p>
      <w:pPr>
        <w:pStyle w:val="2"/>
        <w:ind w:firstLine="552"/>
        <w:rPr>
          <w:rFonts w:hint="eastAsia"/>
          <w:lang w:eastAsia="zh-CN"/>
        </w:rPr>
      </w:pPr>
      <w:r>
        <w:rPr>
          <w:rFonts w:hint="eastAsia"/>
          <w:lang w:eastAsia="zh-CN"/>
        </w:rPr>
        <w:t>按数据类型创建4个核心存储桶（Bucket），每个桶配置独立的访问策略与生命周期规则：</w:t>
      </w:r>
    </w:p>
    <w:p>
      <w:pPr>
        <w:pStyle w:val="2"/>
        <w:ind w:firstLine="552"/>
        <w:rPr>
          <w:rFonts w:hint="eastAsia"/>
          <w:lang w:eastAsia="zh-CN"/>
        </w:rPr>
      </w:pPr>
      <w:r>
        <w:rPr>
          <w:rFonts w:hint="eastAsia"/>
          <w:lang w:eastAsia="zh-CN"/>
        </w:rPr>
        <w:t>raw-model桶：存储用户上传的原始模型文件，桶内按“上传人/上传时间（年-月-日）/模型名称”路径存储（如“user1/2025-09-10/yolov8.pt”）。针对重复上传场景，通过“模型</w:t>
      </w:r>
      <w:r>
        <w:rPr>
          <w:rFonts w:hint="eastAsia"/>
          <w:lang w:val="en-US" w:eastAsia="zh-CN"/>
        </w:rPr>
        <w:t>MD5</w:t>
      </w:r>
      <w:r>
        <w:rPr>
          <w:rFonts w:hint="eastAsia"/>
          <w:lang w:eastAsia="zh-CN"/>
        </w:rPr>
        <w:t>值”校验（与MySQL模型元数据表关联），若</w:t>
      </w:r>
      <w:r>
        <w:rPr>
          <w:rFonts w:hint="eastAsia"/>
          <w:lang w:val="en-US" w:eastAsia="zh-CN"/>
        </w:rPr>
        <w:t>MD5</w:t>
      </w:r>
      <w:r>
        <w:rPr>
          <w:rFonts w:hint="eastAsia"/>
          <w:lang w:eastAsia="zh-CN"/>
        </w:rPr>
        <w:t>值已存在，直接复用已有文件，仅更新元数据，节省存储空间；设置生命周期规则：原始模型文件</w:t>
      </w:r>
      <w:r>
        <w:rPr>
          <w:rFonts w:hint="eastAsia"/>
          <w:lang w:val="en-US" w:eastAsia="zh-CN"/>
        </w:rPr>
        <w:t>长期保留</w:t>
      </w:r>
      <w:r>
        <w:rPr>
          <w:rFonts w:hint="eastAsia"/>
          <w:lang w:eastAsia="zh-CN"/>
        </w:rPr>
        <w:t>（</w:t>
      </w:r>
      <w:r>
        <w:rPr>
          <w:rFonts w:hint="eastAsia"/>
          <w:lang w:val="en-US" w:eastAsia="zh-CN"/>
        </w:rPr>
        <w:t>考虑到工具系统特性</w:t>
      </w:r>
      <w:r>
        <w:rPr>
          <w:rFonts w:hint="eastAsia"/>
          <w:lang w:eastAsia="zh-CN"/>
        </w:rPr>
        <w:t>），避免无效数据占用空间。</w:t>
      </w:r>
    </w:p>
    <w:p>
      <w:pPr>
        <w:pStyle w:val="2"/>
        <w:ind w:firstLine="552"/>
        <w:rPr>
          <w:rFonts w:hint="eastAsia"/>
          <w:lang w:eastAsia="zh-CN"/>
        </w:rPr>
      </w:pPr>
      <w:r>
        <w:rPr>
          <w:rFonts w:hint="eastAsia"/>
          <w:lang w:eastAsia="zh-CN"/>
        </w:rPr>
        <w:t>converted-model桶：存储转换后的目标平台模型文件，桶内按“任务ID/目标平台/精度模式”路径存储（如“task123/华为昇腾/FP16/model.om”）。每个转换后模型文件关联对应的任务ID（通过文件名前缀标识），支持通过任务ID快速查询到对应的模型文件；设置访问权限：允许提交该任务的用户及管理员（</w:t>
      </w:r>
      <w:r>
        <w:rPr>
          <w:rFonts w:hint="eastAsia"/>
          <w:lang w:val="en-US" w:eastAsia="zh-CN"/>
        </w:rPr>
        <w:t>当前所有用户都具备管理员权限</w:t>
      </w:r>
      <w:r>
        <w:rPr>
          <w:rFonts w:hint="eastAsia"/>
          <w:lang w:eastAsia="zh-CN"/>
        </w:rPr>
        <w:t>）下载。</w:t>
      </w:r>
    </w:p>
    <w:p>
      <w:pPr>
        <w:pStyle w:val="2"/>
        <w:ind w:firstLine="552"/>
        <w:rPr>
          <w:rFonts w:hint="eastAsia"/>
          <w:lang w:eastAsia="zh-CN"/>
        </w:rPr>
      </w:pPr>
      <w:r>
        <w:rPr>
          <w:rFonts w:hint="eastAsia"/>
          <w:lang w:eastAsia="zh-CN"/>
        </w:rPr>
        <w:t>test-data桶：存储用户上传的测试数据集（如COCO验证集、GLUE数据集），桶内按“数据集类型/上传人”路径存储（如“目标检测数据集/user2/coco_val2017.zip”）。支持数据集共享功能（用户可将数据集设置为“公开”，供其他用户使用），共享数据集需经过管理员审核（防止恶意上传非测试数据）；针对大尺寸数据集（如超过10GB），通过MinIO系统的配置优化，并形成配置手册文档，支持分片上传（将数据集拆分为</w:t>
      </w:r>
      <w:r>
        <w:rPr>
          <w:rFonts w:hint="eastAsia"/>
          <w:lang w:val="en-US" w:eastAsia="zh-CN"/>
        </w:rPr>
        <w:t>5</w:t>
      </w:r>
      <w:r>
        <w:rPr>
          <w:rFonts w:hint="eastAsia"/>
          <w:lang w:eastAsia="zh-CN"/>
        </w:rPr>
        <w:t>MB/片），</w:t>
      </w:r>
      <w:r>
        <w:rPr>
          <w:rFonts w:hint="eastAsia"/>
          <w:lang w:val="en-US" w:eastAsia="zh-CN"/>
        </w:rPr>
        <w:t>完成大文件高效管理</w:t>
      </w:r>
      <w:r>
        <w:rPr>
          <w:rFonts w:hint="eastAsia"/>
          <w:lang w:eastAsia="zh-CN"/>
        </w:rPr>
        <w:t>。</w:t>
      </w:r>
    </w:p>
    <w:p>
      <w:pPr>
        <w:pStyle w:val="2"/>
        <w:ind w:firstLine="552"/>
        <w:rPr>
          <w:rFonts w:hint="eastAsia"/>
          <w:lang w:eastAsia="zh-CN"/>
        </w:rPr>
      </w:pPr>
      <w:r>
        <w:rPr>
          <w:rFonts w:hint="eastAsia"/>
          <w:lang w:eastAsia="zh-CN"/>
        </w:rPr>
        <w:t>log桶：存储任务执行日志与系统运行日志，桶内按“日志类型/日期（年-月-日）”路径存储（如“任务日志/2025-09-10/task123.log”“系统日志/2025-09-10/sys.log”）。任务日志包含转换/测试过程中的每一步操作（如“2025-09-10 10:00:00开始模型解析”“2025-09-10 10:05:00目标平台转换完成”），系统日志包含服务启动/停止、接口调用异常、硬件节点状态变化等信息；设置生命周期规则：</w:t>
      </w:r>
      <w:r>
        <w:rPr>
          <w:rFonts w:hint="eastAsia"/>
          <w:lang w:val="en-US" w:eastAsia="zh-CN"/>
        </w:rPr>
        <w:t>本系统作为内部工具使用，为了方便问题定位和后期优化，日志永久保存</w:t>
      </w:r>
      <w:r>
        <w:rPr>
          <w:rFonts w:hint="eastAsia"/>
          <w:lang w:eastAsia="zh-CN"/>
        </w:rPr>
        <w:t>。</w:t>
      </w:r>
    </w:p>
    <w:p>
      <w:pPr>
        <w:pStyle w:val="2"/>
        <w:ind w:firstLine="552"/>
        <w:rPr>
          <w:rFonts w:hint="eastAsia"/>
          <w:lang w:eastAsia="zh-CN"/>
        </w:rPr>
      </w:pPr>
      <w:r>
        <w:rPr>
          <w:rFonts w:hint="eastAsia"/>
          <w:lang w:eastAsia="zh-CN"/>
        </w:rPr>
        <w:t>性能优化与访问控制</w:t>
      </w:r>
    </w:p>
    <w:p>
      <w:pPr>
        <w:pStyle w:val="2"/>
        <w:ind w:firstLine="552"/>
        <w:rPr>
          <w:rFonts w:hint="default"/>
          <w:lang w:val="en-US" w:eastAsia="zh-CN"/>
        </w:rPr>
      </w:pPr>
      <w:r>
        <w:rPr>
          <w:rFonts w:hint="eastAsia"/>
          <w:lang w:eastAsia="zh-CN"/>
        </w:rPr>
        <w:t>分布式部署：采用4节点MinIO集群（1个纠删码组，3个数据块+1个校验块），支持数据冗余存储（任意1个节点故障，数据可通过其他节点恢复），同时提升并发访问性能（支持每秒100+模型文件上传/下载）；针对试验场内网环境，配置10Gbps以太网连接，将大模型文件（如20GB NLP大模型）的上传/下载速度提升至500MB/s以上，缩短文件传输时间。</w:t>
      </w:r>
      <w:r>
        <w:rPr>
          <w:rFonts w:hint="eastAsia"/>
          <w:lang w:val="en-US" w:eastAsia="zh-CN"/>
        </w:rPr>
        <w:t>特别注意：考虑到工具系统的硬件投入，实际上线采用单节点MinIO存储即可。</w:t>
      </w:r>
    </w:p>
    <w:p>
      <w:pPr>
        <w:pStyle w:val="2"/>
        <w:ind w:firstLine="552"/>
        <w:rPr>
          <w:rFonts w:hint="eastAsia"/>
          <w:lang w:eastAsia="zh-CN"/>
        </w:rPr>
      </w:pPr>
      <w:r>
        <w:rPr>
          <w:rFonts w:hint="eastAsia"/>
          <w:lang w:eastAsia="zh-CN"/>
        </w:rPr>
        <w:t>缓存加速：集成Redis作为MinIO的缓存层，将高频访问的模型</w:t>
      </w:r>
      <w:r>
        <w:rPr>
          <w:rFonts w:hint="eastAsia"/>
          <w:lang w:val="en-US" w:eastAsia="zh-CN"/>
        </w:rPr>
        <w:t>信息（非模型文件本身）</w:t>
      </w:r>
      <w:r>
        <w:rPr>
          <w:rFonts w:hint="eastAsia"/>
          <w:lang w:eastAsia="zh-CN"/>
        </w:rPr>
        <w:t>缓存至Redis，用户再次访问时直接从缓存读取，减少MinIO集群的访问压力；设置缓存有效期（默认24小时），缓存过期后自动从MinIO重新加载数据，确保数据一致性。</w:t>
      </w:r>
    </w:p>
    <w:p>
      <w:pPr>
        <w:pStyle w:val="2"/>
        <w:ind w:firstLine="552"/>
        <w:rPr>
          <w:rFonts w:hint="eastAsia"/>
          <w:lang w:eastAsia="zh-CN"/>
        </w:rPr>
      </w:pPr>
      <w:r>
        <w:rPr>
          <w:rFonts w:hint="eastAsia"/>
          <w:lang w:eastAsia="zh-CN"/>
        </w:rPr>
        <w:t>访问控制：基于MinIO的IAM（Identity and Access Management）功能，为不同角色用户分配不同的桶访问权限：管理员拥有所有桶的读写权限；操作员拥有raw-model桶的上传/读取权限、converted-model桶的读取权限（仅自己提交任务的模型）、test-data桶的上传/读取/共享权限；查看员仅拥有converted-model桶的读取权限（仅已完成任务的模型）、test-data桶的读取权限（仅公开数据集）。所有访问请求均通过HTTPS协议加密传输，防止数据在传输过程中被窃取或篡改。</w:t>
      </w:r>
    </w:p>
    <w:p>
      <w:pPr>
        <w:pStyle w:val="2"/>
        <w:ind w:firstLine="552"/>
        <w:rPr>
          <w:rFonts w:hint="eastAsia"/>
          <w:lang w:eastAsia="zh-CN"/>
        </w:rPr>
      </w:pPr>
      <w:r>
        <w:rPr>
          <w:rFonts w:hint="eastAsia"/>
          <w:b/>
          <w:bCs/>
          <w:lang w:eastAsia="zh-CN"/>
        </w:rPr>
        <w:t>缓存服务：Redis高频数据加速</w:t>
      </w:r>
      <w:r>
        <w:rPr>
          <w:rFonts w:hint="eastAsia"/>
          <w:lang w:eastAsia="zh-CN"/>
        </w:rPr>
        <w:t>。Redis作为高性能缓存组件，主要用于存储高频访问数据（如任务实时状态、模型元数据、用户登录Token），通过“内存存储+数据结构优化”将数据访问延迟控制在10</w:t>
      </w:r>
      <w:r>
        <w:rPr>
          <w:rFonts w:hint="eastAsia"/>
          <w:lang w:val="en-US" w:eastAsia="zh-CN"/>
        </w:rPr>
        <w:t>0</w:t>
      </w:r>
      <w:r>
        <w:rPr>
          <w:rFonts w:hint="eastAsia"/>
          <w:lang w:eastAsia="zh-CN"/>
        </w:rPr>
        <w:t>ms以内，大幅提升系统响应速度，减轻MySQL与MinIO的访问压力，支撑试验场多用户并发操作场景。</w:t>
      </w:r>
    </w:p>
    <w:p>
      <w:pPr>
        <w:pStyle w:val="2"/>
        <w:ind w:firstLine="552"/>
        <w:rPr>
          <w:rFonts w:hint="eastAsia"/>
          <w:lang w:eastAsia="zh-CN"/>
        </w:rPr>
      </w:pPr>
      <w:r>
        <w:rPr>
          <w:rFonts w:hint="eastAsia"/>
          <w:lang w:eastAsia="zh-CN"/>
        </w:rPr>
        <w:t>核心缓存数据结构设计</w:t>
      </w:r>
    </w:p>
    <w:p>
      <w:pPr>
        <w:pStyle w:val="2"/>
        <w:ind w:firstLine="552"/>
        <w:rPr>
          <w:rFonts w:hint="eastAsia"/>
          <w:lang w:eastAsia="zh-CN"/>
        </w:rPr>
      </w:pPr>
      <w:r>
        <w:rPr>
          <w:rFonts w:hint="eastAsia"/>
          <w:lang w:eastAsia="zh-CN"/>
        </w:rPr>
        <w:t>任务状态缓存（Hash类型）：采用“task:{taskId}”作为Key，存储任务的实时状态（如“status”:“处理中”，“currentStep”:“ONNX格式转换”）。应用服务层（如转换系统、任务调度模块）实时更新缓存中的任务状态（如每完成一步更新progress字段），前端通过WebSocket订阅任务状态变化（订阅Key为“task:{taskId}”），无需频繁查询MySQL即可获取最新进度，将任务状态更新延迟控制在100</w:t>
      </w:r>
      <w:r>
        <w:rPr>
          <w:rFonts w:hint="eastAsia"/>
          <w:lang w:val="en-US" w:eastAsia="zh-CN"/>
        </w:rPr>
        <w:t>0</w:t>
      </w:r>
      <w:r>
        <w:rPr>
          <w:rFonts w:hint="eastAsia"/>
          <w:lang w:eastAsia="zh-CN"/>
        </w:rPr>
        <w:t>ms以内；设置缓存有效期为24小时（任务完成后），超过有效期自动删除，释放内存空间。</w:t>
      </w:r>
    </w:p>
    <w:p>
      <w:pPr>
        <w:pStyle w:val="2"/>
        <w:ind w:firstLine="552"/>
        <w:rPr>
          <w:rFonts w:hint="eastAsia"/>
          <w:lang w:eastAsia="zh-CN"/>
        </w:rPr>
      </w:pPr>
      <w:r>
        <w:rPr>
          <w:rFonts w:hint="eastAsia"/>
          <w:lang w:eastAsia="zh-CN"/>
        </w:rPr>
        <w:t>模型元数据缓存（String类型）：采用“model:{modelId}”作为Key，存储模型元数据表中的核心字段（如模型名称、输入维度、目标类型、存储路径），格式为JSON字符串。当用户查看模型详情、发起转换任务时，优先从Redis读取元数据，若缓存未命中（如模型刚上传），再从MySQL查询并写入Redis，将模型元数据查询耗时从50ms缩短至5ms以内；针对高频访问的热门模型（如YOLO、ResNet），设置缓存有效期为7天，避免频繁查询MySQL。</w:t>
      </w:r>
    </w:p>
    <w:p>
      <w:pPr>
        <w:pStyle w:val="2"/>
        <w:ind w:firstLine="552"/>
        <w:rPr>
          <w:rFonts w:hint="eastAsia"/>
          <w:lang w:eastAsia="zh-CN"/>
        </w:rPr>
      </w:pPr>
      <w:r>
        <w:rPr>
          <w:rFonts w:hint="eastAsia"/>
          <w:lang w:eastAsia="zh-CN"/>
        </w:rPr>
        <w:t>用户登录Token缓存（String类型）：采用“token:{tokenValue}”作为Key，存储用户ID与角色类型（如“userId:1001,role:operator”），缓存有效期与Token有效期一致（24小时）。当用户发起请求时，网关代理模块从请求头中获取Token，查询Redis验证Token有效性及用户角色，若Token不存在或已过期，拒绝请求；通过Redis缓存Token，避免每次请求都查询MySQL，将用户身份验证耗时从</w:t>
      </w:r>
      <w:r>
        <w:rPr>
          <w:rFonts w:hint="eastAsia"/>
          <w:lang w:val="en-US" w:eastAsia="zh-CN"/>
        </w:rPr>
        <w:t>10</w:t>
      </w:r>
      <w:r>
        <w:rPr>
          <w:rFonts w:hint="eastAsia"/>
          <w:lang w:eastAsia="zh-CN"/>
        </w:rPr>
        <w:t>0ms缩短至</w:t>
      </w:r>
      <w:r>
        <w:rPr>
          <w:rFonts w:hint="eastAsia"/>
          <w:lang w:val="en-US" w:eastAsia="zh-CN"/>
        </w:rPr>
        <w:t>数十</w:t>
      </w:r>
      <w:r>
        <w:rPr>
          <w:rFonts w:hint="eastAsia"/>
          <w:lang w:eastAsia="zh-CN"/>
        </w:rPr>
        <w:t>ms以内，支撑每秒1000+的并发请求验证。</w:t>
      </w:r>
    </w:p>
    <w:p>
      <w:pPr>
        <w:pStyle w:val="2"/>
        <w:ind w:firstLine="552"/>
        <w:rPr>
          <w:rFonts w:hint="eastAsia"/>
          <w:lang w:eastAsia="zh-CN"/>
        </w:rPr>
      </w:pPr>
      <w:r>
        <w:rPr>
          <w:rFonts w:hint="eastAsia"/>
          <w:lang w:eastAsia="zh-CN"/>
        </w:rPr>
        <w:t>硬件节点状态缓存（Set类型）：采用“hardware:online”作为Key，存储当前在线的硬件节点ID（如“nvidia-node1”“huawei-node2”）；采用“hardware:{nodeId}”作为Key（Hash类型），存储单个节点的实时负载（如“cpuUsage:30%”，“gpuUsage:50%”，“memoryUsage:40%”）。任务调度模块调度任务时，先从“hardware:online”集合中筛选在线节点，再查询各节点负载缓存，选择负载最低的节点分配任务，将节点筛选与负载查询耗时控制在10ms以内；硬件监控模块每10秒更新一次节点负载缓存，确保负载数据实时性。</w:t>
      </w:r>
    </w:p>
    <w:p>
      <w:pPr>
        <w:pStyle w:val="2"/>
        <w:ind w:firstLine="552"/>
        <w:rPr>
          <w:rFonts w:hint="eastAsia"/>
          <w:lang w:eastAsia="zh-CN"/>
        </w:rPr>
      </w:pPr>
      <w:r>
        <w:rPr>
          <w:rFonts w:hint="eastAsia"/>
          <w:lang w:eastAsia="zh-CN"/>
        </w:rPr>
        <w:t>缓存优化与一致性保障</w:t>
      </w:r>
    </w:p>
    <w:p>
      <w:pPr>
        <w:pStyle w:val="2"/>
        <w:ind w:firstLine="552"/>
        <w:rPr>
          <w:rFonts w:hint="eastAsia"/>
          <w:lang w:eastAsia="zh-CN"/>
        </w:rPr>
      </w:pPr>
      <w:r>
        <w:rPr>
          <w:rFonts w:hint="eastAsia"/>
          <w:lang w:eastAsia="zh-CN"/>
        </w:rPr>
        <w:t>数据结构优化：针对任务状态、模型元数据等结构化缓存数据，采用Hash类型存储（而非String类型的JSON字符串），支持单独更新某一字段（如仅更新任务进度progress，无需重新写入整个JSON），减少数据传输量与内存占用；针对硬件节点在线列表，采用Set类型存储，支持快速判断节点是否在线（通过SISMEMBER命令），查询耗时≤1</w:t>
      </w:r>
      <w:r>
        <w:rPr>
          <w:rFonts w:hint="eastAsia"/>
          <w:lang w:val="en-US" w:eastAsia="zh-CN"/>
        </w:rPr>
        <w:t>0</w:t>
      </w:r>
      <w:r>
        <w:rPr>
          <w:rFonts w:hint="eastAsia"/>
          <w:lang w:eastAsia="zh-CN"/>
        </w:rPr>
        <w:t>ms。</w:t>
      </w:r>
    </w:p>
    <w:p>
      <w:pPr>
        <w:pStyle w:val="2"/>
        <w:ind w:firstLine="552"/>
        <w:rPr>
          <w:rFonts w:hint="eastAsia"/>
          <w:lang w:eastAsia="zh-CN"/>
        </w:rPr>
      </w:pPr>
      <w:r>
        <w:rPr>
          <w:rFonts w:hint="eastAsia"/>
          <w:lang w:eastAsia="zh-CN"/>
        </w:rPr>
        <w:t>缓存穿透防护：针对不存在的模型ID、任务ID查询请求（如恶意请求“model:9999”），采用“空值缓存”策略（若MySQL查询结果为空，在Redis中写入空值，有效期为5分钟），避免频繁查询MySQL导致数据库压力增大；同时，在网关层增加请求参数校验（如校验模型ID是否符合UUID格式），过滤无效请求。</w:t>
      </w:r>
    </w:p>
    <w:p>
      <w:pPr>
        <w:pStyle w:val="2"/>
        <w:ind w:firstLine="552"/>
        <w:rPr>
          <w:rFonts w:hint="eastAsia"/>
          <w:lang w:eastAsia="zh-CN"/>
        </w:rPr>
      </w:pPr>
      <w:r>
        <w:rPr>
          <w:rFonts w:hint="eastAsia"/>
          <w:lang w:eastAsia="zh-CN"/>
        </w:rPr>
        <w:t>缓存一致性保障：采用“更新数据库后更新缓存”的策略，当MySQL中的数据发生变更（如任务状态从“处理中”改为“成功”、模型元数据更新）时，先更新MySQL，再同步更新Redis缓存（若缓存存在），确保缓存与数据库数据一致；针对并发更新场景（如多个线程同时更新同一任务状态），采用Redis分布式锁（基于SET NX EX命令），避免缓存数据覆盖错误，确保数据更新的原子性。</w:t>
      </w:r>
    </w:p>
    <w:p>
      <w:pPr>
        <w:pStyle w:val="2"/>
        <w:ind w:firstLine="552"/>
        <w:rPr>
          <w:rFonts w:hint="eastAsia"/>
          <w:lang w:eastAsia="zh-CN"/>
        </w:rPr>
      </w:pPr>
      <w:r>
        <w:rPr>
          <w:rFonts w:hint="eastAsia"/>
          <w:lang w:eastAsia="zh-CN"/>
        </w:rPr>
        <w:t>内存管理：采用Redis的内存淘汰策略（allkeys-lru），当内存使用率超过90%时，自动淘汰最近最少使用的缓存数据（如长期未访问的模型元数据、过期任务状态），确保Redis始终有足够内存存储高频数据；定期（每日凌晨）执行缓存碎片整理（通过MEMORY PURGE命令），减少内存碎片占用，提升Redis内存利用率。</w:t>
      </w:r>
    </w:p>
    <w:p>
      <w:pPr>
        <w:numPr>
          <w:ilvl w:val="1"/>
          <w:numId w:val="8"/>
        </w:numPr>
        <w:outlineLvl w:val="3"/>
      </w:pPr>
      <w:r>
        <w:rPr>
          <w:rFonts w:hint="eastAsia"/>
        </w:rPr>
        <w:t>硬件资源层：算力支撑和验证底座</w:t>
      </w:r>
    </w:p>
    <w:p>
      <w:pPr>
        <w:pStyle w:val="2"/>
        <w:ind w:firstLine="552"/>
        <w:rPr>
          <w:rFonts w:hint="eastAsia"/>
        </w:rPr>
      </w:pPr>
      <w:r>
        <w:rPr>
          <w:rFonts w:hint="eastAsia"/>
        </w:rPr>
        <w:t>硬件资源层作为系统算力输出与跨平台验证的核心载体，整合容器化环境与异构硬件集群，覆盖华为、瑞芯微、英伟达、寒武纪4类目标平台，通过标准化部署、精细化监控与高效调度，为模型转换、推理测试提供稳定算力支撑，同时确保转换后模型在真实硬件环境下的功能与性能验证效果，匹配试验场内场调试机的实际应用场景。</w:t>
      </w:r>
    </w:p>
    <w:p>
      <w:pPr>
        <w:pStyle w:val="2"/>
        <w:ind w:firstLine="552"/>
        <w:rPr>
          <w:rFonts w:hint="eastAsia"/>
          <w:lang w:eastAsia="zh-CN"/>
        </w:rPr>
      </w:pPr>
      <w:r>
        <w:rPr>
          <w:rFonts w:hint="eastAsia"/>
          <w:b/>
          <w:bCs/>
        </w:rPr>
        <w:t>容器化环境：标准化运行底座搭建</w:t>
      </w:r>
      <w:r>
        <w:rPr>
          <w:rFonts w:hint="eastAsia"/>
          <w:lang w:eastAsia="zh-CN"/>
        </w:rPr>
        <w:t>。基于Docker与</w:t>
      </w:r>
      <w:r>
        <w:rPr>
          <w:rFonts w:hint="eastAsia"/>
          <w:lang w:val="en-US" w:eastAsia="zh-CN"/>
        </w:rPr>
        <w:t>C</w:t>
      </w:r>
      <w:r>
        <w:rPr>
          <w:rFonts w:hint="eastAsia"/>
          <w:lang w:eastAsia="zh-CN"/>
        </w:rPr>
        <w:t>onda构建“硬件-环境-工具”三层隔离的标准化运行环境，解决不同平台工具链依赖冲突问题，实现环境快速部署与复用，保障模型转换、推理测试的一致性。</w:t>
      </w:r>
    </w:p>
    <w:p>
      <w:pPr>
        <w:pStyle w:val="2"/>
        <w:ind w:firstLine="552"/>
        <w:rPr>
          <w:rFonts w:hint="eastAsia"/>
          <w:lang w:eastAsia="zh-CN"/>
        </w:rPr>
      </w:pPr>
    </w:p>
    <w:p>
      <w:pPr>
        <w:pStyle w:val="2"/>
        <w:ind w:firstLine="552"/>
        <w:rPr>
          <w:rFonts w:hint="eastAsia"/>
          <w:lang w:eastAsia="zh-CN"/>
        </w:rPr>
      </w:pPr>
      <w:r>
        <w:rPr>
          <w:rFonts w:hint="eastAsia"/>
          <w:lang w:eastAsia="zh-CN"/>
        </w:rPr>
        <w:t>Docker容器</w:t>
      </w:r>
      <w:r>
        <w:rPr>
          <w:rFonts w:hint="eastAsia"/>
          <w:lang w:val="en-US" w:eastAsia="zh-CN"/>
        </w:rPr>
        <w:t>或者Conda环境</w:t>
      </w:r>
      <w:r>
        <w:rPr>
          <w:rFonts w:hint="eastAsia"/>
          <w:lang w:eastAsia="zh-CN"/>
        </w:rPr>
        <w:t>部署：为4类目标平台分别构建专用Docker</w:t>
      </w:r>
      <w:r>
        <w:rPr>
          <w:rFonts w:hint="eastAsia"/>
          <w:lang w:val="en-US" w:eastAsia="zh-CN"/>
        </w:rPr>
        <w:t>容器或者Conda环境镜像</w:t>
      </w:r>
      <w:r>
        <w:rPr>
          <w:rFonts w:hint="eastAsia"/>
          <w:lang w:eastAsia="zh-CN"/>
        </w:rPr>
        <w:t>，内置转换工具链（如TensorRT 8.6、ATC 7.0、RKNN Toolkit 2.5、MagicMind 1.8）及基础依赖库（Python3.9、PyTorch2.0、TensorFlow2.12）。镜像采用分层构建策略，将基础系统层、驱动层、工具层分开打包，后续更新工具版本时仅需重构工具层。</w:t>
      </w:r>
    </w:p>
    <w:p>
      <w:pPr>
        <w:pStyle w:val="2"/>
        <w:ind w:firstLine="552"/>
        <w:rPr>
          <w:rFonts w:hint="eastAsia"/>
          <w:lang w:eastAsia="zh-CN"/>
        </w:rPr>
      </w:pPr>
      <w:r>
        <w:rPr>
          <w:rFonts w:hint="eastAsia"/>
          <w:lang w:val="en-US" w:eastAsia="zh-CN"/>
        </w:rPr>
        <w:t>C</w:t>
      </w:r>
      <w:r>
        <w:rPr>
          <w:rFonts w:hint="eastAsia"/>
          <w:lang w:eastAsia="zh-CN"/>
        </w:rPr>
        <w:t>onda虚拟环境隔离：针对不同模型类型（如目标检测、NLP大模型）创建专属Anaconda虚拟环境，实现Python依赖库的精细化隔离。例如，为自然语言大模型创建“nlp-env”环境，安装transformers、tokenizers等专用库；为目标检测模型创建“cv-env”环境，安装mmdetection、opencv-python等库。通过conda env export/import功能实现环境配置快速迁移，当新增硬件节点时，可直接导入已配置好的环境文件，避免重复安装依赖，环境迁移时间≤30分钟。同时，虚拟环境支持版本锁定（如指定torch==2.0.1），防止依赖库版本更新导致工具链兼容性问题。</w:t>
      </w:r>
    </w:p>
    <w:p>
      <w:pPr>
        <w:pStyle w:val="2"/>
        <w:ind w:firstLine="552"/>
        <w:rPr>
          <w:rFonts w:hint="eastAsia"/>
          <w:lang w:eastAsia="zh-CN"/>
        </w:rPr>
      </w:pPr>
      <w:r>
        <w:rPr>
          <w:rFonts w:hint="eastAsia"/>
          <w:lang w:eastAsia="zh-CN"/>
        </w:rPr>
        <w:t>环境一致性校验：开发环境校验脚本，每次容器启动时自动检查硬件驱动版本（如CUDA版本是否匹配TensorRT要求）、工具链路径（如ATC工具是否在系统环境变量中）、依赖库完整性（如是否缺少RKNN Toolkit依赖的libomp.so库），若存在异常则生成校验报告并提示修复方案（如 “CUDA版本不匹配，需升级至12.0”）。校验通过后，生成环境唯一标识（基于驱动+工具版本哈希计算），与模型转换任务关联存储，当后续出现转换失败时，可快速定位是否因环境版本差异导致，环境校验通过率≥99.5%。</w:t>
      </w:r>
    </w:p>
    <w:p>
      <w:pPr>
        <w:pStyle w:val="2"/>
        <w:ind w:firstLine="552"/>
        <w:rPr>
          <w:rFonts w:hint="eastAsia"/>
          <w:lang w:eastAsia="zh-CN"/>
        </w:rPr>
      </w:pPr>
      <w:r>
        <w:rPr>
          <w:rFonts w:hint="eastAsia"/>
          <w:b/>
          <w:bCs/>
          <w:lang w:eastAsia="zh-CN"/>
        </w:rPr>
        <w:t>异构硬件集群：4类平台算力部署</w:t>
      </w:r>
      <w:r>
        <w:rPr>
          <w:rFonts w:hint="eastAsia"/>
          <w:lang w:eastAsia="zh-CN"/>
        </w:rPr>
        <w:t>。围绕项目要求的4类目标平台，部署专用硬件设备形成分布式算力集群，每类平台配置“主测试节点+备用节点”，确保硬件故障时业务不中断，同时满足20类模型的跨平台转换与推理测试需求。</w:t>
      </w:r>
    </w:p>
    <w:p>
      <w:pPr>
        <w:pStyle w:val="2"/>
        <w:ind w:firstLine="552"/>
        <w:rPr>
          <w:rFonts w:hint="eastAsia"/>
          <w:lang w:eastAsia="zh-CN"/>
        </w:rPr>
      </w:pPr>
      <w:r>
        <w:rPr>
          <w:rFonts w:hint="eastAsia"/>
          <w:lang w:eastAsia="zh-CN"/>
        </w:rPr>
        <w:t>硬件网络部署：所有硬件节点接入试验场内网，采用10Gbps以太网交换机（华为CloudEngine S5735-S24T4X-A）实现节点间高速通信，模型文件传输速度≥500MB/s（大模型传输时间≤40秒/20GB）。为硬件节点分配固定IP地址（如华为昇腾节点段：192.168.1.100-120，瑞芯微节点段：192.168.1.121-140），通过DHCP静态绑定确保IP不漂移，同时配置防火墙规则，仅允许应用服务层服务器（IP：192.168.1.50）访问硬件节点的SSH（22端口）、推理服务（5000端口），禁止外部网络直接访问，保障硬件安全。</w:t>
      </w:r>
    </w:p>
    <w:p>
      <w:pPr>
        <w:pStyle w:val="2"/>
        <w:ind w:firstLine="552"/>
        <w:rPr>
          <w:rFonts w:hint="eastAsia"/>
          <w:lang w:eastAsia="zh-CN"/>
        </w:rPr>
      </w:pPr>
      <w:r>
        <w:rPr>
          <w:rFonts w:hint="eastAsia"/>
          <w:b/>
          <w:bCs/>
          <w:lang w:eastAsia="zh-CN"/>
        </w:rPr>
        <w:t>硬件监控与调度：算力高效管理</w:t>
      </w:r>
      <w:r>
        <w:rPr>
          <w:rFonts w:hint="eastAsia"/>
          <w:lang w:eastAsia="zh-CN"/>
        </w:rPr>
        <w:t>。开发硬件监控与调度系统，实时采集硬件状态，确保硬件集群高效、稳定运行，支撑多任务并发处理。</w:t>
      </w:r>
    </w:p>
    <w:p>
      <w:pPr>
        <w:pStyle w:val="2"/>
        <w:ind w:firstLine="552"/>
        <w:rPr>
          <w:rFonts w:hint="eastAsia"/>
          <w:lang w:eastAsia="zh-CN"/>
        </w:rPr>
      </w:pPr>
      <w:r>
        <w:rPr>
          <w:rFonts w:hint="eastAsia"/>
          <w:lang w:eastAsia="zh-CN"/>
        </w:rPr>
        <w:t>实时监控模块：基于Prometheus+Grafana构建硬件监控面板，每10秒采集一次硬件指标，覆盖CPU利用率、内存/显存占用率、磁盘空间、网络带宽、NPU/GPU温度等核心参数。针对不同硬件类型定制监控指标：如英伟达GPU新增“Tensor Core利用率”“显存带宽占用”；华为昇腾NPU新增“算子执行效率”“AICore利用率”；瑞芯微NPU新增“NPU负载百分比”“数据吞吐量”。监控面板支持按平台分组查看（如单独展示所有瑞芯微节点状态）、异常指标告警（如GPU温度超过85℃时触发邮件告警，内存利用率超过90%时触发短信告警），告警响应时间≤1分钟，同时支持历史数据查询（保留30天监控数据），可生成硬件利用率趋势图（如某节点一周内CPU平均利用率），辅助算力资源优化。</w:t>
      </w:r>
    </w:p>
    <w:p>
      <w:pPr>
        <w:pStyle w:val="2"/>
        <w:ind w:firstLine="552"/>
        <w:rPr>
          <w:rFonts w:hint="eastAsia"/>
          <w:lang w:eastAsia="zh-CN"/>
        </w:rPr>
      </w:pPr>
      <w:r>
        <w:rPr>
          <w:rFonts w:hint="eastAsia"/>
          <w:b/>
          <w:bCs/>
          <w:lang w:eastAsia="zh-CN"/>
        </w:rPr>
        <w:t>硬件验证适配：跨平台兼容性保障</w:t>
      </w:r>
      <w:r>
        <w:rPr>
          <w:rFonts w:hint="eastAsia"/>
          <w:lang w:eastAsia="zh-CN"/>
        </w:rPr>
        <w:t>。针对4类平台的硬件特性，开发专用适配插件与验证脚本，确保20类模型在不同硬件上的转换兼容性与推理正确性，同时优化算子调用逻辑提升性能。</w:t>
      </w:r>
    </w:p>
    <w:p>
      <w:pPr>
        <w:pStyle w:val="2"/>
        <w:ind w:firstLine="552"/>
        <w:rPr>
          <w:rFonts w:hint="eastAsia"/>
          <w:lang w:eastAsia="zh-CN"/>
        </w:rPr>
      </w:pPr>
      <w:r>
        <w:rPr>
          <w:rFonts w:hint="eastAsia"/>
          <w:lang w:eastAsia="zh-CN"/>
        </w:rPr>
        <w:t>平台专用适配插件：为每类平台开发模型转换适配插件，解决硬件算子不兼容、数据格式不匹配问题。华为昇腾插件：针对Ascend NPU不支持的TensorFlow “Unique”算子，开发“Sort+Deduplicate”算子替换逻辑；优化数据排布（将ONNX的NCHW格式转为昇腾高效的NHWC格式），提升算子执行效率。瑞芯微插件：针对RK3588 NPU对大kernel卷积（如11×11）支持不足的问题，开发卷积拆分算法（将11×11拆分为3×3+3×3+5×5）；支持INT8量化校准数据自动生成（基于测试集抽样100张图像），减少量化精度损失。英伟达插件：利用TensorRT的Plugin机制，自定义YOLO检测头算子，将检测头的“卷积+激活+解码”流程融合为单个算子，推理速度提升30%；支持动态形状推理（如输入图像尺寸从640×640动态调整为320×320），适配不同场景需求。寒武纪插件：针对思元NPU的算子调度特性，优化Transformer层的注意力计算顺序（将多头注意力并行计算改为串行调度），减少内存占用；支持模型分片加载（将超过NPU显存的大模型拆分为多段，分段加载执行），实现30GB大模型在16GB显存节点上的推理。</w:t>
      </w:r>
    </w:p>
    <w:p>
      <w:pPr>
        <w:pStyle w:val="2"/>
        <w:ind w:firstLine="552"/>
        <w:rPr>
          <w:rFonts w:hint="eastAsia"/>
          <w:lang w:eastAsia="zh-CN"/>
        </w:rPr>
      </w:pPr>
      <w:r>
        <w:rPr>
          <w:rFonts w:hint="eastAsia"/>
          <w:lang w:eastAsia="zh-CN"/>
        </w:rPr>
        <w:t>硬件验证脚本库：针对20类模型开发标准化验证脚本，覆盖功能验证、性能测试、精度对比三类场景。功能验证脚本：加载转换后模型，输入标准测试数据（如COCO验证集图像、GLUE文本数据），检查是否输出合法结果（如目标检测模型输出bounding box坐标在0-1范围内，分类模型输出概率和为1），若输出异常则定位错误算子（如“Conv2d算子输出NaN”）并生成错误日志。性能测试脚本：执行100轮推理，采集单轮推理延迟（取平均值）、硬件资源占用峰值，生成性能报告（如“YOLO在RK3588上INT8推理延迟20ms”），同时对比不同精度模式（FP32/FP16/INT8）的性能差异。精度对比脚本：以英伟达RTX 4090（FP32精度）的推理结果为基准，计算其他平台的精度损失（目标检测用mAP差值，分类用Top-1 Accuracy差值，NLP用GLUE Score差值），若损失超过预设阈值（默认</w:t>
      </w:r>
      <w:r>
        <w:rPr>
          <w:rFonts w:hint="eastAsia"/>
          <w:lang w:val="en-US" w:eastAsia="zh-CN"/>
        </w:rPr>
        <w:t>10</w:t>
      </w:r>
      <w:r>
        <w:rPr>
          <w:rFonts w:hint="eastAsia"/>
          <w:lang w:eastAsia="zh-CN"/>
        </w:rPr>
        <w:t>%），则</w:t>
      </w:r>
      <w:r>
        <w:rPr>
          <w:rFonts w:hint="eastAsia"/>
          <w:lang w:val="en-US" w:eastAsia="zh-CN"/>
        </w:rPr>
        <w:t>可以</w:t>
      </w:r>
      <w:r>
        <w:rPr>
          <w:rFonts w:hint="eastAsia"/>
          <w:lang w:eastAsia="zh-CN"/>
        </w:rPr>
        <w:t>调整转换参数（如降低量化精度、更换算子映射规则）并重新验证，精度达标率≥9</w:t>
      </w:r>
      <w:r>
        <w:rPr>
          <w:rFonts w:hint="eastAsia"/>
          <w:lang w:val="en-US" w:eastAsia="zh-CN"/>
        </w:rPr>
        <w:t>0</w:t>
      </w:r>
      <w:r>
        <w:rPr>
          <w:rFonts w:hint="eastAsia"/>
          <w:lang w:eastAsia="zh-CN"/>
        </w:rPr>
        <w:t>%（针对20类目标模型）。</w:t>
      </w:r>
    </w:p>
    <w:p>
      <w:pPr>
        <w:pStyle w:val="2"/>
        <w:ind w:firstLine="552"/>
        <w:rPr>
          <w:rFonts w:hint="eastAsia"/>
          <w:lang w:eastAsia="zh-CN"/>
        </w:rPr>
      </w:pPr>
      <w:r>
        <w:rPr>
          <w:rFonts w:hint="eastAsia"/>
          <w:lang w:eastAsia="zh-CN"/>
        </w:rPr>
        <w:t>硬件特性优化：结合各平台硬件优势，针对性优化模型推理性能。华为昇腾：利用Ascend NPU的AICore并行计算能力，将模型的卷积、池化等算子拆解为并行任务，提升计算效率；开启昇腾的“异构计算架构”，实现CPU与NPU的数据流水线传输，减少数据等待时间。瑞芯微：针对RK3588的Arm架构特性，采用NEON指令集优化模型前处理（如图像Resize、归一化），前处理速度提升40%；关闭非必要的后台服务（如图形界面），释放CPU资源用于模型推理。英伟达：利用TensorRT的混合精度计算，在FP16精度下保留关键层（如检测头）的FP32计算，平衡性能与精度；开启GPU的“持久化模式”，避免每次推理重新初始化GPU上下文，减少启动延迟。寒武纪：利用思元NPU的“张量压缩”技术，对模型权重进行压缩存储（如FP16转FP8），减少显存占用；优化NPU与内存的数据交互频率（如批量读取输入数据），降低数据传输开销。优化后，各平台模型推理性能较基础转换提升20%-50%，满足试验场调试机的实时性需求。</w:t>
      </w:r>
    </w:p>
    <w:p>
      <w:pPr>
        <w:numPr>
          <w:ilvl w:val="0"/>
          <w:numId w:val="8"/>
        </w:numPr>
        <w:outlineLvl w:val="2"/>
        <w:rPr>
          <w:sz w:val="32"/>
          <w:szCs w:val="32"/>
        </w:rPr>
      </w:pPr>
      <w:bookmarkStart w:id="51" w:name="_Toc1623960546"/>
      <w:r>
        <w:rPr>
          <w:rFonts w:hint="eastAsia" w:ascii="仿宋_GB2312" w:eastAsia="仿宋_GB2312"/>
          <w:sz w:val="32"/>
          <w:szCs w:val="32"/>
          <w:lang w:val="en-US" w:eastAsia="zh-CN"/>
        </w:rPr>
        <w:t>基础功能——</w:t>
      </w:r>
      <w:r>
        <w:rPr>
          <w:rFonts w:hint="eastAsia"/>
          <w:sz w:val="32"/>
          <w:szCs w:val="32"/>
        </w:rPr>
        <w:t>模型管理</w:t>
      </w:r>
      <w:bookmarkEnd w:id="51"/>
    </w:p>
    <w:p>
      <w:pPr>
        <w:pStyle w:val="2"/>
        <w:ind w:firstLine="552"/>
      </w:pPr>
      <w:r>
        <w:rPr>
          <w:rFonts w:hint="eastAsia"/>
        </w:rPr>
        <w:t>模型管理作为系统核心基础功能，覆盖智能模型从“接入-维护-版本控制-存储-检索”的全生命周期管理，需兼容主流光模块及交换机</w:t>
      </w:r>
      <w:r>
        <w:rPr>
          <w:rFonts w:hint="eastAsia"/>
          <w:lang w:eastAsia="zh-CN"/>
        </w:rPr>
        <w:t>（</w:t>
      </w:r>
      <w:r>
        <w:rPr>
          <w:rFonts w:hint="eastAsia"/>
          <w:lang w:val="en-US" w:eastAsia="zh-CN"/>
        </w:rPr>
        <w:t>网络传输基础能力不是本项目重点</w:t>
      </w:r>
      <w:r>
        <w:rPr>
          <w:rFonts w:hint="eastAsia"/>
          <w:lang w:eastAsia="zh-CN"/>
        </w:rPr>
        <w:t>）</w:t>
      </w:r>
      <w:r>
        <w:rPr>
          <w:rFonts w:hint="eastAsia"/>
        </w:rPr>
        <w:t>，同时满足20类智能模型（目标检测/分类/跟踪/NLP大模型）的高效管理需求，为后续跨平台转换、可视化展示提供标准化模型数据源。</w:t>
      </w:r>
    </w:p>
    <w:p>
      <w:pPr>
        <w:numPr>
          <w:ilvl w:val="1"/>
          <w:numId w:val="8"/>
        </w:numPr>
        <w:outlineLvl w:val="3"/>
      </w:pPr>
      <w:r>
        <w:rPr>
          <w:rFonts w:hint="eastAsia"/>
        </w:rPr>
        <w:t>功能描述：全流程模型管控能力</w:t>
      </w:r>
    </w:p>
    <w:p>
      <w:pPr>
        <w:pStyle w:val="2"/>
        <w:ind w:firstLine="552"/>
        <w:rPr>
          <w:rFonts w:hint="eastAsia"/>
        </w:rPr>
      </w:pPr>
      <w:r>
        <w:rPr>
          <w:rFonts w:hint="eastAsia"/>
        </w:rPr>
        <w:t>模型管理功能围绕试验场调试机场景下的模型使用需求，构建“接入-维护-版本-存储-检索”五大核心能力，确保模型数据的完整性、可追溯性与易用性。</w:t>
      </w:r>
    </w:p>
    <w:p>
      <w:pPr>
        <w:pStyle w:val="2"/>
        <w:ind w:firstLine="552"/>
        <w:rPr>
          <w:rFonts w:hint="eastAsia"/>
        </w:rPr>
      </w:pPr>
      <w:r>
        <w:rPr>
          <w:rFonts w:hint="eastAsia"/>
        </w:rPr>
        <w:t>模型接入：支持多渠道、多格式模型文件接入，适配试验场本地调试机与内网环境。本地接入支持通过浏览器拖拽上传、点击选择文件两种方式，兼容PyTorch（.pth/.pt）、TensorFlow（.pb/.saved_model/.h5）、ONNX（.onnx）、TensorFlow Lite（.tflite）等原生格式，单次上传支持多文件批量导入（最多10个文件），单个文件最大支持</w:t>
      </w:r>
      <w:r>
        <w:rPr>
          <w:rFonts w:hint="eastAsia"/>
          <w:lang w:val="en-US" w:eastAsia="zh-CN"/>
        </w:rPr>
        <w:t>2</w:t>
      </w:r>
      <w:r>
        <w:rPr>
          <w:rFonts w:hint="eastAsia"/>
        </w:rPr>
        <w:t>GB；内网接入支持从试验场文件服务器（如华为OceanStor）通过路径映射直接读取模型文件，无需重复上传，适配25G组网环境下的高速数据传输（传输速率≥2GB/s，1GB模型文件读取时间≤0.5秒）。上传过程中自动触发格式校验（如检测文件后缀、解析文件头部标识），若格式不支持则实时提示“当前文件格式为.xlsx，仅支持.pth/.pb/.onnx等格式”，并列出支持的格式清单，降低操作失误率。</w:t>
      </w:r>
    </w:p>
    <w:p>
      <w:pPr>
        <w:pStyle w:val="2"/>
        <w:ind w:firstLine="552"/>
        <w:rPr>
          <w:rFonts w:hint="eastAsia"/>
        </w:rPr>
      </w:pPr>
      <w:r>
        <w:rPr>
          <w:rFonts w:hint="eastAsia"/>
        </w:rPr>
        <w:t>模型信息维护：提供精细化模型元数据编辑与补充功能，确保模型信息完整可追溯。上传后自动解析模型基础信息（如模型名称、文件大小、源框架、输入输出维度、算子数量），用户可补充业务属性信息：模型类型（目标检测/目标分类/目标跟踪/自然语言大模型）、训练数据集（如COCO2017/ImageNet/GLUE）、精度指标（如mAP值、Top-1准确率、BLEU分数）、适用场景（如安防监控/智能质检/文本生成）、备注说明（如“2024年3月训练，适用于小目标检测”）。支持信息批量编辑（选中多个同类型模型统一修改“适用场景”），编辑后自动同步至数据存储层的模型元数据表（model_meta），并生成修改日志（记录修改人、修改时间、修改前后内容），便于后续追溯信息变更历史。</w:t>
      </w:r>
    </w:p>
    <w:p>
      <w:pPr>
        <w:pStyle w:val="2"/>
        <w:ind w:firstLine="552"/>
        <w:rPr>
          <w:rFonts w:hint="eastAsia"/>
        </w:rPr>
      </w:pPr>
      <w:r>
        <w:rPr>
          <w:rFonts w:hint="eastAsia"/>
        </w:rPr>
        <w:t>模型版本控制：实现模型迭代过程的版本化管理，避免版本混乱。当同一模型（通过模型名称+</w:t>
      </w:r>
      <w:r>
        <w:rPr>
          <w:rFonts w:hint="eastAsia"/>
          <w:lang w:val="en-US" w:eastAsia="zh-CN"/>
        </w:rPr>
        <w:t>MD5</w:t>
      </w:r>
      <w:r>
        <w:rPr>
          <w:rFonts w:hint="eastAsia"/>
        </w:rPr>
        <w:t>值联合判定）再次上传时，系统自动识别为新版本，生成连续版本号（如V1.0→V2.0），并关联历史版本（显示“基于V1.0更新”）。每个版本保留完整元数据（含该版本的训练数据、精度指标）与对应的模型文件，支持版本回溯（如从V3.0回退至V2.0进行转换测试）、版本对比（可视化展示不同版本的输入输出维度、算子数量、精度指标差异，如“V2.0比V1.0算子数量减少20%，mAP提升3%”）。版本生命周期支持手动标记（如“当前版本V2.0为生产版本，V1.0为历史版本”），系统默认保留最近10个版本，超过数量的历史版本可手动归档至冷存储（MinIO归档桶），节省热存储资源。</w:t>
      </w:r>
    </w:p>
    <w:p>
      <w:pPr>
        <w:pStyle w:val="2"/>
        <w:ind w:firstLine="552"/>
        <w:rPr>
          <w:rFonts w:hint="eastAsia"/>
        </w:rPr>
      </w:pPr>
      <w:r>
        <w:rPr>
          <w:rFonts w:hint="eastAsia"/>
        </w:rPr>
        <w:t>模型存储管理：基于混合存储架构实现模型文件的安全存储与高效管理，适配多光模块兼容需求。模型物理文件存储于MinIO分布式对象存储的“raw-model”桶，按“用户ID/上传日期（年-月-日）/模型名称-版本”路径结构化存储（如“user001/2024-05-20/yolov8-v1.0.pth”），支持文件权限控制（仅上传者与管理员可修改/删除，其他用户仅可查看）；模型元数据存储于MySQL的model_meta表，通过“模型ID”与MinIO文件路径关联，确保元数据与物理文件一一对应。针对重复上传的模型（哈希值已存在），系统自动复用已有物理文件，仅新增版本元数据，避免存储空间浪费（经测试，重复上传率达30%时，可节省25%存储资源）。</w:t>
      </w:r>
      <w:r>
        <w:rPr>
          <w:rFonts w:hint="eastAsia"/>
          <w:lang w:val="en-US" w:eastAsia="zh-CN"/>
        </w:rPr>
        <w:t>模型文件备份暂时不考虑，但基于MinIO的分布式存储，后续如果使用规模扩大，数据安全要求提高，可以扩展为冗余备份模式，水平扩展为3节点模式，</w:t>
      </w:r>
      <w:r>
        <w:rPr>
          <w:rFonts w:hint="eastAsia"/>
        </w:rPr>
        <w:t>保障数据安全性。</w:t>
      </w:r>
    </w:p>
    <w:p>
      <w:pPr>
        <w:pStyle w:val="2"/>
        <w:ind w:firstLine="552"/>
      </w:pPr>
      <w:r>
        <w:rPr>
          <w:rFonts w:hint="eastAsia"/>
        </w:rPr>
        <w:t>模型检索与筛选：提供多维度快速检索功能，提升模型查找效率。支持精准检索（输入模型名称/模型ID精确匹配）、模糊检索（输入关键词如“yolo”，匹配所有含“yolo”的模型）、高级筛选（按模型类型、源框架、上传时间、精度指标等组合条件筛选，如“目标检测+PyTorch框架+2024年5月后上传+mAP≥0.85”）。检索结果以列表形式展示，包含模型名称、版本号、类型、精度指标、上传时间等关键信息，支持按“上传时间（降序/升序）”“精度指标（降序）”排序，列表支持分页（每页10/20/50条可选）。针对常用模型，支持“收藏”功能（点击星标标记），收藏模型在“我的收藏”列表置顶展示，减少重复检索操作，平均模型查找时间从30秒缩短至5秒以内。​</w:t>
      </w:r>
    </w:p>
    <w:p>
      <w:pPr>
        <w:numPr>
          <w:ilvl w:val="1"/>
          <w:numId w:val="8"/>
        </w:numPr>
        <w:outlineLvl w:val="3"/>
      </w:pPr>
      <w:r>
        <w:rPr>
          <w:rFonts w:hint="eastAsia"/>
        </w:rPr>
        <w:t>技术实现方案：高兼容、高可靠的技术架构</w:t>
      </w:r>
    </w:p>
    <w:p>
      <w:pPr>
        <w:pStyle w:val="2"/>
        <w:ind w:firstLine="552"/>
        <w:rPr>
          <w:rFonts w:hint="eastAsia"/>
        </w:rPr>
      </w:pPr>
      <w:r>
        <w:rPr>
          <w:rFonts w:hint="eastAsia"/>
        </w:rPr>
        <w:t>围绕“多光模块兼容、25G组网稳定、全生命周期管理”需求，采用分层技术架构实现模型管理功能，覆盖前端交互、后端服务、数据存储、兼容性适配四大层面，确保功能稳定与性能达标。</w:t>
      </w:r>
    </w:p>
    <w:p>
      <w:pPr>
        <w:pStyle w:val="2"/>
        <w:ind w:firstLine="552"/>
        <w:rPr>
          <w:rFonts w:hint="eastAsia"/>
        </w:rPr>
      </w:pPr>
      <w:r>
        <w:rPr>
          <w:rFonts w:hint="eastAsia"/>
        </w:rPr>
        <w:t>前端交互层：易用性与兼容性设计</w:t>
      </w:r>
    </w:p>
    <w:p>
      <w:pPr>
        <w:pStyle w:val="2"/>
        <w:ind w:firstLine="552"/>
        <w:rPr>
          <w:rFonts w:hint="eastAsia"/>
        </w:rPr>
      </w:pPr>
      <w:r>
        <w:rPr>
          <w:rFonts w:hint="eastAsia"/>
        </w:rPr>
        <w:t>基于Vue3+Element Plus构建响应式界面，适配试验场调试机的1920×1080分辨率，支持Chrome/Edge/Firefox主流浏览器（版本≥90.0），界面操作支持键盘快捷键（如Ctrl+U快速上传、Ctrl+F快速检索），提升操作效率。</w:t>
      </w:r>
    </w:p>
    <w:p>
      <w:pPr>
        <w:pStyle w:val="2"/>
        <w:ind w:firstLine="552"/>
        <w:rPr>
          <w:rFonts w:hint="eastAsia"/>
        </w:rPr>
      </w:pPr>
      <w:r>
        <w:rPr>
          <w:rFonts w:hint="eastAsia"/>
        </w:rPr>
        <w:t>模型上传采用分片上传技术（基于WebUploader组件），将大文件（如5GB NLP模型）拆分为</w:t>
      </w:r>
      <w:r>
        <w:rPr>
          <w:rFonts w:hint="eastAsia"/>
          <w:lang w:val="en-US" w:eastAsia="zh-CN"/>
        </w:rPr>
        <w:t>5</w:t>
      </w:r>
      <w:r>
        <w:rPr>
          <w:rFonts w:hint="eastAsia"/>
        </w:rPr>
        <w:t>MB/片，通过25G组网环境实现并行传输，同时支持断点续传（网络中断后重新连接可从上次中断分片继续上传），上传成功率≥99.9%。上传进度实时展示（进度条+百分比+剩余时间），上传完成后弹出“上传成功”提示，并自动跳转至模型信息编辑页面。</w:t>
      </w:r>
    </w:p>
    <w:p>
      <w:pPr>
        <w:pStyle w:val="2"/>
        <w:ind w:firstLine="552"/>
        <w:rPr>
          <w:rFonts w:hint="eastAsia"/>
        </w:rPr>
      </w:pPr>
      <w:r>
        <w:rPr>
          <w:rFonts w:hint="eastAsia"/>
        </w:rPr>
        <w:t>模型检索功能采用“前端预筛选+后端精准查询”结合方式：前端缓存最近30天的检索历史与常用筛选条件，用户输入关键词时先在前端预匹配，若匹配结果不足再发起后端查询；结果通过WebSocket</w:t>
      </w:r>
      <w:r>
        <w:rPr>
          <w:rFonts w:hint="eastAsia"/>
          <w:lang w:val="en-US" w:eastAsia="zh-CN"/>
        </w:rPr>
        <w:t>或者前端轮询</w:t>
      </w:r>
      <w:r>
        <w:rPr>
          <w:rFonts w:hint="eastAsia"/>
        </w:rPr>
        <w:t>实时推送到前端，避免页面刷新，提升交互流畅度。</w:t>
      </w:r>
    </w:p>
    <w:p>
      <w:pPr>
        <w:pStyle w:val="2"/>
        <w:ind w:firstLine="552"/>
        <w:rPr>
          <w:rFonts w:hint="eastAsia"/>
        </w:rPr>
      </w:pPr>
      <w:r>
        <w:rPr>
          <w:rFonts w:hint="eastAsia"/>
        </w:rPr>
        <w:t>后端服务层：高可用的业务逻辑支撑</w:t>
      </w:r>
    </w:p>
    <w:p>
      <w:pPr>
        <w:pStyle w:val="2"/>
        <w:ind w:firstLine="552"/>
        <w:rPr>
          <w:rFonts w:hint="eastAsia"/>
        </w:rPr>
      </w:pPr>
      <w:r>
        <w:rPr>
          <w:rFonts w:hint="eastAsia"/>
          <w:lang w:val="en-US" w:eastAsia="zh-CN"/>
        </w:rPr>
        <w:t>基于成熟框架</w:t>
      </w:r>
      <w:r>
        <w:rPr>
          <w:rFonts w:hint="eastAsia"/>
        </w:rPr>
        <w:t>构建微服务接口，采用RESTful风格设计模型管理API（如POST/api/model/upload上传模型、GET/api/model/list查询模型列表、PUT/api/model/info更新模型信息），接口支持HTTPS加密传输（基于TLS1.2协议），保障数据传输安全。</w:t>
      </w:r>
    </w:p>
    <w:p>
      <w:pPr>
        <w:pStyle w:val="2"/>
        <w:ind w:firstLine="552"/>
        <w:rPr>
          <w:rFonts w:hint="eastAsia"/>
        </w:rPr>
      </w:pPr>
      <w:r>
        <w:rPr>
          <w:rFonts w:hint="eastAsia"/>
        </w:rPr>
        <w:t>模型解析服务集成Netron核心解析引擎与ONNX Runtime解析工具，实现多格式模型元数据提取：对于PyTorch/TensorFlow模型，通过加载模型权重文件解析输入输出维度、算子类型；对于ONNX模型，直接解析ONNX ProtoBuf结构获取模型信息，解析成功率≥99.5%（覆盖20类目标模型）。解析过程采用异步处理（基于RabbitMQ消息队列），避免大模型解析阻塞主线程，解析耗时≤3秒（1GB模型）。</w:t>
      </w:r>
    </w:p>
    <w:p>
      <w:pPr>
        <w:pStyle w:val="2"/>
        <w:ind w:firstLine="552"/>
        <w:rPr>
          <w:rFonts w:hint="eastAsia"/>
        </w:rPr>
      </w:pPr>
      <w:r>
        <w:rPr>
          <w:rFonts w:hint="eastAsia"/>
        </w:rPr>
        <w:t>版本控制服务基于“模型唯一标识+版本号”机制实现：通过</w:t>
      </w:r>
      <w:r>
        <w:rPr>
          <w:rFonts w:hint="eastAsia"/>
          <w:lang w:val="en-US" w:eastAsia="zh-CN"/>
        </w:rPr>
        <w:t>MD5</w:t>
      </w:r>
      <w:r>
        <w:rPr>
          <w:rFonts w:hint="eastAsia"/>
        </w:rPr>
        <w:t>算法计算模型文件哈希值，结合模型名称生成唯一标识（如“yolov8_7a3f2d”），同一唯一标识的模型视为同一基础模型，再次上传时自动递增版本号（如V1.0→V2.0）。版本关联关系存储于MySQL的model_version表，通过“基础模型ID”关联所有版本，支持高效的版本回溯与对比查询。</w:t>
      </w:r>
    </w:p>
    <w:p>
      <w:pPr>
        <w:pStyle w:val="2"/>
        <w:ind w:firstLine="552"/>
        <w:rPr>
          <w:rFonts w:hint="eastAsia"/>
        </w:rPr>
      </w:pPr>
      <w:r>
        <w:rPr>
          <w:rFonts w:hint="eastAsia"/>
        </w:rPr>
        <w:t>数据存储层：混合存储与安全保障</w:t>
      </w:r>
    </w:p>
    <w:p>
      <w:pPr>
        <w:pStyle w:val="2"/>
        <w:ind w:firstLine="552"/>
        <w:rPr>
          <w:rFonts w:hint="eastAsia"/>
        </w:rPr>
      </w:pPr>
      <w:r>
        <w:rPr>
          <w:rFonts w:hint="eastAsia"/>
        </w:rPr>
        <w:t>模型文件存储采用MinIO分布式对象存储，</w:t>
      </w:r>
      <w:r>
        <w:rPr>
          <w:rFonts w:hint="eastAsia"/>
          <w:lang w:val="en-US" w:eastAsia="zh-CN"/>
        </w:rPr>
        <w:t>本项目</w:t>
      </w:r>
      <w:r>
        <w:rPr>
          <w:rFonts w:hint="eastAsia"/>
        </w:rPr>
        <w:t>部署</w:t>
      </w:r>
      <w:r>
        <w:rPr>
          <w:rFonts w:hint="eastAsia"/>
          <w:lang w:val="en-US" w:eastAsia="zh-CN"/>
        </w:rPr>
        <w:t>单节点即可（可支持</w:t>
      </w:r>
      <w:r>
        <w:rPr>
          <w:rFonts w:hint="eastAsia"/>
        </w:rPr>
        <w:t>3节点集群1主2从</w:t>
      </w:r>
      <w:r>
        <w:rPr>
          <w:rFonts w:hint="eastAsia"/>
          <w:lang w:val="en-US" w:eastAsia="zh-CN"/>
        </w:rPr>
        <w:t>扩展</w:t>
      </w:r>
      <w:r>
        <w:rPr>
          <w:rFonts w:hint="eastAsia"/>
        </w:rPr>
        <w:t>，支持数据冗余备份</w:t>
      </w:r>
      <w:r>
        <w:rPr>
          <w:rFonts w:hint="eastAsia"/>
          <w:lang w:eastAsia="zh-CN"/>
        </w:rPr>
        <w:t>，</w:t>
      </w:r>
      <w:r>
        <w:rPr>
          <w:rFonts w:hint="eastAsia"/>
        </w:rPr>
        <w:t>每份文件保存3个副本</w:t>
      </w:r>
      <w:r>
        <w:rPr>
          <w:rFonts w:hint="eastAsia"/>
          <w:lang w:eastAsia="zh-CN"/>
        </w:rPr>
        <w:t>）</w:t>
      </w:r>
      <w:r>
        <w:rPr>
          <w:rFonts w:hint="eastAsia"/>
        </w:rPr>
        <w:t>，适配多光模块兼容需求。MinIO桶策略配置为“私有访问”，仅通过后端服务的访问密钥（Access Key/Secret Key）授权访问，防止未授权下载。</w:t>
      </w:r>
    </w:p>
    <w:p>
      <w:pPr>
        <w:pStyle w:val="2"/>
        <w:ind w:firstLine="552"/>
        <w:rPr>
          <w:rFonts w:hint="eastAsia"/>
        </w:rPr>
      </w:pPr>
      <w:r>
        <w:rPr>
          <w:rFonts w:hint="eastAsia"/>
        </w:rPr>
        <w:t>模型元数据与版本信息存储于MySQL数据库，采用“分表分索引”优化性能：model_meta表按“上传日期”分表（每月1张表），减少单表数据量；建立“模型名称+哈希值”联合唯一索引（防止重复基础模型）、“模型类型+上传时间”联合索引（优化筛选查询），查询耗时≤50ms。</w:t>
      </w:r>
    </w:p>
    <w:p>
      <w:pPr>
        <w:pStyle w:val="2"/>
        <w:ind w:firstLine="552"/>
        <w:rPr>
          <w:rFonts w:hint="eastAsia"/>
        </w:rPr>
      </w:pPr>
      <w:r>
        <w:rPr>
          <w:rFonts w:hint="eastAsia"/>
        </w:rPr>
        <w:t>数据安全保障：模型文件上传后自动生成访问令牌（基于UUID），令牌有效期24小时，用户下载时需验证令牌有效性；数据库中敏感信息（如模型训练数据集路径）采用AES-256加密存储，解密密钥通过配置中心动态管理，避免密钥硬编码；所有操作日志（上传/编辑/删除/下载）记录至MySQL的model_operation_log表，包含操作人、操作时间、IP地址、操作内容，日志</w:t>
      </w:r>
      <w:r>
        <w:rPr>
          <w:rFonts w:hint="eastAsia"/>
          <w:lang w:val="en-US" w:eastAsia="zh-CN"/>
        </w:rPr>
        <w:t>永久保留</w:t>
      </w:r>
      <w:r>
        <w:rPr>
          <w:rFonts w:hint="eastAsia"/>
        </w:rPr>
        <w:t>，便于安全审计。</w:t>
      </w:r>
    </w:p>
    <w:p>
      <w:pPr>
        <w:pStyle w:val="2"/>
        <w:ind w:firstLine="552"/>
        <w:rPr>
          <w:rFonts w:hint="eastAsia"/>
        </w:rPr>
      </w:pPr>
      <w:r>
        <w:rPr>
          <w:rFonts w:hint="eastAsia"/>
        </w:rPr>
        <w:t>兼容性适配层：25G组网与多光模块兼容</w:t>
      </w:r>
      <w:r>
        <w:rPr>
          <w:rFonts w:hint="eastAsia"/>
          <w:lang w:eastAsia="zh-CN"/>
        </w:rPr>
        <w:t>。</w:t>
      </w:r>
      <w:r>
        <w:rPr>
          <w:rFonts w:hint="eastAsia"/>
          <w:lang w:val="en-US" w:eastAsia="zh-CN"/>
        </w:rPr>
        <w:t>应用系统不验证网络传输层适配性，由甲方保证网络传输层性能和稳定性</w:t>
      </w:r>
      <w:r>
        <w:rPr>
          <w:rFonts w:hint="eastAsia"/>
        </w:rPr>
        <w:t>。</w:t>
      </w:r>
    </w:p>
    <w:p>
      <w:pPr>
        <w:pStyle w:val="2"/>
        <w:ind w:firstLine="552"/>
        <w:rPr>
          <w:rFonts w:hint="eastAsia"/>
        </w:rPr>
      </w:pPr>
      <w:r>
        <w:rPr>
          <w:rFonts w:hint="eastAsia"/>
        </w:rPr>
        <w:t>性能优化与监控</w:t>
      </w:r>
    </w:p>
    <w:p>
      <w:pPr>
        <w:pStyle w:val="2"/>
        <w:ind w:firstLine="552"/>
        <w:rPr>
          <w:rFonts w:hint="eastAsia"/>
        </w:rPr>
      </w:pPr>
      <w:r>
        <w:rPr>
          <w:rFonts w:hint="eastAsia"/>
        </w:rPr>
        <w:t>采用Redis缓存高频访问数据：将最近7天的热门模型元数据（如访问量Top20的模型）、用户检索历史、常用筛选条件缓存至Redis，缓存有效期24小时，缓存命中率≥90%，减少MySQL查询压力（MySQL查询量降低60%）。</w:t>
      </w:r>
    </w:p>
    <w:p>
      <w:pPr>
        <w:pStyle w:val="2"/>
        <w:ind w:firstLine="552"/>
        <w:rPr>
          <w:rFonts w:hint="eastAsia"/>
        </w:rPr>
      </w:pPr>
      <w:r>
        <w:rPr>
          <w:rFonts w:hint="eastAsia"/>
        </w:rPr>
        <w:t>部署Prometheus+Grafana监控模型管理服务性能：监控指标包括API接口响应时间（目标≤300ms）、模型解析成功率（目标≥99.5%）、文件上传速率（目标≥2GB/s）、数据库查询耗时（目标≤50ms），设置阈值告警（如接口响应时间超过500ms时发送邮件告警），确保服务稳定运行。</w:t>
      </w:r>
    </w:p>
    <w:p>
      <w:pPr>
        <w:numPr>
          <w:ilvl w:val="0"/>
          <w:numId w:val="8"/>
        </w:numPr>
        <w:outlineLvl w:val="2"/>
        <w:rPr>
          <w:sz w:val="32"/>
          <w:szCs w:val="32"/>
        </w:rPr>
      </w:pPr>
      <w:bookmarkStart w:id="52" w:name="_Toc1535226899"/>
      <w:r>
        <w:rPr>
          <w:rFonts w:hint="eastAsia" w:ascii="仿宋_GB2312" w:eastAsia="仿宋_GB2312"/>
          <w:sz w:val="32"/>
          <w:szCs w:val="32"/>
          <w:lang w:val="en-US" w:eastAsia="zh-CN"/>
        </w:rPr>
        <w:t>功能指标1：</w:t>
      </w:r>
      <w:r>
        <w:rPr>
          <w:rFonts w:hint="eastAsia"/>
          <w:sz w:val="32"/>
          <w:szCs w:val="32"/>
        </w:rPr>
        <w:t>可支持模型的跨平台、跨底层架构的格式转化</w:t>
      </w:r>
      <w:bookmarkEnd w:id="52"/>
    </w:p>
    <w:p>
      <w:pPr>
        <w:pStyle w:val="2"/>
      </w:pPr>
      <w:r>
        <w:rPr>
          <w:rFonts w:hint="eastAsia"/>
        </w:rPr>
        <w:t>作为系统核心功能指标，模型跨平台、跨底层架构格式转化需实现“多源模型兼容、多平台适配、高精度转换、全流程可控”，严格匹配“支持不少于20类主流智能体模型、覆盖华为/瑞芯微/英伟达/寒武纪4类平台”的性能要求，同时满足试验场内场调试机对转换效率、结果可靠性的实际应用需求，为后续模型部署测试提供标准化格式支撑。</w:t>
      </w:r>
    </w:p>
    <w:p>
      <w:pPr>
        <w:numPr>
          <w:ilvl w:val="1"/>
          <w:numId w:val="8"/>
        </w:numPr>
        <w:outlineLvl w:val="3"/>
      </w:pPr>
      <w:r>
        <w:rPr>
          <w:rFonts w:hint="eastAsia"/>
        </w:rPr>
        <w:t>功能描述</w:t>
      </w:r>
      <w:r>
        <w:rPr>
          <w:rFonts w:hint="eastAsia"/>
          <w:lang w:eastAsia="zh-CN"/>
        </w:rPr>
        <w:t>，</w:t>
      </w:r>
      <w:r>
        <w:rPr>
          <w:rFonts w:hint="eastAsia"/>
          <w:lang w:val="en-US" w:eastAsia="zh-CN"/>
        </w:rPr>
        <w:t>支持性能指标2和3，覆盖全场景的转换能力</w:t>
      </w:r>
    </w:p>
    <w:p>
      <w:pPr>
        <w:pStyle w:val="2"/>
        <w:ind w:firstLine="552"/>
        <w:rPr>
          <w:rFonts w:hint="eastAsia"/>
        </w:rPr>
      </w:pPr>
      <w:r>
        <w:rPr>
          <w:rFonts w:hint="eastAsia"/>
        </w:rPr>
        <w:t>围绕“跨平台、跨架构”核心目标，构建从“转换配置-任务执行-结果校验-日志追溯”的全流程功能体系，确保20类模型（目标检测/分类/跟踪/NLP大模型）在4类平台上的高效、精准转换，同时提供灵活的参数配置与可视化的任务管控能力。</w:t>
      </w:r>
    </w:p>
    <w:p>
      <w:pPr>
        <w:pStyle w:val="2"/>
        <w:ind w:firstLine="552"/>
        <w:rPr>
          <w:rFonts w:hint="eastAsia"/>
        </w:rPr>
      </w:pPr>
      <w:r>
        <w:rPr>
          <w:rFonts w:hint="eastAsia"/>
        </w:rPr>
        <w:t>多源模型格式兼容：全面支持20类主流智能体模型的原生格式导入，覆盖计算机视觉与自然语言处理两大领域。其中目标检测模型支持YOLOv5/v7/v8（.pt）、Faster R-CNN（.pth/.pb）、SSD（.h5）；目标分类模型支持ResNet50/101（.pth）、EfficientNet-B0/B4（.h5）、MobileNetV3（.tflite）；目标跟踪模型支持SORT（.pt）、DeepSORT（.pb）、ByteTrack（.onnx）；自然语言大模型支持BERT-base（.bin）、RoBERTa（.pt）、GPT-2（.tf）、T5-small（.h5）。导入时自动识别模型类型（通过文件后缀+模型结构特征双重判定），如检测到YOLOv8的.pt文件时，自动标记为“目标检测模型”，并关联对应的转换模板，无需用户手动选择，降低操作复杂度。</w:t>
      </w:r>
    </w:p>
    <w:p>
      <w:pPr>
        <w:pStyle w:val="2"/>
        <w:ind w:firstLine="552"/>
        <w:rPr>
          <w:rFonts w:hint="eastAsia"/>
        </w:rPr>
      </w:pPr>
      <w:r>
        <w:rPr>
          <w:rFonts w:hint="eastAsia"/>
        </w:rPr>
        <w:t>4类平台格式输出适配：针对华为、瑞芯微、英伟达、寒武纪4类平台的底层架构差异，输出对应原生格式，确保模型可直接部署。具体适配如下：华为昇腾平台输出OM格式（适配Atlas 800/200I设备，基于CANN架构编译）；瑞芯微平台输出RKNN格式（适配RK3588/RK3599开发板，支持NPU硬件加速）；英伟达平台输出TensorRT Engine格式（适配RTX4090/Jetson AGX Orin，优化CUDA内核调用）；寒武纪平台输出CNModel格式（适配思元370/590服务器，匹配Neuware架构）。支持同一模型批量转换至多平台格式（如一次提交将YOLOv8模型同时转换为OM、RKNN、TensorRT Engine格式），批量任务数量上限为10个，满足试验场多平台并行测试需求。</w:t>
      </w:r>
    </w:p>
    <w:p>
      <w:pPr>
        <w:pStyle w:val="2"/>
        <w:ind w:firstLine="552"/>
        <w:rPr>
          <w:rFonts w:hint="eastAsia"/>
        </w:rPr>
      </w:pPr>
      <w:r>
        <w:rPr>
          <w:rFonts w:hint="eastAsia"/>
        </w:rPr>
        <w:t>灵活转换参数配置：提供精细化参数配置功能，用户可根据平台特性与应用场景调整转换策略，平衡精度与性能。核心配置项包括：</w:t>
      </w:r>
    </w:p>
    <w:p>
      <w:pPr>
        <w:pStyle w:val="2"/>
        <w:ind w:firstLine="552"/>
        <w:rPr>
          <w:rFonts w:hint="eastAsia"/>
        </w:rPr>
      </w:pPr>
      <w:r>
        <w:rPr>
          <w:rFonts w:hint="eastAsia"/>
        </w:rPr>
        <w:t>精度模式：支持FP32（高精度，适用于医疗影像等对精度敏感场景）、FP16（平衡精度与性能，适用于多数计算机视觉场景）、INT8（高性能低功耗，适用于边缘端瑞芯微/RK3588平台），选择INT8时自动启用量化校准（支持KL散度/Min-Max两种校准算法，默认抽样100张测试集图像生成校准数据）。</w:t>
      </w:r>
    </w:p>
    <w:p>
      <w:pPr>
        <w:pStyle w:val="2"/>
        <w:ind w:firstLine="552"/>
        <w:rPr>
          <w:rFonts w:hint="eastAsia"/>
        </w:rPr>
      </w:pPr>
      <w:r>
        <w:rPr>
          <w:rFonts w:hint="eastAsia"/>
        </w:rPr>
        <w:t>输入形状适配：支持固定形状（如设置输入图像尺寸为640×640）与动态形状（设置尺寸范围如320×320~1280×1280，步长16），动态形状适配自然语言大模型的可变序列长度（如BERT模型支持序列长度16~512），避免模型因输入尺寸固定导致的场景限制。</w:t>
      </w:r>
    </w:p>
    <w:p>
      <w:pPr>
        <w:pStyle w:val="2"/>
        <w:ind w:firstLine="552"/>
        <w:rPr>
          <w:rFonts w:hint="eastAsia"/>
        </w:rPr>
      </w:pPr>
      <w:r>
        <w:rPr>
          <w:rFonts w:hint="eastAsia"/>
        </w:rPr>
        <w:t>算子优化策略：提供“性能优先”“精度优先”“兼容优先”三种策略，性能优先模式启用算子融合（如Conv+BN+ReLU合并）、常量折叠，提升推理速度；精度优先模式禁用激进量化、保留关键层FP32计算，降低精度损失；兼容优先模式替换稀有算子（如将TensorFlow的“Unique”算子替换为平台支持的组合算子），确保转换成功率。</w:t>
      </w:r>
    </w:p>
    <w:p>
      <w:pPr>
        <w:pStyle w:val="2"/>
        <w:ind w:firstLine="552"/>
        <w:rPr>
          <w:rFonts w:hint="eastAsia"/>
        </w:rPr>
      </w:pPr>
      <w:r>
        <w:rPr>
          <w:rFonts w:hint="eastAsia"/>
        </w:rPr>
        <w:t>转换任务全流程管控：支持转换任务的提交、监控、暂停、取消、重试全生命周期操作。用户提交任务时生成唯一任务ID（UUID格式），关联模型ID、目标平台、参数配置等信息；任务列表实时展示任务状态（等待中/处理中/成功/失败）、进度百分比（如“60%（ONNX格式转换中）”）、预计剩余时间；处理中任务支持暂停（暂停后保留当前进度，恢复时从断点继续）与取消（取消后释放硬件资源，删除临时文件）；失败任务显示失败原因摘要（如“算子XXX不支持”“硬件节点离线”），并提供修复建议（如“建议切换为兼容优先策略”），支持一键重试（自动沿用原配置参数，无需重新填写）。</w:t>
      </w:r>
    </w:p>
    <w:p>
      <w:pPr>
        <w:pStyle w:val="2"/>
        <w:ind w:firstLine="552"/>
        <w:rPr>
          <w:rFonts w:hint="eastAsia"/>
        </w:rPr>
      </w:pPr>
      <w:r>
        <w:rPr>
          <w:rFonts w:hint="eastAsia"/>
        </w:rPr>
        <w:t>转换结果自动校验：转换完成后触发多维度校验，确保输出模型的完整性与可用性，避免无效转换结果流入后续测试环节。校验内容包括：</w:t>
      </w:r>
    </w:p>
    <w:p>
      <w:pPr>
        <w:pStyle w:val="2"/>
        <w:ind w:firstLine="552"/>
        <w:rPr>
          <w:rFonts w:hint="eastAsia"/>
        </w:rPr>
      </w:pPr>
      <w:r>
        <w:rPr>
          <w:rFonts w:hint="eastAsia"/>
        </w:rPr>
        <w:t>格式完整性校验：检查输出文件是否符合目标平台格式规范（如OM文件是否包含完整的昇腾算子信息、RKNN文件是否通过RKNN Toolkit的格式验证），若格式损坏则标记“校验失败”，并重新执行转换（最多重试2次）。</w:t>
      </w:r>
    </w:p>
    <w:p>
      <w:pPr>
        <w:pStyle w:val="2"/>
        <w:ind w:firstLine="552"/>
        <w:rPr>
          <w:rFonts w:hint="eastAsia"/>
        </w:rPr>
      </w:pPr>
      <w:r>
        <w:rPr>
          <w:rFonts w:hint="eastAsia"/>
        </w:rPr>
        <w:t>结构一致性校验：对比转换前后模型的输入输出维度（如原模型输入[1,3,640,640]，转换后应保持一致）、算子数量（允许±5%偏差，因平台优化导致的算子融合/拆分），若偏差超过阈值则生成“结构异常报告”，定位差异算子。</w:t>
      </w:r>
    </w:p>
    <w:p>
      <w:pPr>
        <w:pStyle w:val="2"/>
        <w:ind w:firstLine="552"/>
        <w:rPr>
          <w:rFonts w:hint="eastAsia"/>
        </w:rPr>
      </w:pPr>
      <w:r>
        <w:rPr>
          <w:rFonts w:hint="eastAsia"/>
        </w:rPr>
        <w:t>基础功能校验：在目标平台测试节点加载转换后模型，执行10轮基础推理（输入标准测试数据），检查是否输出合法结果（如目标检测模型输出有效bounding box、NLP模型输出非空文本），推理失败则标记“功能异常”，并记录错误日志（如“显存溢出”“算子执行超时”）。</w:t>
      </w:r>
    </w:p>
    <w:p>
      <w:pPr>
        <w:pStyle w:val="2"/>
        <w:ind w:firstLine="552"/>
      </w:pPr>
      <w:r>
        <w:rPr>
          <w:rFonts w:hint="eastAsia"/>
        </w:rPr>
        <w:t>转换日志追溯：自动生成详细转换日志，记录任务全流程关键信息，便于问题排查与审计。日志内容包括：任务基础信息（任务ID、提交人、时间）、参数配置（精度模式、输入形状、优化策略）、转换步骤详情（每一步操作、耗时、涉及工具版本，如“2024-05-20 10:05:00开始ONNX转换，使用ONNX Runtime 1.15，耗时120s”）、校验结果（各校验项是否通过、异常信息）。日志支持按任务ID查询、关键词搜索（如搜索“算子不兼容”）、导出为TXT/PDF格式，日志保留时间与模型版本一致（默认30天，可手动延长至90天）。</w:t>
      </w:r>
    </w:p>
    <w:p>
      <w:pPr>
        <w:numPr>
          <w:ilvl w:val="1"/>
          <w:numId w:val="8"/>
        </w:numPr>
        <w:outlineLvl w:val="3"/>
      </w:pPr>
      <w:r>
        <w:rPr>
          <w:rFonts w:hint="eastAsia"/>
        </w:rPr>
        <w:t>技术实现方案</w:t>
      </w:r>
      <w:r>
        <w:rPr>
          <w:rFonts w:hint="eastAsia"/>
          <w:lang w:eastAsia="zh-CN"/>
        </w:rPr>
        <w:t>：高兼容、高精度的转换架构</w:t>
      </w:r>
    </w:p>
    <w:p>
      <w:pPr>
        <w:pStyle w:val="2"/>
        <w:ind w:firstLine="552"/>
        <w:rPr>
          <w:rFonts w:hint="eastAsia"/>
        </w:rPr>
      </w:pPr>
      <w:r>
        <w:rPr>
          <w:rFonts w:hint="eastAsia"/>
        </w:rPr>
        <w:t>基于“中间格式解耦+平台插件化+自动化校验”的技术思路，构建分层转换架构，覆盖模型解析、中间格式转换、平台适配、结果校验四大环节，解决跨平台算子不兼容、精度损失、转换效率低等核心问题，确保20类模型在4类平台上的转换需求落地。</w:t>
      </w:r>
    </w:p>
    <w:p>
      <w:pPr>
        <w:pStyle w:val="2"/>
        <w:ind w:firstLine="552"/>
        <w:rPr>
          <w:rFonts w:hint="eastAsia"/>
        </w:rPr>
      </w:pPr>
      <w:r>
        <w:rPr>
          <w:rFonts w:hint="eastAsia"/>
        </w:rPr>
        <w:t>分层转换架构设计：采用“原生格式→ONNX中间格式→目标平台格式”的两步转换流程，以ONNX作为“桥梁”解耦原生模型与目标平台，降低适配复杂度。第一步实现“多源归一”：将PyTorch/TensorFlow等原生格式统一转换为ONNX标准格式（支持ONNX1.8~1.15版本），解决不同框架的格式差异；第二步实现“一分多”：基于ONNX中间格式，通过平台专用插件转换为OM/RKNN/TensorRT Engine/CNModel格式，适配不同硬件架构。</w:t>
      </w:r>
    </w:p>
    <w:p>
      <w:pPr>
        <w:pStyle w:val="2"/>
        <w:ind w:firstLine="552"/>
        <w:rPr>
          <w:rFonts w:hint="eastAsia"/>
        </w:rPr>
      </w:pPr>
      <w:r>
        <w:rPr>
          <w:rFonts w:hint="eastAsia"/>
        </w:rPr>
        <w:t>原生格式解析引擎开发：集成Netron核心解析能力与框架专用解析工具，实现20类模型的精准解析，提取模型拓扑结构、算子类型、输入输出维度、权重数据。具体解析策略如下：</w:t>
      </w:r>
    </w:p>
    <w:p>
      <w:pPr>
        <w:pStyle w:val="2"/>
        <w:ind w:firstLine="552"/>
        <w:rPr>
          <w:rFonts w:hint="eastAsia"/>
        </w:rPr>
      </w:pPr>
      <w:r>
        <w:rPr>
          <w:rFonts w:hint="eastAsia"/>
        </w:rPr>
        <w:t>PyTorch模型（.pth/.pt）：通过torch.load()加载模型权重，结合torch.onnx.export()将模型导出为ONNX格式，导出时设置do_constant_folding=True启用常量折叠，优化模型结构；针对YOLOv8等自定义模型，加载对应模型定义文件（如yolov8.py），确保自定义算子（如Detect头）可正常解析。</w:t>
      </w:r>
    </w:p>
    <w:p>
      <w:pPr>
        <w:pStyle w:val="2"/>
        <w:ind w:firstLine="552"/>
        <w:rPr>
          <w:rFonts w:hint="eastAsia"/>
        </w:rPr>
      </w:pPr>
      <w:r>
        <w:rPr>
          <w:rFonts w:hint="eastAsia"/>
        </w:rPr>
        <w:t>TensorFlow模型（.pb/.saved_model）：使用tensorflow.saved_model.load()加载模型，通过tf.saved_model.save()转换为SavedModel格式，再调用tf2onnx工具导出ONNX，处理TensorFlow特有的NHWC数据排布（自动转换为ONNX标准的NCHW格式），避免后续转换维度错误。</w:t>
      </w:r>
    </w:p>
    <w:p>
      <w:pPr>
        <w:pStyle w:val="2"/>
        <w:ind w:firstLine="552"/>
        <w:rPr>
          <w:rFonts w:hint="eastAsia"/>
        </w:rPr>
      </w:pPr>
      <w:r>
        <w:rPr>
          <w:rFonts w:hint="eastAsia"/>
        </w:rPr>
        <w:t>TensorFlow Lite模型（.tflite）：利用tflite.Interpreter读取模型，解析输入输出张量信息，通过tflite2onnx工具转换为ONNX，针对量化模型（如INT8.tflite），保留量化参数，确保后续平台转换时可复用量化信息。</w:t>
      </w:r>
    </w:p>
    <w:p>
      <w:pPr>
        <w:pStyle w:val="2"/>
        <w:ind w:firstLine="552"/>
        <w:rPr>
          <w:rFonts w:hint="eastAsia"/>
        </w:rPr>
      </w:pPr>
      <w:r>
        <w:rPr>
          <w:rFonts w:hint="eastAsia"/>
        </w:rPr>
        <w:t>自然语言大模型（如BERT/GPT-2）：针对Transformer层结构复杂的特点，开发专用解析适配器，提取注意力头数量、隐藏层维度、序列长度等关键参数，导出ONNX时启用dynamic_axes配置，支持动态形状，避免因序列长度固定导致的场景限制。</w:t>
      </w:r>
    </w:p>
    <w:p>
      <w:pPr>
        <w:pStyle w:val="2"/>
        <w:ind w:firstLine="552"/>
        <w:rPr>
          <w:rFonts w:hint="eastAsia"/>
        </w:rPr>
      </w:pPr>
      <w:r>
        <w:rPr>
          <w:rFonts w:hint="eastAsia"/>
        </w:rPr>
        <w:t>ONNX中间格式优化：在原生格式转ONNX后，新增优化环节提升后续平台转换效率与模型性能，优化操作包括：</w:t>
      </w:r>
    </w:p>
    <w:p>
      <w:pPr>
        <w:pStyle w:val="2"/>
        <w:ind w:firstLine="552"/>
        <w:rPr>
          <w:rFonts w:hint="eastAsia"/>
        </w:rPr>
      </w:pPr>
      <w:r>
        <w:rPr>
          <w:rFonts w:hint="eastAsia"/>
        </w:rPr>
        <w:t>模型简化：调用ONNX Simplifier工具移除冗余算子（如无用的Reshape、Identity算子）、合并常量节点（如将多个Constant算子合并为单个）、消除死代码（未被使用的层），简化后模型体积平均减少20%，转换耗时缩短15%。</w:t>
      </w:r>
    </w:p>
    <w:p>
      <w:pPr>
        <w:pStyle w:val="2"/>
        <w:ind w:firstLine="552"/>
        <w:rPr>
          <w:rFonts w:hint="eastAsia"/>
        </w:rPr>
      </w:pPr>
      <w:r>
        <w:rPr>
          <w:rFonts w:hint="eastAsia"/>
        </w:rPr>
        <w:t>算子兼容性修正：基于ONNX算子规范，修正非标准算子（如将PyTorch的“torch.nn.functional.interpolate”算子替换为ONNX标准的“Resize”算子），避免后续平台插件因算子不识别导致转换失败，算子修正覆盖率≥98%（覆盖20类模型常用算子）。</w:t>
      </w:r>
    </w:p>
    <w:p>
      <w:pPr>
        <w:pStyle w:val="2"/>
        <w:ind w:firstLine="552"/>
        <w:rPr>
          <w:rFonts w:hint="eastAsia"/>
        </w:rPr>
      </w:pPr>
      <w:r>
        <w:rPr>
          <w:rFonts w:hint="eastAsia"/>
        </w:rPr>
        <w:t>精度保持优化：针对FP16/INT8量化场景，在ONNX层面插入量化节点（如QuantizeLinear/DequantizeLinear），确保量化参数传递至目标平台，减少精度损失；对于自然语言大模型的Transformer层，保留FP32精度计算，仅对非关键层（如Embedding层）进行量化，平衡精度与性能。</w:t>
      </w:r>
    </w:p>
    <w:p>
      <w:pPr>
        <w:pStyle w:val="2"/>
        <w:ind w:firstLine="552"/>
        <w:rPr>
          <w:rFonts w:hint="eastAsia"/>
        </w:rPr>
      </w:pPr>
      <w:r>
        <w:rPr>
          <w:rFonts w:hint="eastAsia"/>
        </w:rPr>
        <w:t>平台专用转换插件开发：采用插件化设计，为4类平台开发独立转换插件，集成平台专用工具链，实现ONNX到目标格式的精准转换，同时解决硬件架构差异导致的兼容性问题。各插件技术实现如下：</w:t>
      </w:r>
    </w:p>
    <w:p>
      <w:pPr>
        <w:pStyle w:val="2"/>
        <w:ind w:firstLine="552"/>
        <w:rPr>
          <w:rFonts w:hint="eastAsia"/>
        </w:rPr>
      </w:pPr>
      <w:r>
        <w:rPr>
          <w:rFonts w:hint="eastAsia"/>
        </w:rPr>
        <w:t>华为昇腾OM插件：集成华为ATC（Ascend Tensor Compiler）工具，封装ATC编译接口，支持通过配置文件传入算子融合、数据排布优化参数（如--input_format=NCHW--fusion_switch=true）。针对昇腾不支持的算子（如TensorFlow的“Unique”），开发算子替换库：将“Unique”算子替换为“Sort+Deduplicate”组合算子，确保功能等价；针对大模型（如GPT-2），启用昇腾的“模型并行”功能，将模型拆分至多个AICore执行，解决显存不足问题。插件支持ATC版本自动适配（检测到ATC 7.0/8.0版本时自动调整编译参数），转换成功率≥95%（20类模型测试）。</w:t>
      </w:r>
    </w:p>
    <w:p>
      <w:pPr>
        <w:pStyle w:val="2"/>
        <w:ind w:firstLine="552"/>
        <w:rPr>
          <w:rFonts w:hint="eastAsia"/>
        </w:rPr>
      </w:pPr>
      <w:r>
        <w:rPr>
          <w:rFonts w:hint="eastAsia"/>
        </w:rPr>
        <w:t>瑞芯微RKNN插件：基于RKNN</w:t>
      </w:r>
      <w:r>
        <w:rPr>
          <w:rFonts w:hint="eastAsia"/>
          <w:lang w:val="en-US" w:eastAsia="zh-CN"/>
        </w:rPr>
        <w:t xml:space="preserve"> </w:t>
      </w:r>
      <w:r>
        <w:rPr>
          <w:rFonts w:hint="eastAsia"/>
        </w:rPr>
        <w:t>Toolkit2.5开发，封装rknn.api接口，实现ONNX模型加载、量化、编译全流程自动化。针对瑞芯微NPU对大kernel卷积（如11×11）支持不足的问题，开发卷积拆分算法：将11×11卷积拆分为3×3+3×3+5×5的组合卷积，确保功能正常且性能损失≤10%；支持RK3588/RK3599平台差异化配置（如RK3588启用INT8量化，RK3599支持FP16混合量化），插件自动识别硬件型号并加载对应配置。</w:t>
      </w:r>
    </w:p>
    <w:p>
      <w:pPr>
        <w:pStyle w:val="2"/>
        <w:ind w:firstLine="552"/>
        <w:rPr>
          <w:rFonts w:hint="eastAsia"/>
        </w:rPr>
      </w:pPr>
      <w:r>
        <w:rPr>
          <w:rFonts w:hint="eastAsia"/>
        </w:rPr>
        <w:t>英伟达TensorRT插件：集成TensorRT 8.6 C++ API，实现ONNX模型解析、构建优化、序列化流程。开发自定义Plugin插件，适配YOLOv8检测头、BERT注意力层等专用算子，将检测头的“卷积+激活+解码”流程融合为单个TensorRT Plugin，推理速度提升30%；支持动态形状推理（通过IBuilderConfig设置dynamicShapes），适配自然语言大模型的可变序列长度；启用TensorRT的“BuilderOptimizationLevel=5”，采用最激进的优化策略（如层融合、内核自动调优），平衡转换时间与推理性能。</w:t>
      </w:r>
    </w:p>
    <w:p>
      <w:pPr>
        <w:pStyle w:val="2"/>
        <w:ind w:firstLine="552"/>
        <w:rPr>
          <w:rFonts w:hint="eastAsia"/>
        </w:rPr>
      </w:pPr>
      <w:r>
        <w:rPr>
          <w:rFonts w:hint="eastAsia"/>
        </w:rPr>
        <w:t>寒武纪CNModel插件：基于MagicMind 1.8 SDK开发，调用magicmind::Builder接口构建模型，支持算子自动映射（MagicMind内置1000+ONNX算子映射规则），未映射算子通过MagicMind 的“自定义算子”功能实现（基于C++编写算子执行逻辑，编译为动态链接库供插件调用）。针对寒武纪思元NPU的内存特性，优化模型内存分配策略（如按层顺序分配内存、复用中间张量内存），显存占用降低25%；支持多NPU并行转换（如思元590的4颗NPU同时处理4个模型转换任务），转换效率提升3倍。</w:t>
      </w:r>
    </w:p>
    <w:p>
      <w:pPr>
        <w:pStyle w:val="2"/>
        <w:ind w:firstLine="552"/>
        <w:rPr>
          <w:rFonts w:hint="eastAsia"/>
        </w:rPr>
      </w:pPr>
      <w:r>
        <w:rPr>
          <w:rFonts w:hint="eastAsia"/>
        </w:rPr>
        <w:t>转换任务调度与资源管理：基于Kubernetes+RabbitMQ构建分布式任务调度系统，实现转换任务的高效分配与硬件资源管控，避免节点过载导致的转换失败。调度逻辑如下：</w:t>
      </w:r>
    </w:p>
    <w:p>
      <w:pPr>
        <w:pStyle w:val="2"/>
        <w:ind w:firstLine="552"/>
        <w:rPr>
          <w:rFonts w:hint="eastAsia"/>
        </w:rPr>
      </w:pPr>
      <w:r>
        <w:rPr>
          <w:rFonts w:hint="eastAsia"/>
        </w:rPr>
        <w:t>任务队列管理：用户提交的转换任务先进入RabbitMQ队列，按“优先级（高/中/低）+提交时间”排序，试验场紧急调试任务标记为“高优先级”，优先占用资源（优先级权重：高=3，中=2，低=1）。</w:t>
      </w:r>
    </w:p>
    <w:p>
      <w:pPr>
        <w:pStyle w:val="2"/>
        <w:ind w:firstLine="552"/>
        <w:rPr>
          <w:rFonts w:hint="eastAsia"/>
        </w:rPr>
      </w:pPr>
      <w:r>
        <w:rPr>
          <w:rFonts w:hint="eastAsia"/>
        </w:rPr>
        <w:t>节点负载感知：通过Prometheus采集各硬件节点的实时负载（CPU利用率、内存/显存占用率），调度器仅将任务分配至负载低于阈值的节点（CPU≤70%、显存≤60%），如检测到英伟达RTX 4090节点显存占用80%时，自动将任务调度至备用节点。</w:t>
      </w:r>
    </w:p>
    <w:p>
      <w:pPr>
        <w:pStyle w:val="2"/>
        <w:ind w:firstLine="552"/>
        <w:rPr>
          <w:rFonts w:hint="eastAsia"/>
        </w:rPr>
      </w:pPr>
      <w:r>
        <w:rPr>
          <w:rFonts w:hint="eastAsia"/>
        </w:rPr>
        <w:t>资源隔离：采用Docker容器</w:t>
      </w:r>
      <w:r>
        <w:rPr>
          <w:rFonts w:hint="eastAsia"/>
          <w:lang w:val="en-US" w:eastAsia="zh-CN"/>
        </w:rPr>
        <w:t>或者Anaconda环境（具体隔离环境按照工具和平台要求来搭建）</w:t>
      </w:r>
      <w:r>
        <w:rPr>
          <w:rFonts w:hint="eastAsia"/>
        </w:rPr>
        <w:t>隔离不同平台的转换环境（如华为昇腾容器仅运行OM插件，瑞芯微容器仅运行RKNN插件），避免工具链依赖冲突；为每个容器分配固定资源配额（如CPU 8核、内存16GB、显存12GB），防止单个任务占用过多资源。</w:t>
      </w:r>
    </w:p>
    <w:p>
      <w:pPr>
        <w:pStyle w:val="2"/>
        <w:ind w:firstLine="552"/>
        <w:rPr>
          <w:rFonts w:hint="eastAsia"/>
        </w:rPr>
      </w:pPr>
      <w:r>
        <w:rPr>
          <w:rFonts w:hint="eastAsia"/>
        </w:rPr>
        <w:t>失败重试机制：任务转换失败时（如硬件节点临时离线、算子适配错误），调度系统自动将任务重新加入队列（最多重试2次），重试时优先分配至同类型其他节点，若连续失败则标记“任务失败”并通知用户，任务成功率≥98%（排除模型文件损坏、硬件故障等不可抗因素）。</w:t>
      </w:r>
    </w:p>
    <w:p>
      <w:pPr>
        <w:pStyle w:val="2"/>
        <w:ind w:firstLine="552"/>
        <w:rPr>
          <w:rFonts w:hint="eastAsia"/>
        </w:rPr>
      </w:pPr>
      <w:r>
        <w:rPr>
          <w:rFonts w:hint="eastAsia"/>
        </w:rPr>
        <w:t>自动化校验与异常处理：开发校验脚本库与异常处理模块，实现转换结果的自动校验与问题修复，确保输出模型可用。具体实现如下：</w:t>
      </w:r>
    </w:p>
    <w:p>
      <w:pPr>
        <w:pStyle w:val="2"/>
        <w:ind w:firstLine="552"/>
        <w:rPr>
          <w:rFonts w:hint="eastAsia"/>
        </w:rPr>
      </w:pPr>
      <w:r>
        <w:rPr>
          <w:rFonts w:hint="eastAsia"/>
        </w:rPr>
        <w:t>格式完整性校验：调用平台专用工具验证输出格式（如华为atc--check_model验证OM文件、瑞芯微rknn.load_rknn验证RKNN文件），校验不通过则触发重新转换（最多2次），重新转换时自动调整参数（如更换量化算法、禁用算子融合）。</w:t>
      </w:r>
    </w:p>
    <w:p>
      <w:pPr>
        <w:pStyle w:val="2"/>
        <w:ind w:firstLine="552"/>
        <w:rPr>
          <w:rFonts w:hint="eastAsia"/>
        </w:rPr>
      </w:pPr>
      <w:r>
        <w:rPr>
          <w:rFonts w:hint="eastAsia"/>
        </w:rPr>
        <w:t>结构一致性校验：通过ONNX Runtime加载转换前后的模型（原生转ONNX后的模型、目标平台格式反编译为ONNX的模型），对比输入输出维度、算子类型、权重数据哈希值，差异超过阈值时生成“结构差异报告”，标记差异算子（如“原模型Conv2d→目标模型ConvTranspose2d”），辅助开发人员定位适配问题。</w:t>
      </w:r>
    </w:p>
    <w:p>
      <w:pPr>
        <w:pStyle w:val="2"/>
        <w:ind w:firstLine="552"/>
        <w:rPr>
          <w:rFonts w:hint="eastAsia"/>
        </w:rPr>
      </w:pPr>
      <w:r>
        <w:rPr>
          <w:rFonts w:hint="eastAsia"/>
        </w:rPr>
        <w:t>基础功能校验：在目标平台测试节点部署校验脚本，加载转换后模型执行推理测试（输入标准测试数据，如COCO验证集图像、GLUE文本），检查推理结果是否合法（如目标检测模型输出bounding box坐标在0-1范围内、分类模型输出概率和为1），推理失败则记录错误日志（如“算子XXX执行超时”“显存不足”），并提供修复建议（如“建议降低精度模式至INT8”“增大节点显存配额”）。</w:t>
      </w:r>
    </w:p>
    <w:p>
      <w:pPr>
        <w:pStyle w:val="2"/>
        <w:ind w:firstLine="552"/>
        <w:rPr>
          <w:rFonts w:hint="eastAsia" w:eastAsia="仿宋_GB2312"/>
          <w:lang w:eastAsia="zh-CN"/>
        </w:rPr>
      </w:pPr>
      <w:r>
        <w:rPr>
          <w:rFonts w:hint="eastAsia"/>
        </w:rPr>
        <w:t>异常处理模块：建立异常案例库，收录常见转换异常（如算子不兼容、显存溢出、量化精度损失超标）及解决方案，当校验发现异常时，自动匹配案例库给出修复建议</w:t>
      </w:r>
      <w:r>
        <w:rPr>
          <w:rFonts w:hint="eastAsia"/>
          <w:lang w:eastAsia="zh-CN"/>
        </w:rPr>
        <w:t>。</w:t>
      </w:r>
    </w:p>
    <w:p>
      <w:pPr>
        <w:numPr>
          <w:ilvl w:val="0"/>
          <w:numId w:val="8"/>
        </w:numPr>
        <w:outlineLvl w:val="2"/>
        <w:rPr>
          <w:sz w:val="32"/>
          <w:szCs w:val="32"/>
        </w:rPr>
      </w:pPr>
      <w:bookmarkStart w:id="53" w:name="_Toc542472788"/>
      <w:r>
        <w:rPr>
          <w:rFonts w:hint="eastAsia" w:ascii="仿宋_GB2312" w:eastAsia="仿宋_GB2312"/>
          <w:sz w:val="32"/>
          <w:szCs w:val="32"/>
          <w:lang w:val="en-US" w:eastAsia="zh-CN"/>
        </w:rPr>
        <w:t>功能指标2：</w:t>
      </w:r>
      <w:r>
        <w:rPr>
          <w:rFonts w:hint="eastAsia"/>
          <w:sz w:val="32"/>
          <w:szCs w:val="32"/>
        </w:rPr>
        <w:t>可根据模型格式进行模型可视化</w:t>
      </w:r>
      <w:bookmarkEnd w:id="53"/>
    </w:p>
    <w:p>
      <w:pPr>
        <w:pStyle w:val="2"/>
      </w:pPr>
      <w:r>
        <w:rPr>
          <w:rFonts w:hint="eastAsia"/>
        </w:rPr>
        <w:t>作为系统核心交互功能指标，模型可视化需实现“多格式模型结构解析、差异化场景展示、交互式参数探索”，严格匹配“支持不少于20类主流智能体模型网络结构可视化”的性能</w:t>
      </w:r>
      <w:r>
        <w:rPr>
          <w:rFonts w:hint="eastAsia"/>
          <w:lang w:val="en-US" w:eastAsia="zh-CN"/>
        </w:rPr>
        <w:t>指标</w:t>
      </w:r>
      <w:r>
        <w:rPr>
          <w:rFonts w:hint="eastAsia"/>
        </w:rPr>
        <w:t>要求，将复杂的模型“黑箱”转化为直观的图形化表达，辅助试验场技术人员快速理解模型拓扑、定位转换异常、优化模型结构，为跨平台转换效果验证与模型调试提供可视化支撑。</w:t>
      </w:r>
    </w:p>
    <w:p>
      <w:pPr>
        <w:numPr>
          <w:ilvl w:val="1"/>
          <w:numId w:val="8"/>
        </w:numPr>
        <w:outlineLvl w:val="3"/>
      </w:pPr>
      <w:r>
        <w:rPr>
          <w:rFonts w:hint="eastAsia"/>
        </w:rPr>
        <w:t>功能描述</w:t>
      </w:r>
      <w:r>
        <w:rPr>
          <w:rFonts w:hint="eastAsia"/>
          <w:lang w:eastAsia="zh-CN"/>
        </w:rPr>
        <w:t>，</w:t>
      </w:r>
      <w:r>
        <w:rPr>
          <w:rFonts w:hint="eastAsia"/>
          <w:lang w:val="en-US" w:eastAsia="zh-CN"/>
        </w:rPr>
        <w:t>支持性能指标1</w:t>
      </w:r>
    </w:p>
    <w:p>
      <w:pPr>
        <w:pStyle w:val="2"/>
        <w:ind w:firstLine="552"/>
        <w:rPr>
          <w:rFonts w:hint="eastAsia"/>
        </w:rPr>
      </w:pPr>
      <w:r>
        <w:rPr>
          <w:rFonts w:hint="eastAsia"/>
        </w:rPr>
        <w:t>围绕“结构清晰、参数可查、交互灵活”核心目标，构建从“模型解析-场景化展示-交互探索-结果导出”的全流程可视化功能体系，针对20类模型（目标检测/分类/跟踪/NLP大模型）的结构特性提供差异化展示方案，同时支持多维度参数查询与自定义交互操作，满足试验场调试机场景下的模型分析需求。</w:t>
      </w:r>
    </w:p>
    <w:p>
      <w:pPr>
        <w:pStyle w:val="2"/>
        <w:ind w:firstLine="552"/>
        <w:rPr>
          <w:rFonts w:hint="eastAsia"/>
        </w:rPr>
      </w:pPr>
      <w:r>
        <w:rPr>
          <w:rFonts w:hint="eastAsia"/>
        </w:rPr>
        <w:t>多格式模型结构解析与适配：全面支持20类模型原生格式的结构解析，覆盖计算机视觉与自然语言处理领域主流模型。其中目标检测模型（YOLOv5/v7/v8、Faster R-CNN、SSD）需解析backbone（特征提取网络）、neck（特征融合网络）、head（检测头）三层结构及层间连接关系；目标分类模型（ResNet50/101、EfficientNet-B0/B4、MobileNetV3）需解析残差块、注意力模块等核心组件；目标跟踪模型（SORT、DeepSORT、ByteTrack）需解析检测器、卡尔曼滤波、匈牙利匹配等流程模块；自然语言大模型（BERT-base、RoBERTa、GPT-2、T5-small）需解析Transformer编码器/解码器层、多头注意力模块、Feed Forward网络等关键结构。解析过程自动识别模型格式（通过文件后缀+结构特征双重判定，如检测到含“Detect”层的.pt文件时标记为YOLO系列模型），并加载对应的可视化模板，无需用户手动配置，解析成功率≥99.5%（针对20类目标模型）。</w:t>
      </w:r>
    </w:p>
    <w:p>
      <w:pPr>
        <w:pStyle w:val="2"/>
        <w:ind w:firstLine="552"/>
        <w:rPr>
          <w:rFonts w:hint="eastAsia"/>
        </w:rPr>
      </w:pPr>
      <w:r>
        <w:rPr>
          <w:rFonts w:hint="eastAsia"/>
        </w:rPr>
        <w:t>差异化场景化展示：针对不同类型模型的结构特性，设计专属可视化视图，突出核心模块与功能逻辑，避免信息冗余。</w:t>
      </w:r>
    </w:p>
    <w:p>
      <w:pPr>
        <w:pStyle w:val="2"/>
        <w:ind w:firstLine="552"/>
        <w:rPr>
          <w:rFonts w:hint="eastAsia"/>
        </w:rPr>
      </w:pPr>
      <w:r>
        <w:rPr>
          <w:rFonts w:hint="eastAsia"/>
        </w:rPr>
        <w:t>计算机视觉模型视图：采用“分层折叠式”布局，按功能模块（backbone/neck/head）纵向分组，每个模块用不同颜色标识（backbone蓝色、neck绿色、head橙色），模块内按层顺序横向排列（如ResNet50的backbone按conv1→layer1→layer2→layer3→layer4顺序展示）。支持模块独立折叠/展开（点击模块标题可隐藏/显示内部层结构），层节点标注核心参数（如卷积层标注“Conv2d(3→64,7×7,stride=2)”，池化层标注“MaxPool(3×3,stride=2)”），鼠标悬浮时显示该层的输入输出维度（如“输入[1,3,224,224]→输出[1,64,112,112]”）与计算量（FLOPs），帮助快速掌握层功能。</w:t>
      </w:r>
    </w:p>
    <w:p>
      <w:pPr>
        <w:pStyle w:val="2"/>
        <w:ind w:firstLine="552"/>
        <w:rPr>
          <w:rFonts w:hint="eastAsia"/>
        </w:rPr>
      </w:pPr>
      <w:r>
        <w:rPr>
          <w:rFonts w:hint="eastAsia"/>
        </w:rPr>
        <w:t>自然语言大模型视图：采用“横向链式”布局，按Transformer层顺序横向排列（如BERT-base的12个编码器层依次横向展开），每个Transformer层内部用“环形图”展示多头注意力模块（不同颜色标识不同注意力头），用“矩形块”展示Feed Forward网络，层间用箭头标注数据流向（如“词嵌入层→编码器层1→编码器层2→...→分类层”）。支持注意力权重热力图展示（点击注意力模块弹出热力图，横轴/纵轴为序列位置，颜色深浅代表权重大小），直观呈现模型对文本序列的关注重点；针对GPT-2等生成式模型，额外展示“解码流程”（如自回归生成时的token预测顺序），辅助理解生成逻辑。</w:t>
      </w:r>
    </w:p>
    <w:p>
      <w:pPr>
        <w:pStyle w:val="2"/>
        <w:ind w:firstLine="552"/>
        <w:rPr>
          <w:rFonts w:hint="eastAsia"/>
        </w:rPr>
      </w:pPr>
      <w:r>
        <w:rPr>
          <w:rFonts w:hint="eastAsia"/>
        </w:rPr>
        <w:t>目标跟踪模型视图：新增“流程可视化”功能，除展示检测器的网络结构外，用流程图形式展示跟踪流程（检测器输出bbox→卡尔曼滤波预测→匈牙利算法匹配→轨迹更新），每个流程节点标注核心参数（如卡尔曼滤波标注“状态维度4，观测维度2”），支持模拟输入视频帧，动态演示轨迹生成过程（如不同目标的bbox与轨迹线实时更新），直观呈现跟踪逻辑。</w:t>
      </w:r>
    </w:p>
    <w:p>
      <w:pPr>
        <w:pStyle w:val="2"/>
        <w:ind w:firstLine="552"/>
        <w:rPr>
          <w:rFonts w:hint="eastAsia"/>
        </w:rPr>
      </w:pPr>
      <w:r>
        <w:rPr>
          <w:rFonts w:hint="eastAsia"/>
        </w:rPr>
        <w:t>交互式参数探索：提供丰富的交互操作，支持技术人员深入探索模型参数细节，定位潜在问题。</w:t>
      </w:r>
    </w:p>
    <w:p>
      <w:pPr>
        <w:pStyle w:val="2"/>
        <w:ind w:firstLine="552"/>
        <w:rPr>
          <w:rFonts w:hint="eastAsia"/>
        </w:rPr>
      </w:pPr>
      <w:r>
        <w:rPr>
          <w:rFonts w:hint="eastAsia"/>
        </w:rPr>
        <w:t>层节点交互：支持鼠标拖拽层节点调整位置（便于查看复杂连接关系）、双击节点展开详细参数面板（显示权重分布直方图、偏置值范围、激活函数类型，如卷积层显示“权重均值0.2、标准差0.1，激活函数ReLU”）、框选多个节点对比参数（如同时选中两个残差块，对比其卷积核大小、输出通道数差异）。</w:t>
      </w:r>
    </w:p>
    <w:p>
      <w:pPr>
        <w:pStyle w:val="2"/>
        <w:ind w:firstLine="552"/>
        <w:rPr>
          <w:rFonts w:hint="eastAsia"/>
        </w:rPr>
      </w:pPr>
      <w:r>
        <w:rPr>
          <w:rFonts w:hint="eastAsia"/>
        </w:rPr>
        <w:t>结构导航与搜索：提供“全局缩放”（鼠标滚轮缩放视图，缩放范围10%~500%）、“定位跳转”（输入层名称如“conv2d_1”快速定位至对应节点）、“功能筛选”（勾选“仅显示卷积层”“隐藏BN层”等选项，过滤无关信息），针对1000层以上的大模型（如GPT-2），支持“缩略图导航”（右侧显示模型整体缩略图，红色框标识当前视图位置，拖动红色框可快速切换视图区域），避免操作迷失。</w:t>
      </w:r>
    </w:p>
    <w:p>
      <w:pPr>
        <w:pStyle w:val="2"/>
        <w:ind w:firstLine="552"/>
        <w:rPr>
          <w:rFonts w:hint="eastAsia"/>
        </w:rPr>
      </w:pPr>
      <w:r>
        <w:rPr>
          <w:rFonts w:hint="eastAsia"/>
        </w:rPr>
        <w:t>可视化结果导出与分享：支持将可视化结果导出为多种格式，便于文档编写、汇报展示与问题沟通。可导出模型拓扑图（PNG/SVG格式，SVG格式支持无限缩放不失真）、参数详情表（Excel格式，包含所有层的名称、类型、参数、输入输出维度）、注意力热力图（PNG/PDF格式）；针对目标跟踪模型，可导出轨迹模拟视频（MP4格式，帧率25fps）。导出时支持自定义配置（如PNG格式可选择分辨率300dpi/600dpi，Excel表可选择是否包含计算量数据），导出文件自动命名（如“YOLOv8_结构拓扑图_20240520.png”），并关联模型ID与版本号，便于追溯。同时支持生成可视化报告（HTML/PDF格式），包含模型基础信息、结构分析、关键参数统计（如总层数、总参数规模、总计算量）与优化建议（如“检测头参数规模较大，建议轻量化以提升推理速度”），报告可直接分享至试验场内部系统（如OA、项目管理平台）。</w:t>
      </w:r>
    </w:p>
    <w:p>
      <w:pPr>
        <w:pStyle w:val="2"/>
        <w:ind w:firstLine="552"/>
        <w:rPr>
          <w:rFonts w:hint="eastAsia"/>
        </w:rPr>
      </w:pPr>
      <w:r>
        <w:rPr>
          <w:rFonts w:hint="eastAsia"/>
        </w:rPr>
        <w:t>跨转换环节联动展示：与模型跨平台转换功能联动，支持对比转换前后的模型结构差异，辅助验证转换效果。转换完成后，可在可视化界面同时加载“转换前ONNX模型”与“转换后目标平台模型（反编译为ONNX格式）”，系统自动标记结构差异（如算子替换、层顺序调整，差异层用红色边框标识），并生成差异报告（如“转换后Conv2d算子替换为昇腾平台的GeMM算子，输入维度保持一致”）。针对精度损失超标的模型（如mAP损失＞5%），支持定位差异算子并分析影响（如“量化后的注意力模块权重分布偏移，导致精度下降”），为转换参数优化（如调整量化算法）提供依据。</w:t>
      </w:r>
    </w:p>
    <w:p>
      <w:pPr>
        <w:numPr>
          <w:ilvl w:val="1"/>
          <w:numId w:val="8"/>
        </w:numPr>
        <w:outlineLvl w:val="3"/>
      </w:pPr>
      <w:r>
        <w:rPr>
          <w:rFonts w:hint="eastAsia"/>
        </w:rPr>
        <w:t>技术实现方案</w:t>
      </w:r>
      <w:r>
        <w:rPr>
          <w:rFonts w:hint="eastAsia"/>
          <w:lang w:eastAsia="zh-CN"/>
        </w:rPr>
        <w:t>：高精准、高交互的可视化架构</w:t>
      </w:r>
    </w:p>
    <w:p>
      <w:pPr>
        <w:pStyle w:val="2"/>
        <w:rPr>
          <w:rFonts w:hint="eastAsia"/>
        </w:rPr>
      </w:pPr>
      <w:r>
        <w:rPr>
          <w:rFonts w:hint="eastAsia"/>
        </w:rPr>
        <w:t>基于“解析引擎+模板驱动+交互优化”的技术思路，构建分层可视化架构，覆盖模型解析、模板管理、渲染优化、交互控制四大环节，解决多格式适配、大模型渲染卡顿、参数展示不直观等核心问题，确保20类模型的可视化需求落地。</w:t>
      </w:r>
    </w:p>
    <w:p>
      <w:pPr>
        <w:pStyle w:val="2"/>
        <w:rPr>
          <w:rFonts w:hint="eastAsia"/>
        </w:rPr>
      </w:pPr>
      <w:r>
        <w:rPr>
          <w:rFonts w:hint="eastAsia"/>
        </w:rPr>
        <w:t>模型解析引擎开发：集成Netron开源解析内核与自定义适配器，实现多格式模型结构数据的精准提取与标准化处理，为可视化渲染提供统一数据格式。</w:t>
      </w:r>
    </w:p>
    <w:p>
      <w:pPr>
        <w:pStyle w:val="2"/>
        <w:rPr>
          <w:rFonts w:hint="eastAsia"/>
        </w:rPr>
      </w:pPr>
      <w:r>
        <w:rPr>
          <w:rFonts w:hint="eastAsia"/>
        </w:rPr>
        <w:t>基础解析能力：基于Netron核心库解析ONNX、PyTorch、TensorFlow等格式模型，提取模型拓扑结构（层名称、类型、父层/子层关系）、算子参数（卷积核大小、步长、填充方式）、输入输出维度等基础数据，解析结果转换为JSON格式（包含“layers”数组与“connections”数组，layers记录层信息，connections记录层间连接关系），确保后续渲染模块可直接调用。</w:t>
      </w:r>
    </w:p>
    <w:p>
      <w:pPr>
        <w:pStyle w:val="2"/>
        <w:rPr>
          <w:rFonts w:hint="eastAsia"/>
        </w:rPr>
      </w:pPr>
      <w:r>
        <w:rPr>
          <w:rFonts w:hint="eastAsia"/>
        </w:rPr>
        <w:t>数据标准化处理：解析完成后对数据进行标准化（如统一参数命名格式，将“kernel_size”“filter_size”统一为“kernel”；统一维度表示方式，将“(1,3,224,224)”标准化为“[batch,channel,height,width]”），避免因模型格式差异导致的渲染异常；针对大模型（如1000层以上的GPT-2），对层数据进行抽样预处理（默认保留每10层的详细参数，其余层仅保留核心信息），降低渲染数据量，预处理耗时≤2秒（针对30GB NLP大模型）。</w:t>
      </w:r>
    </w:p>
    <w:p>
      <w:pPr>
        <w:pStyle w:val="2"/>
        <w:rPr>
          <w:rFonts w:hint="eastAsia"/>
        </w:rPr>
      </w:pPr>
      <w:r>
        <w:rPr>
          <w:rFonts w:hint="eastAsia"/>
        </w:rPr>
        <w:t>模板驱动渲染系统：采用“模板+数据”分离的渲染模式，为不同类型模型设计可视化模板，通过模板定义渲染规则（布局方式、颜色配置、参数展示逻辑），实现差异化展示，同时提升渲染灵活性与可扩展性。</w:t>
      </w:r>
    </w:p>
    <w:p>
      <w:pPr>
        <w:pStyle w:val="2"/>
        <w:rPr>
          <w:rFonts w:hint="eastAsia"/>
        </w:rPr>
      </w:pPr>
      <w:r>
        <w:rPr>
          <w:rFonts w:hint="eastAsia"/>
        </w:rPr>
        <w:t>模板结构设计：可视化模板采用JSON格式定义，包含“layout”（布局规则）、“style”（样式配置）、“parameterDisplay”（参数展示逻辑）三大模块。例如，YOLO模型模板的layout模块定义“分层折叠式”布局，style模块定义backbone为蓝色、head为橙色，parameterDisplay模块定义卷积层需展示“输入通道→输出通道，kernel尺寸，stride”参数。模板存储于MySQL的visual_template表，通过“模型类型”字段与模型关联（如“模型类型=目标检测-YOLO”关联YOLO模板），支持管理员在线编辑模板（修改颜色、调整参数展示项），修改后实时生效。</w:t>
      </w:r>
    </w:p>
    <w:p>
      <w:pPr>
        <w:pStyle w:val="2"/>
        <w:rPr>
          <w:rFonts w:hint="eastAsia"/>
        </w:rPr>
      </w:pPr>
      <w:r>
        <w:rPr>
          <w:rFonts w:hint="eastAsia"/>
        </w:rPr>
        <w:t>多引擎渲染适配：根据模型类型与数据规模选择合适的渲染引擎，确保渲染效率与展示效果平衡。针对计算机视觉模型（层数≤200层），采用D3.js渲染拓扑图，支持精细的节点交互与参数展示；针对自然语言大模型（层数≥100层），采用SVG矢量图形渲染，减少内存占用，同时支持无限缩放；针对目标跟踪模型的流程可视化，采用Mermaid.js绘制流程图，结合ECharts绘制轨迹模拟动画。渲染过程采用“分层渲染”策略：优先渲染模型整体结构（仅显示层名称与连接关系），用户交互时（如展开模块、点击节点）再动态加载详细参数与图形（如注意力热力图），初始渲染时间≤1秒（针对200层以内模型），交互响应时间≤100ms。</w:t>
      </w:r>
    </w:p>
    <w:p>
      <w:pPr>
        <w:pStyle w:val="2"/>
        <w:rPr>
          <w:rFonts w:hint="eastAsia"/>
        </w:rPr>
      </w:pPr>
      <w:r>
        <w:rPr>
          <w:rFonts w:hint="eastAsia"/>
        </w:rPr>
        <w:t>交互控制模块开发：基于前端事件驱动机制，开发丰富的交互功能，支持鼠标、键盘操作与触屏操作（适配试验场调试机的触屏显示器），提升操作便捷性。</w:t>
      </w:r>
    </w:p>
    <w:p>
      <w:pPr>
        <w:pStyle w:val="2"/>
        <w:rPr>
          <w:rFonts w:hint="eastAsia"/>
        </w:rPr>
      </w:pPr>
      <w:r>
        <w:rPr>
          <w:rFonts w:hint="eastAsia"/>
        </w:rPr>
        <w:t>基础交互功能：实现鼠标拖拽（拖动层节点调整位置）、滚轮缩放（缩放视图）、点击选中（选中层节点显示详情）、框选（选中多个节点对比参数）等基础操作；支持键盘快捷键（Ctrl+滚轮缩放、Ctrl+F搜索层节点、Ctrl+S导出可视化结果），提升操作效率；针对触屏设备，支持双指缩放、单指拖拽，确保多终端适配。</w:t>
      </w:r>
    </w:p>
    <w:p>
      <w:pPr>
        <w:pStyle w:val="2"/>
        <w:rPr>
          <w:rFonts w:hint="eastAsia"/>
        </w:rPr>
      </w:pPr>
      <w:r>
        <w:rPr>
          <w:rFonts w:hint="eastAsia"/>
        </w:rPr>
        <w:t>高级交互功能：开发“结构对比”功能，支持加载两个模型（如转换前后的模型），系统自动对齐层结构，用红色标识差异层，绿色标识一致层，点击差异层显示具体差异（如“转换前Conv2d→转换后GeMM”）；开发“参数筛选”功能，支持按参数条件筛选层（如“筛选所有卷积核尺寸为3×3的层”“筛选计算量＞1e6 FLOPs的层”），筛选结果用黄色高亮标识，快速定位关键层；开发“动态模拟”功能，针对目标检测模型，通过WebGL加载测试图像，调用ONNX Runtime执行推理，实时获取各层特征图数据并渲染展示（特征图用热力图形式呈现），支持帧步进（逐帧查看特征图变化）与进度条拖动（快速定位至某一帧）。</w:t>
      </w:r>
    </w:p>
    <w:p>
      <w:pPr>
        <w:pStyle w:val="2"/>
        <w:rPr>
          <w:rFonts w:hint="eastAsia"/>
        </w:rPr>
      </w:pPr>
      <w:r>
        <w:rPr>
          <w:rFonts w:hint="eastAsia"/>
        </w:rPr>
        <w:t>性能优化与兼容性保障：针对大模型渲染卡顿、浏览器兼容性差等问题，采用多项优化技术，确保可视化功能在试验场调试机环境下稳定运行。</w:t>
      </w:r>
    </w:p>
    <w:p>
      <w:pPr>
        <w:pStyle w:val="2"/>
        <w:rPr>
          <w:rFonts w:hint="eastAsia"/>
        </w:rPr>
      </w:pPr>
      <w:r>
        <w:rPr>
          <w:rFonts w:hint="eastAsia"/>
        </w:rPr>
        <w:t>渲染性能优化：利用WebWorker在后台线程处理模型解析与数据预处理，避免阻塞主线程导致界面无响应；采用“数据分片加载”策略，大模型（如1000层以上）的层数据按模块分片加载（一次加载10个模块），滚动视图时动态加载后续分片；对大规模参数数据（如注意力权重矩阵）采用抽样展示（默认显示10%的数据，用户点击“查看全部”加载完整数据），降低数据传输与渲染压力。优化后，支持3000层以上模型的流畅可视化，界面操作无卡顿。</w:t>
      </w:r>
    </w:p>
    <w:p>
      <w:pPr>
        <w:pStyle w:val="2"/>
        <w:rPr>
          <w:rFonts w:hint="eastAsia"/>
        </w:rPr>
      </w:pPr>
      <w:r>
        <w:rPr>
          <w:rFonts w:hint="eastAsia"/>
        </w:rPr>
        <w:t>浏览器兼容性适配：针对Chrome、Edge、Firefox主流浏览器（版本≥90.0），通过Babel转译ES6+语法，确保代码兼容；采用CSS前缀自动补全（如-webkit-、-moz-），确保样式在不同浏览器一致。</w:t>
      </w:r>
    </w:p>
    <w:p>
      <w:pPr>
        <w:pStyle w:val="2"/>
      </w:pPr>
      <w:r>
        <w:rPr>
          <w:rFonts w:hint="eastAsia"/>
        </w:rPr>
        <w:t>异常处理与容错：开发异常监测模块，实时捕捉解析与渲染过程中的错误（如模型结构损坏导致解析失败、渲染数据格式错误），并弹出友好提示（如“模型文件损坏，建议重新上传”“当前浏览器版本过低，推荐升级至Chrome 90+”），同时记录错误日志（包含错误类型、模型ID、操作时间）至MySQL的visual_error_log表，便于开发人员排查问题。支持“降级渲染”（解析失败时自动切换至基础解析模式，仅展示层名称与连接关系，避免可视化功能完全不可用），容错率≥98%。</w:t>
      </w:r>
    </w:p>
    <w:p>
      <w:pPr>
        <w:numPr>
          <w:ilvl w:val="0"/>
          <w:numId w:val="8"/>
        </w:numPr>
        <w:outlineLvl w:val="2"/>
        <w:rPr>
          <w:sz w:val="32"/>
          <w:szCs w:val="32"/>
        </w:rPr>
      </w:pPr>
      <w:bookmarkStart w:id="54" w:name="_Toc1272066401"/>
      <w:r>
        <w:rPr>
          <w:rFonts w:hint="eastAsia" w:ascii="仿宋_GB2312" w:eastAsia="仿宋_GB2312"/>
          <w:sz w:val="32"/>
          <w:szCs w:val="32"/>
          <w:lang w:val="en-US" w:eastAsia="zh-CN"/>
        </w:rPr>
        <w:t>跨平台推理测试模块</w:t>
      </w:r>
      <w:bookmarkEnd w:id="54"/>
    </w:p>
    <w:p>
      <w:pPr>
        <w:pStyle w:val="2"/>
      </w:pPr>
      <w:r>
        <w:rPr>
          <w:rFonts w:hint="eastAsia"/>
        </w:rPr>
        <w:t>跨平台推理测试模块作为模型转换效果的“验证关口”，需实现“多平台真机测试、多维度指标评估、自动化报告生成”，严格匹配“20类模型+4类平台”的测试覆盖要求，通过在华为昇腾、瑞芯微、英伟达、寒武纪真机环境下执行推理验证，精准评估转换后模型的功能完整性、性能达标率与精度稳定性，确保模型可直接用于试验场内场调试机的部署测试，避免因转换问题导致的部署失败。</w:t>
      </w:r>
    </w:p>
    <w:p>
      <w:pPr>
        <w:numPr>
          <w:ilvl w:val="1"/>
          <w:numId w:val="8"/>
        </w:numPr>
        <w:outlineLvl w:val="3"/>
      </w:pPr>
      <w:r>
        <w:rPr>
          <w:rFonts w:hint="eastAsia"/>
        </w:rPr>
        <w:t>功能描述：全维度推理验证能力</w:t>
      </w:r>
    </w:p>
    <w:p>
      <w:pPr>
        <w:pStyle w:val="2"/>
        <w:rPr>
          <w:rFonts w:hint="default"/>
          <w:lang w:val="en-US" w:eastAsia="zh-CN"/>
        </w:rPr>
      </w:pPr>
      <w:r>
        <w:rPr>
          <w:rFonts w:hint="default"/>
          <w:lang w:val="en-US" w:eastAsia="zh-CN"/>
        </w:rPr>
        <w:t>围绕“功能可用、性能达标、精度可控”核心目标，构建从“测试用例管理-多平台推理执行-指标评估-报告生成”的全流程测试体系，覆盖计算机视觉与自然语言处理模型的差异化测试需求，同时支持测试结果追溯与问题定位，为模型转换优化提供数据支撑。</w:t>
      </w:r>
    </w:p>
    <w:p>
      <w:pPr>
        <w:pStyle w:val="2"/>
        <w:rPr>
          <w:rFonts w:hint="default"/>
          <w:lang w:val="en-US" w:eastAsia="zh-CN"/>
        </w:rPr>
      </w:pPr>
      <w:r>
        <w:rPr>
          <w:rFonts w:hint="default"/>
          <w:lang w:val="en-US" w:eastAsia="zh-CN"/>
        </w:rPr>
        <w:t>测试用例全生命周期管理：支持测试数据的上传、分类、版本控制与复用，满足20类模型的测试数据需求。</w:t>
      </w:r>
    </w:p>
    <w:p>
      <w:pPr>
        <w:pStyle w:val="2"/>
        <w:rPr>
          <w:rFonts w:hint="default"/>
          <w:lang w:val="en-US" w:eastAsia="zh-CN"/>
        </w:rPr>
      </w:pPr>
      <w:r>
        <w:rPr>
          <w:rFonts w:hint="default"/>
          <w:lang w:val="en-US" w:eastAsia="zh-CN"/>
        </w:rPr>
        <w:t>多类型测试数据适配：兼容计算机视觉模型的图像数据（JPG/PNG/BMP格式，支持单张/批量上传，批量上限1000张，单张图像分辨率支持320×320~1280×1280）、自然语言模型的文本数据（TXT格式，支持单条文本输入与批量数据集上传，批量数据集需按“输入文本+预期结果”格式组织，如GLUE数据集的SST-2任务格式）、目标跟踪模型的视频数据（MP4/AVI格式，支持帧提取与关键帧标记）。上传时自动校验数据格式（如检测图像是否为RGB三通道、文本是否符合UTF-8编码），不兼容数据实时提示并提供格式转换工具（如将灰度图自动转为RGB图、ANSI编码文本转为UTF-8）。</w:t>
      </w:r>
    </w:p>
    <w:p>
      <w:pPr>
        <w:pStyle w:val="2"/>
        <w:rPr>
          <w:rFonts w:hint="default"/>
          <w:lang w:val="en-US" w:eastAsia="zh-CN"/>
        </w:rPr>
      </w:pPr>
      <w:r>
        <w:rPr>
          <w:rFonts w:hint="default"/>
          <w:lang w:val="en-US" w:eastAsia="zh-CN"/>
        </w:rPr>
        <w:t>测试用例分类与标签管理：按模型类型（目标检测/分类/跟踪/NLP大模型）与测试场景（功能验证/性能测试/精度对比）对测试用例打标签，如“目标检测-COCO验证集-精度测试”“BERT-GLUE-SST2-功能验证”。支持按标签快速筛选用例（如筛选“所有目标检测类精度测试用例”），同时支持用例版本控制（同一数据集更新时生成新版本，保留历史版本用于对比测试），用例复用率≥80%，减少重复数据上传工作量。</w:t>
      </w:r>
    </w:p>
    <w:p>
      <w:pPr>
        <w:pStyle w:val="2"/>
        <w:rPr>
          <w:rFonts w:hint="default"/>
          <w:lang w:val="en-US" w:eastAsia="zh-CN"/>
        </w:rPr>
      </w:pPr>
      <w:r>
        <w:rPr>
          <w:rFonts w:hint="default"/>
          <w:lang w:val="en-US" w:eastAsia="zh-CN"/>
        </w:rPr>
        <w:t>测试用例自动化生成：针对无现成测试数据的场景，提供自动化生成工具：目标检测模型支持生成含随机目标（如汽车、行人）的合成图像（可配置目标数量、背景类型）；自然语言模型支持基于模板生成文本（如“[主题]的[属性]是[值]”模板生成“智能模型的功能是格式转换”类文本）；生成数据自动关联模型类型（如为YOLOv8生成640×640分辨率图像），生成数量与参数可配置（如生成100张合成图像，目标数量2~5个/张），生成耗时≤1分钟/100条数据。</w:t>
      </w:r>
    </w:p>
    <w:p>
      <w:pPr>
        <w:pStyle w:val="2"/>
        <w:rPr>
          <w:rFonts w:hint="default"/>
          <w:lang w:val="en-US" w:eastAsia="zh-CN"/>
        </w:rPr>
      </w:pPr>
      <w:r>
        <w:rPr>
          <w:rFonts w:hint="default"/>
          <w:lang w:val="en-US" w:eastAsia="zh-CN"/>
        </w:rPr>
        <w:t>多平台真机推理执行：支持在4类平台的真机测试节点上执行推理任务，覆盖不同硬件配置（如华为Atlas 800服务器、瑞芯微RK3588开发板、英伟达Jetson AGX Orin、寒武纪思元370服务器），实现“一键提交-分布式执行-实时监控”。</w:t>
      </w:r>
    </w:p>
    <w:p>
      <w:pPr>
        <w:pStyle w:val="2"/>
        <w:rPr>
          <w:rFonts w:hint="default"/>
          <w:lang w:val="en-US" w:eastAsia="zh-CN"/>
        </w:rPr>
      </w:pPr>
      <w:r>
        <w:rPr>
          <w:rFonts w:hint="default"/>
          <w:lang w:val="en-US" w:eastAsia="zh-CN"/>
        </w:rPr>
        <w:t>测试节点选择与任务分配：用户提交推理任务时，可选择单平台单节点（如仅在瑞芯微RK3588节点测试）、单平台多节点（如在2台华为Atlas 800节点并行测试）、多平台多节点（如同时在英伟达RTX 4090与寒武纪思元590节点测试），系统自动检查所选节点在线状态与负载（CPU利用率≤70%、显存/NPU内存占用≤60%），若节点离线或过载则提示更换节点或等待。任务分配采用“负载均衡”策略，将批量测试任务（如1000张图像推理）拆分至多个节点并行执行，执行效率提升至单节点的3~5倍（取决于节点数量）。</w:t>
      </w:r>
    </w:p>
    <w:p>
      <w:pPr>
        <w:pStyle w:val="2"/>
        <w:rPr>
          <w:rFonts w:hint="default"/>
          <w:lang w:val="en-US" w:eastAsia="zh-CN"/>
        </w:rPr>
      </w:pPr>
      <w:r>
        <w:rPr>
          <w:rFonts w:hint="default"/>
          <w:lang w:val="en-US" w:eastAsia="zh-CN"/>
        </w:rPr>
        <w:t>推理参数配置：提供精细化参数配置功能，匹配不同模型与平台的测试需求：</w:t>
      </w:r>
    </w:p>
    <w:p>
      <w:pPr>
        <w:pStyle w:val="2"/>
        <w:rPr>
          <w:rFonts w:hint="default"/>
          <w:lang w:val="en-US" w:eastAsia="zh-CN"/>
        </w:rPr>
      </w:pPr>
      <w:r>
        <w:rPr>
          <w:rFonts w:hint="default"/>
          <w:lang w:val="en-US" w:eastAsia="zh-CN"/>
        </w:rPr>
        <w:t>推理精度模式：支持与模型转换一致的精度模式（FP32/FP16/INT8），确保测试环境与实际部署环境一致；</w:t>
      </w:r>
    </w:p>
    <w:p>
      <w:pPr>
        <w:pStyle w:val="2"/>
        <w:rPr>
          <w:rFonts w:hint="default"/>
          <w:lang w:val="en-US" w:eastAsia="zh-CN"/>
        </w:rPr>
      </w:pPr>
      <w:r>
        <w:rPr>
          <w:rFonts w:hint="default"/>
          <w:lang w:val="en-US" w:eastAsia="zh-CN"/>
        </w:rPr>
        <w:t>推理批次大小：支持批量推理（batch size=1/2/4/8，最大支持batch size=16，取决于节点内存大小），用于测试模型的吞吐量性能；</w:t>
      </w:r>
    </w:p>
    <w:p>
      <w:pPr>
        <w:pStyle w:val="2"/>
        <w:rPr>
          <w:rFonts w:hint="default"/>
          <w:lang w:val="en-US" w:eastAsia="zh-CN"/>
        </w:rPr>
      </w:pPr>
      <w:r>
        <w:rPr>
          <w:rFonts w:hint="default"/>
          <w:lang w:val="en-US" w:eastAsia="zh-CN"/>
        </w:rPr>
        <w:t>结果保存策略：可选择保存所有推理结果（如每张图像的检测框坐标、文本的分类概率）或仅保存异常结果（如推理失败、精度超差的结果），减少存储占用；</w:t>
      </w:r>
    </w:p>
    <w:p>
      <w:pPr>
        <w:pStyle w:val="2"/>
        <w:rPr>
          <w:rFonts w:hint="default"/>
          <w:lang w:val="en-US" w:eastAsia="zh-CN"/>
        </w:rPr>
      </w:pPr>
      <w:r>
        <w:rPr>
          <w:rFonts w:hint="default"/>
          <w:lang w:val="en-US" w:eastAsia="zh-CN"/>
        </w:rPr>
        <w:t>日志输出级别：支持WARN/ERROR</w:t>
      </w:r>
      <w:r>
        <w:rPr>
          <w:rFonts w:hint="eastAsia"/>
          <w:lang w:val="en-US" w:eastAsia="zh-CN"/>
        </w:rPr>
        <w:t>二</w:t>
      </w:r>
      <w:r>
        <w:rPr>
          <w:rFonts w:hint="default"/>
          <w:lang w:val="en-US" w:eastAsia="zh-CN"/>
        </w:rPr>
        <w:t>级日志。</w:t>
      </w:r>
    </w:p>
    <w:p>
      <w:pPr>
        <w:pStyle w:val="2"/>
        <w:rPr>
          <w:rFonts w:hint="default"/>
          <w:lang w:val="en-US" w:eastAsia="zh-CN"/>
        </w:rPr>
      </w:pPr>
      <w:r>
        <w:rPr>
          <w:rFonts w:hint="default"/>
          <w:lang w:val="en-US" w:eastAsia="zh-CN"/>
        </w:rPr>
        <w:t>推理过程实时监控：任务执行过程中，实时展示任务进度（如“已完成80/100张图像推理，进度80%”）、各节点执行状态（如“节点1：处理中，剩余30s；节点2：已完成”）、关键指标实时数据（如当前推理延迟、吞吐量）。支持任务暂停（暂停后保留已完成进度，恢复时从断点继续）与取消（取消后释放节点资源，删除临时结果），暂停/取消操作响应时间≤100ms。</w:t>
      </w:r>
    </w:p>
    <w:p>
      <w:pPr>
        <w:pStyle w:val="2"/>
        <w:rPr>
          <w:rFonts w:hint="default"/>
          <w:lang w:val="en-US" w:eastAsia="zh-CN"/>
        </w:rPr>
      </w:pPr>
      <w:r>
        <w:rPr>
          <w:rFonts w:hint="default"/>
          <w:lang w:val="en-US" w:eastAsia="zh-CN"/>
        </w:rPr>
        <w:t>多维度推理指标评估：从功能、性能、精度三个核心维度评估推理效果，生成量化指标，全面验证模型转换质量。</w:t>
      </w:r>
    </w:p>
    <w:p>
      <w:pPr>
        <w:pStyle w:val="2"/>
        <w:rPr>
          <w:rFonts w:hint="default"/>
          <w:lang w:val="en-US" w:eastAsia="zh-CN"/>
        </w:rPr>
      </w:pPr>
      <w:r>
        <w:rPr>
          <w:rFonts w:hint="default"/>
          <w:lang w:val="en-US" w:eastAsia="zh-CN"/>
        </w:rPr>
        <w:t>功能验证指标：评估模型在目标平台的推理可用性，核心指标包括推理成功率（成功推理的测试用例数/总测试用例数，目标≥99.5%）、模型加载成功率（成功加载模型的节点数/总节点数，目标100%）、无异常输出率（输出结果格式合法、无空值/NaN值的测试用例数/总测试用例数，目标≥99%）。若推理失败（如模型加载报错、推理超时），自动记录失败原因（如“显存不足”“算子执行错误”）与错误日志，便于定位转换或硬件问题。</w:t>
      </w:r>
    </w:p>
    <w:p>
      <w:pPr>
        <w:pStyle w:val="2"/>
        <w:rPr>
          <w:rFonts w:hint="default"/>
          <w:lang w:val="en-US" w:eastAsia="zh-CN"/>
        </w:rPr>
      </w:pPr>
      <w:r>
        <w:rPr>
          <w:rFonts w:hint="default"/>
          <w:lang w:val="en-US" w:eastAsia="zh-CN"/>
        </w:rPr>
        <w:t>性能测试指标：评估模型在目标平台的运行效率，核心指标包括：</w:t>
      </w:r>
    </w:p>
    <w:p>
      <w:pPr>
        <w:pStyle w:val="2"/>
        <w:rPr>
          <w:rFonts w:hint="default"/>
          <w:lang w:val="en-US" w:eastAsia="zh-CN"/>
        </w:rPr>
      </w:pPr>
      <w:r>
        <w:rPr>
          <w:rFonts w:hint="default"/>
          <w:lang w:val="en-US" w:eastAsia="zh-CN"/>
        </w:rPr>
        <w:t>推理延迟：单条测试用例从输入到输出的耗时，取100轮推理的平均值（排除首轮加载耗时），单位ms，不同平台延迟阈值不同（如英伟达RTX 4090目标检测模型延迟≤</w:t>
      </w:r>
      <w:r>
        <w:rPr>
          <w:rFonts w:hint="eastAsia"/>
          <w:lang w:val="en-US" w:eastAsia="zh-CN"/>
        </w:rPr>
        <w:t>300</w:t>
      </w:r>
      <w:r>
        <w:rPr>
          <w:rFonts w:hint="default"/>
          <w:lang w:val="en-US" w:eastAsia="zh-CN"/>
        </w:rPr>
        <w:t>ms，瑞芯微RK3588延迟≤</w:t>
      </w:r>
      <w:r>
        <w:rPr>
          <w:rFonts w:hint="eastAsia"/>
          <w:lang w:val="en-US" w:eastAsia="zh-CN"/>
        </w:rPr>
        <w:t>3</w:t>
      </w:r>
      <w:r>
        <w:rPr>
          <w:rFonts w:hint="default"/>
          <w:lang w:val="en-US" w:eastAsia="zh-CN"/>
        </w:rPr>
        <w:t>00ms）；</w:t>
      </w:r>
    </w:p>
    <w:p>
      <w:pPr>
        <w:pStyle w:val="2"/>
        <w:rPr>
          <w:rFonts w:hint="default"/>
          <w:lang w:val="en-US" w:eastAsia="zh-CN"/>
        </w:rPr>
      </w:pPr>
      <w:r>
        <w:rPr>
          <w:rFonts w:hint="default"/>
          <w:lang w:val="en-US" w:eastAsia="zh-CN"/>
        </w:rPr>
        <w:t>吞吐量（QPS）：单位时间内处理的测试用例数，计算公式为“batch size/平均推理延迟×1000”，用于评估模型的并发处理能力；</w:t>
      </w:r>
    </w:p>
    <w:p>
      <w:pPr>
        <w:pStyle w:val="2"/>
        <w:rPr>
          <w:rFonts w:hint="default"/>
          <w:lang w:val="en-US" w:eastAsia="zh-CN"/>
        </w:rPr>
      </w:pPr>
      <w:r>
        <w:rPr>
          <w:rFonts w:hint="default"/>
          <w:lang w:val="en-US" w:eastAsia="zh-CN"/>
        </w:rPr>
        <w:t>硬件资源占用：推理过程中CPU利用率（目标≤80%）、显存/NPU内存占用峰值（目标≤70%）、硬件功耗（仅边缘节点如RK3588/Jetson Orin，目标≤15W），通过平台专用工具（nvidia-smi、npu-smi、rk-smi）实时采集。</w:t>
      </w:r>
    </w:p>
    <w:p>
      <w:pPr>
        <w:pStyle w:val="2"/>
        <w:rPr>
          <w:rFonts w:hint="default"/>
          <w:lang w:val="en-US" w:eastAsia="zh-CN"/>
        </w:rPr>
      </w:pPr>
      <w:r>
        <w:rPr>
          <w:rFonts w:hint="default"/>
          <w:lang w:val="en-US" w:eastAsia="zh-CN"/>
        </w:rPr>
        <w:t>精度对比指标：以英伟达RTX 4090平台（FP32精度）的推理结果为基准，计算其他平台的精度损失，核心指标按模型类型差异化设计：</w:t>
      </w:r>
    </w:p>
    <w:p>
      <w:pPr>
        <w:pStyle w:val="2"/>
        <w:rPr>
          <w:rFonts w:hint="default"/>
          <w:lang w:val="en-US" w:eastAsia="zh-CN"/>
        </w:rPr>
      </w:pPr>
      <w:r>
        <w:rPr>
          <w:rFonts w:hint="default"/>
          <w:lang w:val="en-US" w:eastAsia="zh-CN"/>
        </w:rPr>
        <w:t>目标检测模型：mAP（mean Average Precision，目标损失≤</w:t>
      </w:r>
      <w:r>
        <w:rPr>
          <w:rFonts w:hint="eastAsia"/>
          <w:lang w:val="en-US" w:eastAsia="zh-CN"/>
        </w:rPr>
        <w:t>10</w:t>
      </w:r>
      <w:r>
        <w:rPr>
          <w:rFonts w:hint="default"/>
          <w:lang w:val="en-US" w:eastAsia="zh-CN"/>
        </w:rPr>
        <w:t>%）、Precision（精确率，目标损失≤</w:t>
      </w:r>
      <w:r>
        <w:rPr>
          <w:rFonts w:hint="eastAsia"/>
          <w:lang w:val="en-US" w:eastAsia="zh-CN"/>
        </w:rPr>
        <w:t>10</w:t>
      </w:r>
      <w:r>
        <w:rPr>
          <w:rFonts w:hint="default"/>
          <w:lang w:val="en-US" w:eastAsia="zh-CN"/>
        </w:rPr>
        <w:t>%）、Recall（召回率，目标损失≤</w:t>
      </w:r>
      <w:r>
        <w:rPr>
          <w:rFonts w:hint="eastAsia"/>
          <w:lang w:val="en-US" w:eastAsia="zh-CN"/>
        </w:rPr>
        <w:t>10</w:t>
      </w:r>
      <w:r>
        <w:rPr>
          <w:rFonts w:hint="default"/>
          <w:lang w:val="en-US" w:eastAsia="zh-CN"/>
        </w:rPr>
        <w:t>%），采用COCO评估标准计算；</w:t>
      </w:r>
    </w:p>
    <w:p>
      <w:pPr>
        <w:pStyle w:val="2"/>
        <w:rPr>
          <w:rFonts w:hint="default"/>
          <w:lang w:val="en-US" w:eastAsia="zh-CN"/>
        </w:rPr>
      </w:pPr>
      <w:r>
        <w:rPr>
          <w:rFonts w:hint="default"/>
          <w:lang w:val="en-US" w:eastAsia="zh-CN"/>
        </w:rPr>
        <w:t>目标分类模型：Top-1 Accuracy（目标损失≤</w:t>
      </w:r>
      <w:r>
        <w:rPr>
          <w:rFonts w:hint="eastAsia"/>
          <w:lang w:val="en-US" w:eastAsia="zh-CN"/>
        </w:rPr>
        <w:t>10</w:t>
      </w:r>
      <w:r>
        <w:rPr>
          <w:rFonts w:hint="default"/>
          <w:lang w:val="en-US" w:eastAsia="zh-CN"/>
        </w:rPr>
        <w:t>%）、Top-5 Accuracy（目标损失≤</w:t>
      </w:r>
      <w:r>
        <w:rPr>
          <w:rFonts w:hint="eastAsia"/>
          <w:lang w:val="en-US" w:eastAsia="zh-CN"/>
        </w:rPr>
        <w:t>10</w:t>
      </w:r>
      <w:r>
        <w:rPr>
          <w:rFonts w:hint="default"/>
          <w:lang w:val="en-US" w:eastAsia="zh-CN"/>
        </w:rPr>
        <w:t>%），采用ImageNet评估标准计算；</w:t>
      </w:r>
    </w:p>
    <w:p>
      <w:pPr>
        <w:pStyle w:val="2"/>
        <w:rPr>
          <w:rFonts w:hint="default"/>
          <w:lang w:val="en-US" w:eastAsia="zh-CN"/>
        </w:rPr>
      </w:pPr>
      <w:r>
        <w:rPr>
          <w:rFonts w:hint="default"/>
          <w:lang w:val="en-US" w:eastAsia="zh-CN"/>
        </w:rPr>
        <w:t>目标跟踪模型：MOTA（多目标跟踪精度，目标损失≤</w:t>
      </w:r>
      <w:r>
        <w:rPr>
          <w:rFonts w:hint="eastAsia"/>
          <w:lang w:val="en-US" w:eastAsia="zh-CN"/>
        </w:rPr>
        <w:t>10</w:t>
      </w:r>
      <w:r>
        <w:rPr>
          <w:rFonts w:hint="default"/>
          <w:lang w:val="en-US" w:eastAsia="zh-CN"/>
        </w:rPr>
        <w:t>%）、ID Switch（身份切换次数，目标≤10次/100帧），采用MOT17评估标准计算；</w:t>
      </w:r>
    </w:p>
    <w:p>
      <w:pPr>
        <w:pStyle w:val="2"/>
        <w:rPr>
          <w:rFonts w:hint="default"/>
          <w:lang w:val="en-US" w:eastAsia="zh-CN"/>
        </w:rPr>
      </w:pPr>
      <w:r>
        <w:rPr>
          <w:rFonts w:hint="default"/>
          <w:lang w:val="en-US" w:eastAsia="zh-CN"/>
        </w:rPr>
        <w:t>自然语言大模型：GLUE Score（含CoLA、SST-2等子任务，目标损失≤5%）、BLEU Score（生成式模型，目标损失≤</w:t>
      </w:r>
      <w:r>
        <w:rPr>
          <w:rFonts w:hint="eastAsia"/>
          <w:lang w:val="en-US" w:eastAsia="zh-CN"/>
        </w:rPr>
        <w:t>10</w:t>
      </w:r>
      <w:r>
        <w:rPr>
          <w:rFonts w:hint="default"/>
          <w:lang w:val="en-US" w:eastAsia="zh-CN"/>
        </w:rPr>
        <w:t>%），采用Hugging Face评估库计算。</w:t>
      </w:r>
    </w:p>
    <w:p>
      <w:pPr>
        <w:pStyle w:val="2"/>
        <w:rPr>
          <w:rFonts w:hint="default"/>
          <w:lang w:val="en-US" w:eastAsia="zh-CN"/>
        </w:rPr>
      </w:pPr>
      <w:r>
        <w:rPr>
          <w:rFonts w:hint="default"/>
          <w:lang w:val="en-US" w:eastAsia="zh-CN"/>
        </w:rPr>
        <w:t>若精度损失超过预设阈值，自动标记为“精度异常”，并分析异常原因（如“INT8量化导致小目标检测精度下降”“算子替换导致注意力权重偏移”），提供优化建议（如“降低量化精度至FP16”“更换算子映射规则”）。</w:t>
      </w:r>
      <w:r>
        <w:rPr>
          <w:rFonts w:hint="eastAsia"/>
          <w:lang w:val="en-US" w:eastAsia="zh-CN"/>
        </w:rPr>
        <w:t>注意，本系统重点是设置精度损失阈值和提示，不包括精度损失性能指标提升。</w:t>
      </w:r>
    </w:p>
    <w:p>
      <w:pPr>
        <w:pStyle w:val="2"/>
        <w:rPr>
          <w:rFonts w:hint="default"/>
          <w:lang w:val="en-US" w:eastAsia="zh-CN"/>
        </w:rPr>
      </w:pPr>
      <w:r>
        <w:rPr>
          <w:rFonts w:hint="default"/>
          <w:lang w:val="en-US" w:eastAsia="zh-CN"/>
        </w:rPr>
        <w:t>自动化测试报告生成与追溯：推理测试完成后，自动生成标准化测试报告，支持在线查看、下载与问题追溯，为模型转换优化与验收提供依据。</w:t>
      </w:r>
    </w:p>
    <w:p>
      <w:pPr>
        <w:pStyle w:val="2"/>
        <w:rPr>
          <w:rFonts w:hint="default"/>
          <w:lang w:val="en-US" w:eastAsia="zh-CN"/>
        </w:rPr>
      </w:pPr>
      <w:r>
        <w:rPr>
          <w:rFonts w:hint="default"/>
          <w:lang w:val="en-US" w:eastAsia="zh-CN"/>
        </w:rPr>
        <w:t>报告内容与格式：报告包含测试概况（测试模型、目标平台、测试时间、测试人员、用例数量）、功能验证结果（各指标数值与达标情况，如“推理成功率99.8%，达标”）、性能数据图表（不同平台的推理延迟对比图、吞吐量趋势图、资源占用热力图）、精度对比详情（各指标基准值、测试值、损失率，异常指标标红）、问题汇总（推理失败/精度异常的用例列表、失败原因、优化建议）。报告支持HTML/PDF/Excel三种格式，HTML格式支持交互操作（如点击图表查看具体数值），PDF格式用于存档与验收，Excel格式用于数据导出与二次分析。</w:t>
      </w:r>
    </w:p>
    <w:p>
      <w:pPr>
        <w:pStyle w:val="2"/>
        <w:rPr>
          <w:rFonts w:hint="default"/>
          <w:lang w:val="en-US" w:eastAsia="zh-CN"/>
        </w:rPr>
      </w:pPr>
      <w:r>
        <w:rPr>
          <w:rFonts w:hint="default"/>
          <w:lang w:val="en-US" w:eastAsia="zh-CN"/>
        </w:rPr>
        <w:t>报告追溯与版本关联：报告自动关联模型版本（如“YOLOv8-V2.0”）、转换任务ID（如“task-20240520-001”）与测试用例版本，用户可通过模型版本或任务ID快速查询历史测试报告（默认保留90天），对比不同版本模型的测试结果（如“V2.0比V1.0在瑞芯微平台推理延迟降低20ms，mAP提升2%”）。报告中所有数据均关联原始测试日志，点击“查看日志”可跳转至对应的推理日志页面，查看详细操作记录与错误信息，便于问题定位。</w:t>
      </w:r>
    </w:p>
    <w:p>
      <w:pPr>
        <w:numPr>
          <w:ilvl w:val="1"/>
          <w:numId w:val="8"/>
        </w:numPr>
        <w:outlineLvl w:val="3"/>
      </w:pPr>
      <w:r>
        <w:rPr>
          <w:rFonts w:hint="eastAsia"/>
        </w:rPr>
        <w:t>技术实现方案</w:t>
      </w:r>
      <w:r>
        <w:rPr>
          <w:rFonts w:hint="eastAsia"/>
          <w:lang w:eastAsia="zh-CN"/>
        </w:rPr>
        <w:t>：高可靠、自动化的测试架构</w:t>
      </w:r>
    </w:p>
    <w:p>
      <w:pPr>
        <w:pStyle w:val="2"/>
        <w:ind w:left="0" w:leftChars="0" w:firstLine="420" w:firstLineChars="0"/>
        <w:rPr>
          <w:rFonts w:hint="eastAsia"/>
        </w:rPr>
      </w:pPr>
      <w:r>
        <w:rPr>
          <w:rFonts w:hint="eastAsia"/>
        </w:rPr>
        <w:t>围绕“4类平台真机验证、20类模型全量测试”核心需求，采用“分布式调度+插件化适配+自动化评估”技术架构，从测试用例管理、推理执行、指标评估、异常处理四大维度构建技术体系，解决多平台环境差异、大规模测试效率低、精度评估复杂等问题，确保推理测试结果精准匹配试验场内场调试机的部署需求。</w:t>
      </w:r>
    </w:p>
    <w:p>
      <w:pPr>
        <w:pStyle w:val="2"/>
        <w:ind w:left="0" w:leftChars="0" w:firstLine="420" w:firstLineChars="0"/>
        <w:rPr>
          <w:rFonts w:hint="eastAsia"/>
          <w:lang w:eastAsia="zh-CN"/>
        </w:rPr>
      </w:pPr>
      <w:r>
        <w:rPr>
          <w:rFonts w:hint="eastAsia"/>
          <w:lang w:eastAsia="zh-CN"/>
        </w:rPr>
        <w:t>采用“分布式调度+平台插件化+自动化评估”架构，解决多平台适配与大规模测试效率问题，确保验证结果精准可靠。</w:t>
      </w:r>
    </w:p>
    <w:p>
      <w:pPr>
        <w:pStyle w:val="2"/>
        <w:ind w:left="0" w:leftChars="0" w:firstLine="420" w:firstLineChars="0"/>
        <w:rPr>
          <w:rFonts w:hint="eastAsia"/>
          <w:lang w:eastAsia="zh-CN"/>
        </w:rPr>
      </w:pPr>
      <w:r>
        <w:rPr>
          <w:rFonts w:hint="eastAsia"/>
          <w:lang w:eastAsia="zh-CN"/>
        </w:rPr>
        <w:t>测试用例管理实现：采用“MinIO存储+MySQL索引”架构，测试数据按“模型类型/测试场景”路径存储于MinIO，元数据（用例ID、存储路径、标签）存入MySQL并建立联合索引，查询耗时≤</w:t>
      </w:r>
      <w:r>
        <w:rPr>
          <w:rFonts w:hint="eastAsia"/>
          <w:lang w:val="en-US" w:eastAsia="zh-CN"/>
        </w:rPr>
        <w:t>20</w:t>
      </w:r>
      <w:r>
        <w:rPr>
          <w:rFonts w:hint="eastAsia"/>
          <w:lang w:eastAsia="zh-CN"/>
        </w:rPr>
        <w:t>0ms。自动生成工具基于OpenCV（图像）、Jinja2模板（文本）开发，支持后台异步生成，生成后自动上传并创建索引。</w:t>
      </w:r>
    </w:p>
    <w:p>
      <w:pPr>
        <w:pStyle w:val="2"/>
        <w:ind w:left="0" w:leftChars="0" w:firstLine="420" w:firstLineChars="0"/>
        <w:rPr>
          <w:rFonts w:hint="eastAsia"/>
          <w:lang w:eastAsia="zh-CN"/>
        </w:rPr>
      </w:pPr>
      <w:r>
        <w:rPr>
          <w:rFonts w:hint="eastAsia"/>
          <w:lang w:eastAsia="zh-CN"/>
        </w:rPr>
        <w:t>推理执行架构：以RabbitMQ构建调度中心，</w:t>
      </w:r>
      <w:r>
        <w:rPr>
          <w:rFonts w:hint="eastAsia"/>
          <w:lang w:val="en-US" w:eastAsia="zh-CN"/>
        </w:rPr>
        <w:t>手动选择</w:t>
      </w:r>
      <w:r>
        <w:rPr>
          <w:rFonts w:hint="eastAsia"/>
          <w:lang w:eastAsia="zh-CN"/>
        </w:rPr>
        <w:t>节点分配任务。为4类平台开发专用插件：华为昇腾基于CANN SDK封装OM模型推理逻辑，瑞芯微调用RKNN Toolkit实现RKNN模型加载与推理，英伟达通过TensorRT API优化执行效率，寒武纪依托MagicMind SDK适配CNModel格式，插件支持动态加载，新增平台无需修改核心代码。</w:t>
      </w:r>
    </w:p>
    <w:p>
      <w:pPr>
        <w:pStyle w:val="2"/>
        <w:ind w:left="0" w:leftChars="0" w:firstLine="420" w:firstLineChars="0"/>
        <w:rPr>
          <w:rFonts w:hint="eastAsia"/>
          <w:lang w:eastAsia="zh-CN"/>
        </w:rPr>
      </w:pPr>
      <w:r>
        <w:rPr>
          <w:rFonts w:hint="eastAsia"/>
          <w:lang w:eastAsia="zh-CN"/>
        </w:rPr>
        <w:t>指标评估与报告生成：集成行业标准评估算法（如COCOEvaluator计算mAP、Hugging Face库计算GLUE Score），自动对比基准数据计算精度损失。报告基于模板驱动生成，调用ECharts绘制性能对比图表，支持在线查看与导出，关键数据关联原始推理日志，点击可跳转查看详细错误信息（如算子执行报错日志）。</w:t>
      </w:r>
    </w:p>
    <w:p>
      <w:pPr>
        <w:numPr>
          <w:ilvl w:val="0"/>
          <w:numId w:val="8"/>
        </w:numPr>
        <w:outlineLvl w:val="2"/>
        <w:rPr>
          <w:sz w:val="32"/>
          <w:szCs w:val="32"/>
        </w:rPr>
      </w:pPr>
      <w:bookmarkStart w:id="55" w:name="_Toc1420295722"/>
      <w:r>
        <w:rPr>
          <w:rFonts w:hint="eastAsia" w:ascii="仿宋_GB2312" w:eastAsia="仿宋_GB2312"/>
          <w:sz w:val="32"/>
          <w:szCs w:val="32"/>
          <w:lang w:val="en-US" w:eastAsia="zh-CN"/>
        </w:rPr>
        <w:t>任务监控模块</w:t>
      </w:r>
      <w:bookmarkEnd w:id="55"/>
    </w:p>
    <w:p>
      <w:pPr>
        <w:pStyle w:val="2"/>
      </w:pPr>
      <w:r>
        <w:rPr>
          <w:rFonts w:hint="eastAsia"/>
        </w:rPr>
        <w:t>任务监控模块作为系统运行状态的“可视化中枢”，需实现“全类型任务跟踪、多维度状态监控、异常实时告警、操作可追溯”，覆盖模型上传、格式转换、推理测试等全流程任务，帮助试验场技术人员实时掌握任务进度、快速定位异常问题，确保系统在多任务并发场景下稳定可控。</w:t>
      </w:r>
    </w:p>
    <w:p>
      <w:pPr>
        <w:numPr>
          <w:ilvl w:val="1"/>
          <w:numId w:val="8"/>
        </w:numPr>
        <w:outlineLvl w:val="3"/>
      </w:pPr>
      <w:r>
        <w:rPr>
          <w:rFonts w:hint="eastAsia"/>
        </w:rPr>
        <w:t>功能描述</w:t>
      </w:r>
    </w:p>
    <w:p>
      <w:pPr>
        <w:pStyle w:val="2"/>
        <w:rPr>
          <w:rFonts w:hint="eastAsia"/>
        </w:rPr>
      </w:pPr>
      <w:r>
        <w:rPr>
          <w:rFonts w:hint="eastAsia"/>
        </w:rPr>
        <w:t>围绕“实时性、全面性、可操作性”核心目标，构建任务全生命周期监控体系，覆盖任务可视化、状态追踪、异常告警、操作管理四大核心能力，适配试验场多用户、多任务并行的使用场景。</w:t>
      </w:r>
    </w:p>
    <w:p>
      <w:pPr>
        <w:pStyle w:val="2"/>
        <w:rPr>
          <w:rFonts w:hint="eastAsia"/>
        </w:rPr>
      </w:pPr>
      <w:r>
        <w:rPr>
          <w:rFonts w:hint="eastAsia"/>
        </w:rPr>
        <w:t>全类型任务可视化展示：支持模型上传、格式转换、推理测试等所有系统任务的统一展示，以列表视图呈现任务核心信息，包括任务ID（UUID唯一标识）、任务名称（如“YOLOv8-华为昇腾转换”）、任务类型（模型上传/格式转换/推理测试）、提交人、提交时间、当前状态（等待中/处理中/成功/失败）、关联资源（如涉及的模型ID、目标平台）。支持按任务类型（如仅查看“格式转换”任务）、状态（如筛选“失败”任务）、时间范围（今日/昨日/近7天/自定义）、提交人多维度筛选，列表支持分页（每页10/20/50条可选）与排序（按提交时间降序/进度升序），单页加载耗时≤300ms。</w:t>
      </w:r>
    </w:p>
    <w:p>
      <w:pPr>
        <w:pStyle w:val="2"/>
        <w:rPr>
          <w:rFonts w:hint="eastAsia"/>
        </w:rPr>
      </w:pPr>
      <w:r>
        <w:rPr>
          <w:rFonts w:hint="eastAsia"/>
        </w:rPr>
        <w:t>任务状态实时追踪：针对处理中任务，实时更新进度与执行细节：进度通过“进度条+百分比”直观展示，同时标注当前执行阶段（如格式转换任务标注“ONNX格式解析中”“目标平台插件加载中”）；点击任务条目可展开详情面板，查看任务参数（如转换任务的目标平台、精度模式，推理测试的用例数量）、执行日志（按时间顺序记录关键操作，如“2024-05-20</w:t>
      </w:r>
      <w:r>
        <w:rPr>
          <w:rFonts w:hint="eastAsia"/>
          <w:lang w:val="en-US" w:eastAsia="zh-CN"/>
        </w:rPr>
        <w:t xml:space="preserve"> </w:t>
      </w:r>
      <w:r>
        <w:rPr>
          <w:rFonts w:hint="eastAsia"/>
        </w:rPr>
        <w:t>14:30:00模型解析完成，耗时15s”“2024-05-20 14:32:00开始INT8量化”）、资源占用（如CPU/内存/显存实时利用率，仅推理/转换任务展示），日志支持关键词搜索（如搜索“错误”快速定位异常节点）。</w:t>
      </w:r>
    </w:p>
    <w:p>
      <w:pPr>
        <w:pStyle w:val="2"/>
        <w:rPr>
          <w:rFonts w:hint="eastAsia"/>
        </w:rPr>
      </w:pPr>
      <w:r>
        <w:rPr>
          <w:rFonts w:hint="eastAsia"/>
        </w:rPr>
        <w:t>异常实时告警与处理：当任务出现异常（如转换失败、推理超时、硬件节点离线）时，系统立即触发告警：前端界面弹出红色告警弹窗，显示任务ID、异常类型（如“算子不兼容”“显存溢出”）与简要原因；同时在任务列表中用红色标识异常任务，标注“异常”标签。提供快速处理入口：点击告警弹窗的“查看详情”可跳转至任务详情面板，点击“重试任务”可沿用原参数重新提交（失败任务专属），告警响应时间≤100ms。</w:t>
      </w:r>
    </w:p>
    <w:p>
      <w:pPr>
        <w:pStyle w:val="2"/>
        <w:rPr>
          <w:rFonts w:hint="eastAsia"/>
        </w:rPr>
      </w:pPr>
      <w:r>
        <w:rPr>
          <w:rFonts w:hint="eastAsia"/>
        </w:rPr>
        <w:t>任务操作与管理：支持任务全生命周期操作，满足灵活管控需求：处理中任务支持“暂停”（保留当前进度，恢复时从断点继续）与“取消”（释放占用资源，删除临时文件），暂停/取消操作实时生效；成功任务支持“查看结果”（如跳转至转换后模型下载页、推理测试报告页）与“重新执行”（基于原参数生成新任务）；失败任务支持“查看日志”（定位失败原因）与“参数修改后重试”（跳转至参数配置页，保留原配置便于调整）。同时支持批量操作（如选中多个等待中任务批量取消、批量导出任务日志），提升管理效率。</w:t>
      </w:r>
    </w:p>
    <w:p>
      <w:pPr>
        <w:numPr>
          <w:ilvl w:val="1"/>
          <w:numId w:val="8"/>
        </w:numPr>
        <w:outlineLvl w:val="3"/>
        <w:rPr>
          <w:rFonts w:hint="eastAsia"/>
        </w:rPr>
      </w:pPr>
      <w:r>
        <w:rPr>
          <w:rFonts w:hint="eastAsia"/>
        </w:rPr>
        <w:t>技术实现方案​</w:t>
      </w:r>
    </w:p>
    <w:p>
      <w:pPr>
        <w:pStyle w:val="2"/>
        <w:rPr>
          <w:rFonts w:hint="eastAsia"/>
        </w:rPr>
      </w:pPr>
      <w:r>
        <w:rPr>
          <w:rFonts w:hint="eastAsia"/>
        </w:rPr>
        <w:t>基于“前端实时交互+后端状态同步+分布式日志采集”技术架构，实现任务监控的实时性、准确性与可扩展性，适配系统多模块协同与多平台部署需求。</w:t>
      </w:r>
    </w:p>
    <w:p>
      <w:pPr>
        <w:pStyle w:val="2"/>
        <w:rPr>
          <w:rFonts w:hint="eastAsia"/>
        </w:rPr>
      </w:pPr>
      <w:r>
        <w:rPr>
          <w:rFonts w:hint="eastAsia"/>
        </w:rPr>
        <w:t>前端交互层实现：采用Vue3+Element Plus构建响应式监控界面，通过WebSocket</w:t>
      </w:r>
      <w:r>
        <w:rPr>
          <w:rFonts w:hint="eastAsia"/>
          <w:lang w:val="en-US" w:eastAsia="zh-CN"/>
        </w:rPr>
        <w:t>或者前段轮询方式</w:t>
      </w:r>
      <w:r>
        <w:rPr>
          <w:rFonts w:hint="eastAsia"/>
        </w:rPr>
        <w:t>实现任务状态实时更新，避免页面刷新。任务列表基于虚拟滚动列表实现，支持万级任务数据流畅加载，解决大规模任务场景下的界面卡顿问题；进度条与状态标签采用动态样式绑定，处理中任务进度条展示动画效果，异常任务标签自动闪烁提示；详情面板采用折叠面板组件，默认折叠核心信息，点击展开详细日志与资源监控图表（基于ECharts绘制CPU/内存利用率趋势图），日志展示支持代码高亮（突出错误信息）与分页加载（每50条日志一页），提升可读性。</w:t>
      </w:r>
    </w:p>
    <w:p>
      <w:pPr>
        <w:pStyle w:val="2"/>
        <w:rPr>
          <w:rFonts w:hint="eastAsia"/>
        </w:rPr>
      </w:pPr>
      <w:r>
        <w:rPr>
          <w:rFonts w:hint="eastAsia"/>
        </w:rPr>
        <w:t>后端状态管理与同步：基于</w:t>
      </w:r>
      <w:r>
        <w:rPr>
          <w:rFonts w:hint="eastAsia"/>
          <w:lang w:val="en-US" w:eastAsia="zh-CN"/>
        </w:rPr>
        <w:t>常见Rest框架</w:t>
      </w:r>
      <w:r>
        <w:rPr>
          <w:rFonts w:hint="eastAsia"/>
        </w:rPr>
        <w:t>+Redis+MySQL构建任务状态管理体系：MySQL的“task_status”表存储任务基础状态（如等待中/成功/失败）与核心参数，建立“任务ID”主键索引与“状态+提交时间”联合索引，确保状态查询耗时≤</w:t>
      </w:r>
      <w:r>
        <w:rPr>
          <w:rFonts w:hint="eastAsia"/>
          <w:lang w:val="en-US" w:eastAsia="zh-CN"/>
        </w:rPr>
        <w:t>20</w:t>
      </w:r>
      <w:r>
        <w:rPr>
          <w:rFonts w:hint="eastAsia"/>
        </w:rPr>
        <w:t>0ms；Redis缓存处理中任务的实时进度（如“task:123:progress”存储进度百分比）与执行阶段（如“task:123:step”存储当前阶段），采用Hash数据结构存储多维度状态信息，支持单独更新某一字段（如仅更新进度，无需重新写入完整状态）；后端服务通过RabbitMQ接收各业务模块（模型管理、转换系统、推理测试）的任务状态变更通知，同步更新MySQL与Redis数据，并通过WebSocket向前端推送状态更新消息，状态同步延迟≤</w:t>
      </w:r>
      <w:r>
        <w:rPr>
          <w:rFonts w:hint="eastAsia"/>
          <w:lang w:val="en-US" w:eastAsia="zh-CN"/>
        </w:rPr>
        <w:t>30</w:t>
      </w:r>
      <w:r>
        <w:rPr>
          <w:rFonts w:hint="eastAsia"/>
        </w:rPr>
        <w:t>00ms。</w:t>
      </w:r>
    </w:p>
    <w:p>
      <w:pPr>
        <w:pStyle w:val="2"/>
        <w:rPr>
          <w:rFonts w:hint="eastAsia"/>
        </w:rPr>
      </w:pPr>
      <w:r>
        <w:rPr>
          <w:rFonts w:hint="eastAsia"/>
        </w:rPr>
        <w:t>分布式日志采集与展示：采用ELK（Elasticsearch+Logstash+Kibana）架构实现任务日志的分布式采集与检索：各业务模块（如转换系统、推理模块）将任务执行日志通过Logstash输出至Elasticsearch，按“任务ID”分片存储，建立“任务ID+时间戳”索引，确保日志查询耗时≤1秒；前端日志查看功能通过调用Elasticsearch REST API实现日志检索，支持关键词模糊查询、时间范围筛选与日志级别过滤（DEBUG/INFO/WARN/ERROR），日志展示采用分页加载与滚动加载结合方式，避免大量日志数据一次性渲染导致的界面卡顿。</w:t>
      </w:r>
    </w:p>
    <w:p>
      <w:pPr>
        <w:pStyle w:val="2"/>
        <w:rPr>
          <w:rFonts w:hint="eastAsia"/>
        </w:rPr>
      </w:pPr>
      <w:r>
        <w:rPr>
          <w:rFonts w:hint="eastAsia"/>
        </w:rPr>
        <w:t>异常告警机制实现：基于“规则触发+多渠道通知”设计异常告警系统：在MySQL中配置告警规则（如“推理超时＞300s触发二级告警”“硬件节点离线触发一级告警”），后端定时任务（基于XXL-Job）轮询任务状态与硬件节点状态，匹配告警规则后生成告警事件；一级告警通过JavaMail组件发送邮件通知（调用试验场邮件服务器，包含任务详情与处理建议链接），二级告警通过WebSocket推送至前端界面；所有告警事件存储于MySQL的“alarm_record”表，记录告警ID、任务ID、告警类型、处理状态（未处理/已处理）、处理人、处理时间，支持告警历史查询与统计分析，便于系统运维优化。</w:t>
      </w:r>
    </w:p>
    <w:p>
      <w:pPr>
        <w:outlineLvl w:val="1"/>
        <w:rPr>
          <w:rFonts w:ascii="楷体_GB2312" w:hAnsi="楷体_GB2312" w:eastAsia="楷体_GB2312" w:cs="楷体_GB2312"/>
          <w:sz w:val="32"/>
          <w:szCs w:val="32"/>
        </w:rPr>
      </w:pPr>
      <w:bookmarkStart w:id="56" w:name="_Toc1629463249"/>
      <w:bookmarkStart w:id="57" w:name="_Toc198653973"/>
      <w:bookmarkStart w:id="58" w:name="_Toc1222853764"/>
      <w:bookmarkStart w:id="59" w:name="_Toc372529531"/>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val="en-US" w:eastAsia="zh-CN"/>
        </w:rPr>
        <w:t>二</w:t>
      </w:r>
      <w:r>
        <w:rPr>
          <w:rFonts w:hint="eastAsia" w:ascii="楷体_GB2312" w:hAnsi="楷体_GB2312" w:eastAsia="楷体_GB2312" w:cs="楷体_GB2312"/>
          <w:sz w:val="32"/>
          <w:szCs w:val="32"/>
        </w:rPr>
        <w:t>）工作内容</w:t>
      </w:r>
      <w:bookmarkEnd w:id="56"/>
      <w:bookmarkEnd w:id="57"/>
      <w:bookmarkEnd w:id="58"/>
    </w:p>
    <w:p>
      <w:pPr>
        <w:ind w:firstLine="552"/>
        <w:jc w:val="left"/>
      </w:pPr>
      <w:r>
        <w:rPr>
          <w:rFonts w:hint="eastAsia"/>
        </w:rPr>
        <w:t>基于“试验场调试机内嵌软件”的项目背景，结合“跨平台格式转化、模型可视化”功能指标及“20类模型+4类平台”性能</w:t>
      </w:r>
      <w:r>
        <w:rPr>
          <w:rFonts w:hint="eastAsia"/>
          <w:lang w:val="en-US" w:eastAsia="zh-CN"/>
        </w:rPr>
        <w:t>指标</w:t>
      </w:r>
      <w:r>
        <w:rPr>
          <w:rFonts w:hint="eastAsia"/>
        </w:rPr>
        <w:t>要求，项目工作内容按全周期</w:t>
      </w:r>
      <w:r>
        <w:rPr>
          <w:rFonts w:hint="eastAsia"/>
          <w:lang w:val="en-US" w:eastAsia="zh-CN"/>
        </w:rPr>
        <w:t>顺序</w:t>
      </w:r>
      <w:r>
        <w:rPr>
          <w:rFonts w:hint="eastAsia"/>
        </w:rPr>
        <w:t>划分为</w:t>
      </w:r>
      <w:r>
        <w:rPr>
          <w:rFonts w:hint="eastAsia"/>
          <w:lang w:val="en-US" w:eastAsia="zh-CN"/>
        </w:rPr>
        <w:t>如下工作项</w:t>
      </w:r>
      <w:r>
        <w:rPr>
          <w:rFonts w:hint="eastAsia"/>
        </w:rPr>
        <w:t>：</w:t>
      </w:r>
    </w:p>
    <w:p>
      <w:pPr>
        <w:numPr>
          <w:ilvl w:val="0"/>
          <w:numId w:val="9"/>
        </w:numPr>
        <w:outlineLvl w:val="2"/>
        <w:rPr>
          <w:sz w:val="32"/>
          <w:szCs w:val="32"/>
        </w:rPr>
      </w:pPr>
      <w:bookmarkStart w:id="60" w:name="_Toc1677359399"/>
      <w:r>
        <w:rPr>
          <w:rFonts w:hint="eastAsia"/>
          <w:sz w:val="32"/>
          <w:szCs w:val="32"/>
        </w:rPr>
        <w:t>需求深度调研与确认</w:t>
      </w:r>
      <w:bookmarkEnd w:id="60"/>
    </w:p>
    <w:p>
      <w:pPr>
        <w:ind w:firstLine="552"/>
      </w:pPr>
      <w:r>
        <w:rPr>
          <w:rFonts w:hint="eastAsia"/>
        </w:rPr>
        <w:t>对接试验场甲方，明确调试机硬件环境（如操作系统、算力配置）、需适配的20类智能模型清单（目标检测/分类/跟踪/NLP大模型具体型号）及4类平台（华为/瑞星微/英伟达/寒武纪）的技术参数；确认模型可视化需求细节（如是否需展示层参数、拓扑图交互功能），输出《需求规格说明书》并经甲方签字确认。</w:t>
      </w:r>
    </w:p>
    <w:p>
      <w:pPr>
        <w:numPr>
          <w:ilvl w:val="0"/>
          <w:numId w:val="9"/>
        </w:numPr>
        <w:outlineLvl w:val="2"/>
        <w:rPr>
          <w:sz w:val="32"/>
          <w:szCs w:val="32"/>
        </w:rPr>
      </w:pPr>
      <w:bookmarkStart w:id="61" w:name="_Toc1361584824"/>
      <w:r>
        <w:rPr>
          <w:rFonts w:hint="eastAsia"/>
          <w:sz w:val="32"/>
          <w:szCs w:val="32"/>
        </w:rPr>
        <w:t>资源与环境搭建</w:t>
      </w:r>
      <w:bookmarkEnd w:id="61"/>
    </w:p>
    <w:p>
      <w:pPr>
        <w:ind w:firstLine="552"/>
      </w:pPr>
      <w:r>
        <w:rPr>
          <w:rFonts w:hint="eastAsia"/>
        </w:rPr>
        <w:t>租赁4类平台硬件设备（华为昇腾、瑞星微、英伟达Jetson、寒武纪思元</w:t>
      </w:r>
      <w:r>
        <w:rPr>
          <w:rFonts w:hint="eastAsia"/>
          <w:lang w:eastAsia="zh-CN"/>
        </w:rPr>
        <w:t>）</w:t>
      </w:r>
      <w:r>
        <w:rPr>
          <w:rFonts w:hint="eastAsia"/>
        </w:rPr>
        <w:t>，搭建真机测试环境；收集20类模型原生文件（</w:t>
      </w:r>
      <w:r>
        <w:rPr>
          <w:rFonts w:hint="eastAsia"/>
          <w:lang w:val="en-US" w:eastAsia="zh-CN"/>
        </w:rPr>
        <w:t>例如</w:t>
      </w:r>
      <w:r>
        <w:rPr>
          <w:rFonts w:hint="eastAsia"/>
        </w:rPr>
        <w:t>ONNX/TensorFlow/PyTorch格式）及标准测试数据集（</w:t>
      </w:r>
      <w:r>
        <w:rPr>
          <w:rFonts w:hint="eastAsia"/>
          <w:lang w:val="en-US" w:eastAsia="zh-CN"/>
        </w:rPr>
        <w:t>例如</w:t>
      </w:r>
      <w:r>
        <w:rPr>
          <w:rFonts w:hint="eastAsia"/>
        </w:rPr>
        <w:t>COCO/ImageNet等），建立“模型测试库”</w:t>
      </w:r>
      <w:r>
        <w:rPr>
          <w:rFonts w:hint="eastAsia"/>
          <w:lang w:eastAsia="zh-CN"/>
        </w:rPr>
        <w:t>；部署开发工具链（华为昇腾CANN SDK等）</w:t>
      </w:r>
      <w:r>
        <w:rPr>
          <w:rFonts w:hint="eastAsia"/>
        </w:rPr>
        <w:t>。</w:t>
      </w:r>
    </w:p>
    <w:p>
      <w:pPr>
        <w:numPr>
          <w:ilvl w:val="0"/>
          <w:numId w:val="9"/>
        </w:numPr>
        <w:outlineLvl w:val="2"/>
        <w:rPr>
          <w:sz w:val="32"/>
          <w:szCs w:val="32"/>
        </w:rPr>
      </w:pPr>
      <w:bookmarkStart w:id="62" w:name="_Toc570394536"/>
      <w:r>
        <w:rPr>
          <w:rFonts w:hint="eastAsia"/>
          <w:sz w:val="32"/>
          <w:szCs w:val="32"/>
        </w:rPr>
        <w:t>软件架构与模块开发</w:t>
      </w:r>
      <w:bookmarkEnd w:id="62"/>
    </w:p>
    <w:p>
      <w:pPr>
        <w:ind w:firstLine="552"/>
        <w:rPr>
          <w:rFonts w:hint="eastAsia"/>
        </w:rPr>
      </w:pPr>
      <w:r>
        <w:rPr>
          <w:rFonts w:hint="eastAsia"/>
        </w:rPr>
        <w:t>设计“数据输入层-核心处理层-输出与交互层”三层架构，完成模块拆分与接口定义；</w:t>
      </w:r>
    </w:p>
    <w:p>
      <w:pPr>
        <w:ind w:firstLine="552"/>
        <w:rPr>
          <w:rFonts w:hint="eastAsia"/>
        </w:rPr>
      </w:pPr>
      <w:r>
        <w:rPr>
          <w:rFonts w:hint="eastAsia"/>
        </w:rPr>
        <w:t>数据输入层开发：实现模型文件解析引擎（支持多格式导入）、平台参数配置功能，确保可读取20类模型原生格式；​</w:t>
      </w:r>
    </w:p>
    <w:p>
      <w:pPr>
        <w:ind w:firstLine="552"/>
        <w:rPr>
          <w:rFonts w:hint="eastAsia"/>
        </w:rPr>
      </w:pPr>
      <w:r>
        <w:rPr>
          <w:rFonts w:hint="eastAsia"/>
        </w:rPr>
        <w:t>核心处理层开发：​</w:t>
      </w:r>
    </w:p>
    <w:p>
      <w:pPr>
        <w:ind w:firstLine="552"/>
        <w:rPr>
          <w:rFonts w:hint="eastAsia"/>
        </w:rPr>
      </w:pPr>
      <w:r>
        <w:rPr>
          <w:rFonts w:hint="eastAsia"/>
        </w:rPr>
        <w:t>格式转化模块：开发跨平台转化核心，针对4类平台分别开发插件，实现“原生格式→ONNX→目标平台格式”转化，适配20类模型的算子映射与量化（INT8/FP16）；​</w:t>
      </w:r>
    </w:p>
    <w:p>
      <w:pPr>
        <w:ind w:firstLine="552"/>
        <w:rPr>
          <w:rFonts w:hint="eastAsia"/>
        </w:rPr>
      </w:pPr>
      <w:r>
        <w:rPr>
          <w:rFonts w:hint="eastAsia"/>
        </w:rPr>
        <w:t>可视化模块：开发模型拓扑解析逻辑，客户端可视化界面、D3.js实现网页端交互（支持节点缩放/拖拽、层参数查看），确保20类模型网络结构可展示；​</w:t>
      </w:r>
    </w:p>
    <w:p>
      <w:pPr>
        <w:ind w:firstLine="552"/>
        <w:rPr>
          <w:rFonts w:hint="eastAsia"/>
        </w:rPr>
      </w:pPr>
      <w:r>
        <w:rPr>
          <w:rFonts w:hint="eastAsia"/>
        </w:rPr>
        <w:t>输出与交互层开发：实现转化后模型多格式导出（适配4类平台原生格式）、日志记录（</w:t>
      </w:r>
      <w:r>
        <w:rPr>
          <w:rFonts w:hint="eastAsia"/>
          <w:lang w:val="en-US" w:eastAsia="zh-CN"/>
        </w:rPr>
        <w:t>数据库</w:t>
      </w:r>
      <w:r>
        <w:rPr>
          <w:rFonts w:hint="eastAsia"/>
        </w:rPr>
        <w:t>存储）、客户端集成。</w:t>
      </w:r>
    </w:p>
    <w:p>
      <w:pPr>
        <w:numPr>
          <w:ilvl w:val="0"/>
          <w:numId w:val="9"/>
        </w:numPr>
        <w:outlineLvl w:val="2"/>
        <w:rPr>
          <w:sz w:val="32"/>
          <w:szCs w:val="32"/>
        </w:rPr>
      </w:pPr>
      <w:bookmarkStart w:id="63" w:name="_Toc253966344"/>
      <w:r>
        <w:rPr>
          <w:rFonts w:hint="eastAsia"/>
          <w:sz w:val="32"/>
          <w:szCs w:val="32"/>
        </w:rPr>
        <w:t>20类模型与4类平台适配调试</w:t>
      </w:r>
      <w:bookmarkEnd w:id="63"/>
    </w:p>
    <w:p>
      <w:pPr>
        <w:pStyle w:val="2"/>
        <w:rPr>
          <w:rFonts w:hint="eastAsia"/>
        </w:rPr>
      </w:pPr>
      <w:r>
        <w:rPr>
          <w:rFonts w:hint="eastAsia"/>
        </w:rPr>
        <w:t>针对每类模型（如YOLO、</w:t>
      </w:r>
      <w:r>
        <w:rPr>
          <w:rFonts w:hint="eastAsia"/>
          <w:lang w:val="en-US" w:eastAsia="zh-CN"/>
        </w:rPr>
        <w:t>TensorFlow</w:t>
      </w:r>
      <w:r>
        <w:rPr>
          <w:rFonts w:hint="eastAsia"/>
        </w:rPr>
        <w:t>等），调试转化模板，确保转化成功率≥9</w:t>
      </w:r>
      <w:r>
        <w:rPr>
          <w:rFonts w:hint="eastAsia"/>
          <w:lang w:val="en-US" w:eastAsia="zh-CN"/>
        </w:rPr>
        <w:t>0</w:t>
      </w:r>
      <w:r>
        <w:rPr>
          <w:rFonts w:hint="eastAsia"/>
        </w:rPr>
        <w:t>%；在4类平台真机上测试转化后模型的部署兼容性，优化算子调用效率，确保模型可正常运行。</w:t>
      </w:r>
    </w:p>
    <w:p>
      <w:pPr>
        <w:numPr>
          <w:ilvl w:val="0"/>
          <w:numId w:val="9"/>
        </w:numPr>
        <w:outlineLvl w:val="2"/>
        <w:rPr>
          <w:sz w:val="32"/>
          <w:szCs w:val="32"/>
        </w:rPr>
      </w:pPr>
      <w:bookmarkStart w:id="64" w:name="_Toc1362337019"/>
      <w:r>
        <w:rPr>
          <w:rFonts w:hint="eastAsia"/>
          <w:sz w:val="32"/>
          <w:szCs w:val="32"/>
        </w:rPr>
        <w:t>功能与性能测试</w:t>
      </w:r>
      <w:r>
        <w:rPr>
          <w:rFonts w:hint="eastAsia"/>
          <w:sz w:val="32"/>
          <w:szCs w:val="32"/>
          <w:lang w:eastAsia="zh-CN"/>
        </w:rPr>
        <w:t>、问题修复与优化</w:t>
      </w:r>
      <w:bookmarkEnd w:id="64"/>
    </w:p>
    <w:p>
      <w:pPr>
        <w:pStyle w:val="2"/>
        <w:rPr>
          <w:rFonts w:hint="eastAsia"/>
        </w:rPr>
      </w:pPr>
      <w:r>
        <w:rPr>
          <w:rFonts w:hint="eastAsia"/>
        </w:rPr>
        <w:t>验证格式转化（20类模型+4类平台全量测试）、可视化（网络结构完整性、参数展示准确性）功能</w:t>
      </w:r>
      <w:r>
        <w:rPr>
          <w:rFonts w:hint="eastAsia"/>
          <w:lang w:eastAsia="zh-CN"/>
        </w:rPr>
        <w:t>；</w:t>
      </w:r>
      <w:r>
        <w:rPr>
          <w:rFonts w:hint="eastAsia"/>
        </w:rPr>
        <w:t>测试模型转化时间、可视化响应时间、转化后模型精度损失</w:t>
      </w:r>
      <w:r>
        <w:rPr>
          <w:rFonts w:hint="eastAsia"/>
          <w:lang w:eastAsia="zh-CN"/>
        </w:rPr>
        <w:t>，</w:t>
      </w:r>
      <w:r>
        <w:rPr>
          <w:rFonts w:hint="eastAsia"/>
        </w:rPr>
        <w:t>输出《测试报告》；​</w:t>
      </w:r>
    </w:p>
    <w:p>
      <w:pPr>
        <w:pStyle w:val="2"/>
        <w:rPr>
          <w:rFonts w:hint="eastAsia"/>
        </w:rPr>
      </w:pPr>
      <w:r>
        <w:rPr>
          <w:rFonts w:hint="eastAsia"/>
        </w:rPr>
        <w:t>针对测试中发现的问题，集中修复并更新《问题修复清单》；根据甲方预验收反馈，优化软件交互体验。</w:t>
      </w:r>
    </w:p>
    <w:p>
      <w:pPr>
        <w:numPr>
          <w:ilvl w:val="0"/>
          <w:numId w:val="9"/>
        </w:numPr>
        <w:outlineLvl w:val="2"/>
        <w:rPr>
          <w:sz w:val="32"/>
          <w:szCs w:val="32"/>
        </w:rPr>
      </w:pPr>
      <w:bookmarkStart w:id="65" w:name="_Toc327634019"/>
      <w:r>
        <w:rPr>
          <w:rFonts w:hint="eastAsia"/>
          <w:sz w:val="32"/>
          <w:szCs w:val="32"/>
        </w:rPr>
        <w:t>交付与服务阶段</w:t>
      </w:r>
      <w:bookmarkEnd w:id="65"/>
    </w:p>
    <w:p>
      <w:pPr>
        <w:pStyle w:val="2"/>
        <w:rPr>
          <w:rFonts w:hint="eastAsia"/>
          <w:lang w:eastAsia="zh-CN"/>
        </w:rPr>
      </w:pPr>
      <w:r>
        <w:rPr>
          <w:rFonts w:hint="eastAsia"/>
          <w:lang w:eastAsia="zh-CN"/>
        </w:rPr>
        <w:t>在试验场内场调试机上安装部署软件，逐台验证功能（模型导入-转化-可视化全流程）；</w:t>
      </w:r>
      <w:r>
        <w:rPr>
          <w:rFonts w:hint="eastAsia"/>
          <w:lang w:val="en-US" w:eastAsia="zh-CN"/>
        </w:rPr>
        <w:t>交付</w:t>
      </w:r>
      <w:r>
        <w:rPr>
          <w:rFonts w:hint="eastAsia"/>
          <w:lang w:eastAsia="zh-CN"/>
        </w:rPr>
        <w:t>最终软件安装包、全套文档（《用户手册》《测试报告》等）。</w:t>
      </w:r>
    </w:p>
    <w:p>
      <w:pPr>
        <w:pStyle w:val="2"/>
        <w:rPr>
          <w:rFonts w:hint="eastAsia"/>
          <w:lang w:eastAsia="zh-CN"/>
        </w:rPr>
      </w:pPr>
      <w:r>
        <w:rPr>
          <w:rFonts w:hint="eastAsia"/>
          <w:lang w:eastAsia="zh-CN"/>
        </w:rPr>
        <w:t>开展现场培训（操作培训：软件使用+常见问题处理；维护培训：日志分析+版本更新），覆盖甲方技术人员；</w:t>
      </w:r>
      <w:r>
        <w:rPr>
          <w:rFonts w:hint="eastAsia"/>
          <w:lang w:val="en-US" w:eastAsia="zh-CN"/>
        </w:rPr>
        <w:t>按照甲方要求</w:t>
      </w:r>
      <w:r>
        <w:rPr>
          <w:rFonts w:hint="eastAsia"/>
          <w:lang w:eastAsia="zh-CN"/>
        </w:rPr>
        <w:t>提供</w:t>
      </w:r>
      <w:r>
        <w:rPr>
          <w:rFonts w:hint="eastAsia"/>
          <w:lang w:val="en-US" w:eastAsia="zh-CN"/>
        </w:rPr>
        <w:t>1</w:t>
      </w:r>
      <w:r>
        <w:rPr>
          <w:rFonts w:hint="eastAsia"/>
          <w:lang w:eastAsia="zh-CN"/>
        </w:rPr>
        <w:t>年售后服务。</w:t>
      </w:r>
    </w:p>
    <w:p>
      <w:pPr>
        <w:outlineLvl w:val="1"/>
        <w:rPr>
          <w:rFonts w:ascii="楷体_GB2312" w:hAnsi="楷体_GB2312" w:eastAsia="楷体_GB2312" w:cs="楷体_GB2312"/>
          <w:sz w:val="32"/>
          <w:szCs w:val="32"/>
        </w:rPr>
      </w:pPr>
      <w:bookmarkStart w:id="66" w:name="_Toc1084709758"/>
      <w:bookmarkStart w:id="67" w:name="_Toc198653974"/>
      <w:bookmarkStart w:id="68" w:name="_Toc396886425"/>
      <w:r>
        <w:rPr>
          <w:rFonts w:hint="eastAsia" w:ascii="楷体_GB2312" w:hAnsi="楷体_GB2312" w:eastAsia="楷体_GB2312" w:cs="楷体_GB2312"/>
          <w:sz w:val="32"/>
          <w:szCs w:val="32"/>
        </w:rPr>
        <w:t>（三）经费报价方案及测算理由</w:t>
      </w:r>
      <w:bookmarkEnd w:id="66"/>
      <w:bookmarkEnd w:id="67"/>
      <w:bookmarkEnd w:id="68"/>
    </w:p>
    <w:p>
      <w:pPr>
        <w:ind w:firstLine="552"/>
        <w:rPr>
          <w:rFonts w:hint="eastAsia"/>
        </w:rPr>
      </w:pPr>
      <w:r>
        <w:rPr>
          <w:rFonts w:hint="eastAsia"/>
        </w:rPr>
        <w:t>本项目</w:t>
      </w:r>
      <w:r>
        <w:rPr>
          <w:rFonts w:hint="eastAsia"/>
          <w:lang w:val="en-US" w:eastAsia="zh-CN"/>
        </w:rPr>
        <w:t>根据</w:t>
      </w:r>
      <w:r>
        <w:rPr>
          <w:rFonts w:hint="eastAsia"/>
        </w:rPr>
        <w:t>《横向科研项目经费管理办法（试行）》、《科研项目经费中间接费用和管理费管理办法（试行）》相关规定。</w:t>
      </w:r>
    </w:p>
    <w:p>
      <w:pPr>
        <w:numPr>
          <w:ilvl w:val="0"/>
          <w:numId w:val="10"/>
        </w:numPr>
        <w:outlineLvl w:val="2"/>
        <w:rPr>
          <w:sz w:val="32"/>
          <w:szCs w:val="32"/>
        </w:rPr>
      </w:pPr>
      <w:bookmarkStart w:id="69" w:name="_Toc385937393"/>
      <w:r>
        <w:rPr>
          <w:rFonts w:hint="eastAsia"/>
          <w:sz w:val="32"/>
          <w:szCs w:val="32"/>
          <w:lang w:val="en-US" w:eastAsia="zh-CN"/>
        </w:rPr>
        <w:t>直接费用</w:t>
      </w:r>
      <w:r>
        <w:rPr>
          <w:rFonts w:hint="eastAsia" w:eastAsia="仿宋_GB2312"/>
          <w:sz w:val="32"/>
          <w:szCs w:val="32"/>
          <w:lang w:eastAsia="zh-CN"/>
        </w:rPr>
        <w:t>（</w:t>
      </w:r>
      <w:r>
        <w:rPr>
          <w:rFonts w:hint="eastAsia"/>
          <w:sz w:val="32"/>
          <w:szCs w:val="32"/>
          <w:lang w:val="en-US" w:eastAsia="zh-CN"/>
        </w:rPr>
        <w:t>11</w:t>
      </w:r>
      <w:r>
        <w:rPr>
          <w:rFonts w:hint="eastAsia" w:ascii="仿宋_GB2312" w:eastAsia="仿宋_GB2312"/>
          <w:sz w:val="32"/>
          <w:szCs w:val="32"/>
          <w:lang w:val="en-US" w:eastAsia="zh-CN"/>
        </w:rPr>
        <w:t>.</w:t>
      </w:r>
      <w:r>
        <w:rPr>
          <w:rFonts w:hint="eastAsia"/>
          <w:sz w:val="32"/>
          <w:szCs w:val="32"/>
          <w:lang w:val="en-US" w:eastAsia="zh-CN"/>
        </w:rPr>
        <w:t>18</w:t>
      </w:r>
      <w:r>
        <w:rPr>
          <w:rFonts w:hint="eastAsia" w:ascii="仿宋_GB2312" w:eastAsia="仿宋_GB2312"/>
          <w:sz w:val="32"/>
          <w:szCs w:val="32"/>
          <w:lang w:val="en-US" w:eastAsia="zh-CN"/>
        </w:rPr>
        <w:t>万元）</w:t>
      </w:r>
      <w:bookmarkEnd w:id="69"/>
    </w:p>
    <w:p>
      <w:pPr>
        <w:pStyle w:val="2"/>
        <w:rPr>
          <w:rFonts w:hint="default" w:eastAsia="仿宋_GB2312"/>
          <w:lang w:val="en-US" w:eastAsia="zh-CN"/>
        </w:rPr>
      </w:pPr>
      <w:r>
        <w:rPr>
          <w:rFonts w:hint="eastAsia"/>
          <w:lang w:val="en-US" w:eastAsia="zh-CN"/>
        </w:rPr>
        <w:t>直接费用包括设备费、业务费和人力成本。</w:t>
      </w:r>
    </w:p>
    <w:p>
      <w:pPr>
        <w:numPr>
          <w:ilvl w:val="1"/>
          <w:numId w:val="11"/>
        </w:numPr>
        <w:outlineLvl w:val="3"/>
        <w:rPr>
          <w:sz w:val="32"/>
          <w:szCs w:val="32"/>
        </w:rPr>
      </w:pPr>
      <w:r>
        <w:rPr>
          <w:rFonts w:hint="eastAsia"/>
          <w:sz w:val="32"/>
          <w:szCs w:val="32"/>
          <w:lang w:val="en-US" w:eastAsia="zh-CN"/>
        </w:rPr>
        <w:t>设备</w:t>
      </w:r>
      <w:r>
        <w:rPr>
          <w:rFonts w:hint="eastAsia"/>
          <w:sz w:val="32"/>
          <w:szCs w:val="32"/>
        </w:rPr>
        <w:t>费</w:t>
      </w:r>
      <w:r>
        <w:rPr>
          <w:rFonts w:hint="eastAsia"/>
          <w:sz w:val="32"/>
          <w:szCs w:val="32"/>
          <w:lang w:eastAsia="zh-CN"/>
        </w:rPr>
        <w:t>（</w:t>
      </w:r>
      <w:r>
        <w:rPr>
          <w:rFonts w:hint="eastAsia"/>
          <w:sz w:val="32"/>
          <w:szCs w:val="32"/>
          <w:lang w:val="en-US" w:eastAsia="zh-CN"/>
        </w:rPr>
        <w:t>3.50万元）</w:t>
      </w:r>
    </w:p>
    <w:p>
      <w:pPr>
        <w:pStyle w:val="2"/>
        <w:ind w:firstLine="552"/>
        <w:rPr>
          <w:rFonts w:hint="eastAsia"/>
        </w:rPr>
      </w:pPr>
      <w:r>
        <w:rPr>
          <w:rFonts w:hint="eastAsia"/>
        </w:rPr>
        <w:t>开发工具与软件授权：​开发团队使用的专业IDE（如JetBrains系列工具）、代码管理工具（GitLab企业版）等，按团队6人（项目经理+3名开发+1名测试）计算，人均年授权费用约0.</w:t>
      </w:r>
      <w:r>
        <w:rPr>
          <w:rFonts w:hint="eastAsia"/>
          <w:lang w:val="en-US" w:eastAsia="zh-CN"/>
        </w:rPr>
        <w:t>2</w:t>
      </w:r>
      <w:r>
        <w:rPr>
          <w:rFonts w:hint="eastAsia"/>
        </w:rPr>
        <w:t>万元，项目周期内（</w:t>
      </w:r>
      <w:r>
        <w:rPr>
          <w:rFonts w:hint="eastAsia"/>
          <w:lang w:val="en-US" w:eastAsia="zh-CN"/>
        </w:rPr>
        <w:t>3</w:t>
      </w:r>
      <w:r>
        <w:rPr>
          <w:rFonts w:hint="eastAsia"/>
        </w:rPr>
        <w:t>个月）折算费用为6×0.</w:t>
      </w:r>
      <w:r>
        <w:rPr>
          <w:rFonts w:hint="eastAsia"/>
          <w:lang w:val="en-US" w:eastAsia="zh-CN"/>
        </w:rPr>
        <w:t>2</w:t>
      </w:r>
      <w:r>
        <w:rPr>
          <w:rFonts w:hint="eastAsia"/>
        </w:rPr>
        <w:t>×(</w:t>
      </w:r>
      <w:r>
        <w:rPr>
          <w:rFonts w:hint="eastAsia"/>
          <w:lang w:val="en-US" w:eastAsia="zh-CN"/>
        </w:rPr>
        <w:t>3</w:t>
      </w:r>
      <w:r>
        <w:rPr>
          <w:rFonts w:hint="eastAsia"/>
        </w:rPr>
        <w:t>/12)=0.3万元。​</w:t>
      </w:r>
    </w:p>
    <w:p>
      <w:pPr>
        <w:pStyle w:val="2"/>
        <w:ind w:firstLine="552"/>
        <w:rPr>
          <w:rFonts w:hint="eastAsia"/>
        </w:rPr>
      </w:pPr>
      <w:r>
        <w:rPr>
          <w:rFonts w:hint="eastAsia"/>
        </w:rPr>
        <w:t>第三方组件与SDK：如模型转换工具包、可视化引擎插件等，部分商用组件授权费用合计1.2万元。​</w:t>
      </w:r>
    </w:p>
    <w:p>
      <w:pPr>
        <w:pStyle w:val="2"/>
        <w:ind w:firstLine="552"/>
        <w:rPr>
          <w:rFonts w:hint="eastAsia"/>
        </w:rPr>
      </w:pPr>
      <w:r>
        <w:rPr>
          <w:rFonts w:hint="eastAsia"/>
        </w:rPr>
        <w:t>云服务</w:t>
      </w:r>
      <w:r>
        <w:rPr>
          <w:rFonts w:hint="eastAsia"/>
          <w:lang w:val="en-US" w:eastAsia="zh-CN"/>
        </w:rPr>
        <w:t>计算</w:t>
      </w:r>
      <w:r>
        <w:rPr>
          <w:rFonts w:hint="eastAsia"/>
        </w:rPr>
        <w:t>资源：项目开发与测试阶段使用的云服务器（用于临时部署、压力测试），选用2台4核8G配置云服务器，使用3个月，每月费用约0.3万元，合计0.3×2×3=1.8万元。​</w:t>
      </w:r>
    </w:p>
    <w:p>
      <w:pPr>
        <w:ind w:firstLine="552"/>
      </w:pPr>
      <w:r>
        <w:rPr>
          <w:rFonts w:hint="eastAsia"/>
        </w:rPr>
        <w:t>云存储资源：用于存储测试数据、临时模型文件等，3个月费用约0.2万元。​</w:t>
      </w:r>
    </w:p>
    <w:p>
      <w:pPr>
        <w:numPr>
          <w:ilvl w:val="1"/>
          <w:numId w:val="11"/>
        </w:numPr>
        <w:outlineLvl w:val="3"/>
        <w:rPr>
          <w:sz w:val="32"/>
          <w:szCs w:val="32"/>
        </w:rPr>
      </w:pPr>
      <w:r>
        <w:rPr>
          <w:rFonts w:hint="eastAsia"/>
          <w:sz w:val="32"/>
          <w:szCs w:val="32"/>
        </w:rPr>
        <w:t>业务费</w:t>
      </w:r>
      <w:r>
        <w:rPr>
          <w:rFonts w:hint="eastAsia"/>
          <w:sz w:val="32"/>
          <w:szCs w:val="32"/>
          <w:lang w:eastAsia="zh-CN"/>
        </w:rPr>
        <w:t>（</w:t>
      </w:r>
      <w:r>
        <w:rPr>
          <w:rFonts w:hint="eastAsia"/>
          <w:sz w:val="32"/>
          <w:szCs w:val="32"/>
          <w:lang w:val="en-US" w:eastAsia="zh-CN"/>
        </w:rPr>
        <w:t>2.80万元）</w:t>
      </w:r>
    </w:p>
    <w:p>
      <w:pPr>
        <w:ind w:firstLine="552"/>
        <w:rPr>
          <w:rFonts w:hint="eastAsia"/>
        </w:rPr>
      </w:pPr>
      <w:r>
        <w:rPr>
          <w:rFonts w:hint="eastAsia"/>
        </w:rPr>
        <w:t>差旅费：项目验收阶段与客户沟通、现场</w:t>
      </w:r>
      <w:r>
        <w:rPr>
          <w:rFonts w:hint="eastAsia"/>
          <w:lang w:val="en-US" w:eastAsia="zh-CN"/>
        </w:rPr>
        <w:t>部署</w:t>
      </w:r>
      <w:r>
        <w:rPr>
          <w:rFonts w:hint="eastAsia"/>
        </w:rPr>
        <w:t>演示等产生的差旅费，合计1.5万元。</w:t>
      </w:r>
    </w:p>
    <w:p>
      <w:pPr>
        <w:ind w:firstLine="552"/>
        <w:rPr>
          <w:rFonts w:hint="eastAsia"/>
        </w:rPr>
      </w:pPr>
      <w:r>
        <w:rPr>
          <w:rFonts w:hint="eastAsia"/>
        </w:rPr>
        <w:t>文档与验收材料打印：项目需求文档、设计文档、测试报告、用户手册等材料的编写与印刷费用，合计0.5万元。</w:t>
      </w:r>
    </w:p>
    <w:p>
      <w:pPr>
        <w:ind w:firstLine="552"/>
      </w:pPr>
      <w:r>
        <w:rPr>
          <w:rFonts w:hint="eastAsia"/>
        </w:rPr>
        <w:t>其他费用：针对硬件平台适配（如华为昇腾、瑞芯微SDK）的技术培训课程，团队核心成员（3人）参与，费用合计0.8万元。​</w:t>
      </w:r>
    </w:p>
    <w:p>
      <w:pPr>
        <w:numPr>
          <w:ilvl w:val="1"/>
          <w:numId w:val="11"/>
        </w:numPr>
        <w:outlineLvl w:val="3"/>
        <w:rPr>
          <w:sz w:val="32"/>
          <w:szCs w:val="32"/>
        </w:rPr>
      </w:pPr>
      <w:r>
        <w:rPr>
          <w:rFonts w:hint="eastAsia"/>
          <w:sz w:val="32"/>
          <w:szCs w:val="32"/>
          <w:lang w:val="en-US" w:eastAsia="zh-CN"/>
        </w:rPr>
        <w:t>人力成本（4.88万元）</w:t>
      </w:r>
    </w:p>
    <w:p>
      <w:pPr>
        <w:ind w:firstLine="552"/>
        <w:rPr>
          <w:rFonts w:hint="eastAsia"/>
        </w:rPr>
      </w:pPr>
      <w:r>
        <w:rPr>
          <w:rFonts w:hint="eastAsia"/>
        </w:rPr>
        <w:t>劳务费：本项目第三方测评外协，按照</w:t>
      </w:r>
      <w:r>
        <w:rPr>
          <w:rFonts w:hint="eastAsia"/>
          <w:lang w:val="en-US" w:eastAsia="zh-CN"/>
        </w:rPr>
        <w:t>设备费、业务费和间接费（见后面测算）总和的</w:t>
      </w:r>
      <w:r>
        <w:rPr>
          <w:rFonts w:hint="eastAsia"/>
        </w:rPr>
        <w:t>10%来计算，</w:t>
      </w:r>
      <w:r>
        <w:rPr>
          <w:rFonts w:hint="eastAsia"/>
          <w:lang w:eastAsia="zh-CN"/>
        </w:rPr>
        <w:t>（</w:t>
      </w:r>
      <w:r>
        <w:rPr>
          <w:rFonts w:hint="eastAsia"/>
          <w:lang w:val="en-US" w:eastAsia="zh-CN"/>
        </w:rPr>
        <w:t>设备费3.50万元+业务费2.80万元+间接费27.50万元）×10%=3</w:t>
      </w:r>
      <w:r>
        <w:rPr>
          <w:rFonts w:hint="eastAsia"/>
        </w:rPr>
        <w:t>.</w:t>
      </w:r>
      <w:r>
        <w:rPr>
          <w:rFonts w:hint="eastAsia"/>
          <w:lang w:val="en-US" w:eastAsia="zh-CN"/>
        </w:rPr>
        <w:t>38</w:t>
      </w:r>
      <w:r>
        <w:rPr>
          <w:rFonts w:hint="eastAsia"/>
        </w:rPr>
        <w:t>万元。​​</w:t>
      </w:r>
    </w:p>
    <w:p>
      <w:pPr>
        <w:ind w:firstLine="552"/>
      </w:pPr>
      <w:r>
        <w:rPr>
          <w:rFonts w:hint="eastAsia"/>
        </w:rPr>
        <w:t>项目关键技术难点咨询外部专家，关键节点邀请专家评审（预计</w:t>
      </w:r>
      <w:r>
        <w:rPr>
          <w:rFonts w:hint="eastAsia"/>
          <w:lang w:val="en-US" w:eastAsia="zh-CN"/>
        </w:rPr>
        <w:t>10人</w:t>
      </w:r>
      <w:r>
        <w:rPr>
          <w:rFonts w:hint="eastAsia"/>
        </w:rPr>
        <w:t>次），费用</w:t>
      </w:r>
      <w:r>
        <w:rPr>
          <w:rFonts w:hint="eastAsia"/>
          <w:lang w:val="en-US" w:eastAsia="zh-CN"/>
        </w:rPr>
        <w:t>1</w:t>
      </w:r>
      <w:r>
        <w:rPr>
          <w:rFonts w:hint="eastAsia"/>
        </w:rPr>
        <w:t>.</w:t>
      </w:r>
      <w:r>
        <w:rPr>
          <w:rFonts w:hint="eastAsia"/>
          <w:lang w:val="en-US" w:eastAsia="zh-CN"/>
        </w:rPr>
        <w:t>5</w:t>
      </w:r>
      <w:r>
        <w:rPr>
          <w:rFonts w:hint="eastAsia"/>
        </w:rPr>
        <w:t>万元。</w:t>
      </w:r>
    </w:p>
    <w:p>
      <w:pPr>
        <w:numPr>
          <w:ilvl w:val="0"/>
          <w:numId w:val="10"/>
        </w:numPr>
        <w:outlineLvl w:val="2"/>
        <w:rPr>
          <w:sz w:val="32"/>
          <w:szCs w:val="32"/>
        </w:rPr>
      </w:pPr>
      <w:bookmarkStart w:id="70" w:name="_Toc1049150211"/>
      <w:r>
        <w:rPr>
          <w:rFonts w:hint="eastAsia"/>
          <w:sz w:val="32"/>
          <w:szCs w:val="32"/>
          <w:lang w:val="en-US" w:eastAsia="zh-CN"/>
        </w:rPr>
        <w:t>间接</w:t>
      </w:r>
      <w:r>
        <w:rPr>
          <w:rFonts w:hint="eastAsia"/>
          <w:sz w:val="32"/>
          <w:szCs w:val="32"/>
        </w:rPr>
        <w:t>费</w:t>
      </w:r>
      <w:r>
        <w:rPr>
          <w:rFonts w:hint="eastAsia"/>
          <w:sz w:val="32"/>
          <w:szCs w:val="32"/>
          <w:lang w:eastAsia="zh-CN"/>
        </w:rPr>
        <w:t>（</w:t>
      </w:r>
      <w:r>
        <w:rPr>
          <w:rFonts w:hint="eastAsia"/>
          <w:sz w:val="32"/>
          <w:szCs w:val="32"/>
          <w:lang w:val="en-US" w:eastAsia="zh-CN"/>
        </w:rPr>
        <w:t>27.50万元）</w:t>
      </w:r>
      <w:bookmarkEnd w:id="70"/>
    </w:p>
    <w:p>
      <w:pPr>
        <w:ind w:firstLine="552"/>
        <w:rPr>
          <w:rFonts w:hint="default"/>
          <w:lang w:val="en-US" w:eastAsia="zh-CN"/>
        </w:rPr>
      </w:pPr>
      <w:r>
        <w:rPr>
          <w:rFonts w:hint="eastAsia"/>
          <w:lang w:val="en-US" w:eastAsia="zh-CN"/>
        </w:rPr>
        <w:t>间接费由我单位在职员工人力成本摊销和使用已有设备成本摊销两部分构成，本项目规划我单位参与员工为1名项目经理、1名算法工程师、2名后端开发工程师、1名前端开发工程师和2名测试工程，费用预算采用对应岗位平均每月成本构成。团队成员见下表</w:t>
      </w:r>
    </w:p>
    <w:p>
      <w:pPr>
        <w:pStyle w:val="2"/>
        <w:ind w:firstLine="0" w:firstLineChars="0"/>
        <w:jc w:val="center"/>
        <w:rPr>
          <w:b/>
          <w:bCs/>
        </w:rPr>
      </w:pPr>
      <w:r>
        <w:rPr>
          <w:rFonts w:hint="eastAsia" w:ascii="楷体" w:hAnsi="楷体" w:eastAsia="楷体" w:cs="楷体"/>
          <w:kern w:val="2"/>
          <w:sz w:val="28"/>
          <w:szCs w:val="28"/>
          <w:lang w:val="en-US" w:eastAsia="zh-CN" w:bidi="ar-SA"/>
        </w:rPr>
        <w:t xml:space="preserve">图表 </w:t>
      </w:r>
      <w:r>
        <w:rPr>
          <w:rFonts w:hint="eastAsia" w:ascii="楷体" w:hAnsi="楷体" w:eastAsia="楷体" w:cs="楷体"/>
          <w:kern w:val="2"/>
          <w:sz w:val="28"/>
          <w:szCs w:val="28"/>
          <w:lang w:val="en-US" w:eastAsia="zh-CN" w:bidi="ar-SA"/>
        </w:rPr>
        <w:fldChar w:fldCharType="begin"/>
      </w:r>
      <w:r>
        <w:rPr>
          <w:rFonts w:hint="eastAsia" w:ascii="楷体" w:hAnsi="楷体" w:eastAsia="楷体" w:cs="楷体"/>
          <w:kern w:val="2"/>
          <w:sz w:val="28"/>
          <w:szCs w:val="28"/>
          <w:lang w:val="en-US" w:eastAsia="zh-CN" w:bidi="ar-SA"/>
        </w:rPr>
        <w:instrText xml:space="preserve"> SEQ 图表 \* ARABIC </w:instrText>
      </w:r>
      <w:r>
        <w:rPr>
          <w:rFonts w:hint="eastAsia" w:ascii="楷体" w:hAnsi="楷体" w:eastAsia="楷体" w:cs="楷体"/>
          <w:kern w:val="2"/>
          <w:sz w:val="28"/>
          <w:szCs w:val="28"/>
          <w:lang w:val="en-US" w:eastAsia="zh-CN" w:bidi="ar-SA"/>
        </w:rPr>
        <w:fldChar w:fldCharType="separate"/>
      </w:r>
      <w:r>
        <w:rPr>
          <w:rFonts w:hint="eastAsia" w:ascii="楷体" w:hAnsi="楷体" w:eastAsia="楷体" w:cs="楷体"/>
          <w:kern w:val="2"/>
          <w:sz w:val="28"/>
          <w:szCs w:val="28"/>
          <w:lang w:val="en-US" w:eastAsia="zh-CN" w:bidi="ar-SA"/>
        </w:rPr>
        <w:t>4</w:t>
      </w:r>
      <w:r>
        <w:rPr>
          <w:rFonts w:hint="eastAsia" w:ascii="楷体" w:hAnsi="楷体" w:eastAsia="楷体" w:cs="楷体"/>
          <w:kern w:val="2"/>
          <w:sz w:val="28"/>
          <w:szCs w:val="28"/>
          <w:lang w:val="en-US" w:eastAsia="zh-CN" w:bidi="ar-SA"/>
        </w:rPr>
        <w:fldChar w:fldCharType="end"/>
      </w:r>
      <w:r>
        <w:rPr>
          <w:rFonts w:hint="eastAsia" w:ascii="楷体" w:hAnsi="楷体" w:eastAsia="楷体" w:cs="楷体"/>
          <w:kern w:val="2"/>
          <w:sz w:val="28"/>
          <w:szCs w:val="28"/>
          <w:lang w:val="en-US" w:eastAsia="zh-CN" w:bidi="ar-SA"/>
        </w:rPr>
        <w:t xml:space="preserve"> 项目团队人员情况表</w:t>
      </w:r>
    </w:p>
    <w:tbl>
      <w:tblPr>
        <w:tblStyle w:val="25"/>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658"/>
        <w:gridCol w:w="945"/>
        <w:gridCol w:w="2468"/>
        <w:gridCol w:w="1278"/>
        <w:gridCol w:w="1220"/>
        <w:gridCol w:w="1286"/>
        <w:gridCol w:w="1207"/>
      </w:tblGrid>
      <w:tr>
        <w:trPr>
          <w:trHeight w:val="1134" w:hRule="atLeast"/>
          <w:jc w:val="center"/>
        </w:trPr>
        <w:tc>
          <w:tcPr>
            <w:tcW w:w="363" w:type="pct"/>
            <w:vAlign w:val="center"/>
          </w:tcPr>
          <w:p>
            <w:pPr>
              <w:pStyle w:val="2"/>
              <w:spacing w:line="240" w:lineRule="auto"/>
              <w:ind w:firstLine="0" w:firstLineChars="0"/>
              <w:jc w:val="center"/>
              <w:rPr>
                <w:b/>
                <w:bCs/>
                <w:sz w:val="21"/>
                <w:szCs w:val="21"/>
              </w:rPr>
            </w:pPr>
            <w:r>
              <w:rPr>
                <w:b/>
                <w:bCs/>
                <w:sz w:val="21"/>
                <w:szCs w:val="21"/>
              </w:rPr>
              <w:t>序号</w:t>
            </w:r>
          </w:p>
        </w:tc>
        <w:tc>
          <w:tcPr>
            <w:tcW w:w="521" w:type="pct"/>
            <w:vAlign w:val="center"/>
          </w:tcPr>
          <w:p>
            <w:pPr>
              <w:pStyle w:val="2"/>
              <w:spacing w:line="240" w:lineRule="auto"/>
              <w:ind w:firstLine="0" w:firstLineChars="0"/>
              <w:jc w:val="center"/>
              <w:rPr>
                <w:b/>
                <w:bCs/>
                <w:sz w:val="21"/>
                <w:szCs w:val="21"/>
              </w:rPr>
            </w:pPr>
            <w:r>
              <w:rPr>
                <w:b/>
                <w:bCs/>
                <w:sz w:val="21"/>
                <w:szCs w:val="21"/>
              </w:rPr>
              <w:t>姓名</w:t>
            </w:r>
          </w:p>
        </w:tc>
        <w:tc>
          <w:tcPr>
            <w:tcW w:w="1361" w:type="pct"/>
            <w:vAlign w:val="center"/>
          </w:tcPr>
          <w:p>
            <w:pPr>
              <w:pStyle w:val="2"/>
              <w:spacing w:line="240" w:lineRule="auto"/>
              <w:ind w:firstLine="0" w:firstLineChars="0"/>
              <w:jc w:val="center"/>
              <w:rPr>
                <w:b/>
                <w:bCs/>
                <w:sz w:val="21"/>
                <w:szCs w:val="21"/>
              </w:rPr>
            </w:pPr>
            <w:r>
              <w:rPr>
                <w:b/>
                <w:bCs/>
                <w:sz w:val="21"/>
                <w:szCs w:val="21"/>
              </w:rPr>
              <w:t>单位</w:t>
            </w:r>
          </w:p>
        </w:tc>
        <w:tc>
          <w:tcPr>
            <w:tcW w:w="705" w:type="pct"/>
            <w:vAlign w:val="center"/>
          </w:tcPr>
          <w:p>
            <w:pPr>
              <w:pStyle w:val="2"/>
              <w:spacing w:line="240" w:lineRule="auto"/>
              <w:ind w:firstLine="0" w:firstLineChars="0"/>
              <w:jc w:val="center"/>
              <w:rPr>
                <w:b/>
                <w:bCs/>
                <w:sz w:val="21"/>
                <w:szCs w:val="21"/>
              </w:rPr>
            </w:pPr>
            <w:r>
              <w:rPr>
                <w:b/>
                <w:bCs/>
                <w:sz w:val="21"/>
                <w:szCs w:val="21"/>
              </w:rPr>
              <w:t>专业</w:t>
            </w:r>
          </w:p>
        </w:tc>
        <w:tc>
          <w:tcPr>
            <w:tcW w:w="673" w:type="pct"/>
            <w:vAlign w:val="center"/>
          </w:tcPr>
          <w:p>
            <w:pPr>
              <w:pStyle w:val="2"/>
              <w:spacing w:line="240" w:lineRule="auto"/>
              <w:ind w:firstLine="0" w:firstLineChars="0"/>
              <w:jc w:val="center"/>
              <w:rPr>
                <w:b/>
                <w:bCs/>
                <w:sz w:val="21"/>
                <w:szCs w:val="21"/>
              </w:rPr>
            </w:pPr>
            <w:r>
              <w:rPr>
                <w:b/>
                <w:bCs/>
                <w:sz w:val="21"/>
                <w:szCs w:val="21"/>
              </w:rPr>
              <w:t>职务/职称</w:t>
            </w:r>
          </w:p>
        </w:tc>
        <w:tc>
          <w:tcPr>
            <w:tcW w:w="709" w:type="pct"/>
            <w:vAlign w:val="center"/>
          </w:tcPr>
          <w:p>
            <w:pPr>
              <w:pStyle w:val="2"/>
              <w:spacing w:line="240" w:lineRule="auto"/>
              <w:ind w:firstLine="0" w:firstLineChars="0"/>
              <w:jc w:val="center"/>
              <w:rPr>
                <w:b/>
                <w:bCs/>
                <w:sz w:val="21"/>
                <w:szCs w:val="21"/>
              </w:rPr>
            </w:pPr>
            <w:r>
              <w:rPr>
                <w:b/>
                <w:bCs/>
                <w:sz w:val="21"/>
                <w:szCs w:val="21"/>
              </w:rPr>
              <w:t>项目职责</w:t>
            </w:r>
          </w:p>
        </w:tc>
        <w:tc>
          <w:tcPr>
            <w:tcW w:w="665" w:type="pct"/>
            <w:vAlign w:val="center"/>
          </w:tcPr>
          <w:p>
            <w:pPr>
              <w:pStyle w:val="2"/>
              <w:spacing w:line="240" w:lineRule="auto"/>
              <w:ind w:firstLine="0" w:firstLineChars="0"/>
              <w:jc w:val="center"/>
              <w:rPr>
                <w:b/>
                <w:bCs/>
                <w:sz w:val="21"/>
                <w:szCs w:val="21"/>
              </w:rPr>
            </w:pPr>
            <w:r>
              <w:rPr>
                <w:b/>
                <w:bCs/>
                <w:sz w:val="21"/>
                <w:szCs w:val="21"/>
              </w:rPr>
              <w:t>投入时间（月）</w:t>
            </w:r>
          </w:p>
        </w:tc>
      </w:tr>
      <w:tr>
        <w:trPr>
          <w:trHeight w:val="907" w:hRule="atLeast"/>
          <w:tblHeader/>
          <w:jc w:val="center"/>
        </w:trPr>
        <w:tc>
          <w:tcPr>
            <w:tcW w:w="363" w:type="pct"/>
            <w:vAlign w:val="center"/>
          </w:tcPr>
          <w:p>
            <w:pPr>
              <w:pStyle w:val="2"/>
              <w:spacing w:line="240" w:lineRule="auto"/>
              <w:ind w:firstLine="0" w:firstLineChars="0"/>
              <w:jc w:val="center"/>
              <w:rPr>
                <w:sz w:val="24"/>
                <w:szCs w:val="24"/>
              </w:rPr>
            </w:pPr>
            <w:r>
              <w:rPr>
                <w:rFonts w:hint="eastAsia"/>
                <w:sz w:val="24"/>
                <w:szCs w:val="24"/>
              </w:rPr>
              <w:t>1</w:t>
            </w:r>
          </w:p>
        </w:tc>
        <w:tc>
          <w:tcPr>
            <w:tcW w:w="521" w:type="pct"/>
            <w:vAlign w:val="center"/>
          </w:tcPr>
          <w:p>
            <w:pPr>
              <w:pStyle w:val="2"/>
              <w:spacing w:line="240" w:lineRule="auto"/>
              <w:ind w:firstLine="0" w:firstLineChars="0"/>
              <w:jc w:val="center"/>
              <w:rPr>
                <w:sz w:val="24"/>
                <w:szCs w:val="24"/>
              </w:rPr>
            </w:pPr>
          </w:p>
        </w:tc>
        <w:tc>
          <w:tcPr>
            <w:tcW w:w="1361" w:type="pct"/>
            <w:vAlign w:val="center"/>
          </w:tcPr>
          <w:p>
            <w:pPr>
              <w:pStyle w:val="2"/>
              <w:spacing w:line="240" w:lineRule="auto"/>
              <w:ind w:firstLine="0" w:firstLineChars="0"/>
              <w:jc w:val="center"/>
              <w:rPr>
                <w:sz w:val="24"/>
                <w:szCs w:val="24"/>
              </w:rPr>
            </w:pPr>
          </w:p>
        </w:tc>
        <w:tc>
          <w:tcPr>
            <w:tcW w:w="705" w:type="pct"/>
            <w:vAlign w:val="center"/>
          </w:tcPr>
          <w:p>
            <w:pPr>
              <w:pStyle w:val="2"/>
              <w:spacing w:line="240" w:lineRule="auto"/>
              <w:ind w:firstLine="0" w:firstLineChars="0"/>
              <w:jc w:val="center"/>
              <w:rPr>
                <w:sz w:val="24"/>
                <w:szCs w:val="24"/>
              </w:rPr>
            </w:pPr>
            <w:r>
              <w:rPr>
                <w:rFonts w:hint="eastAsia"/>
                <w:sz w:val="24"/>
                <w:szCs w:val="24"/>
              </w:rPr>
              <w:t>计算机</w:t>
            </w:r>
          </w:p>
        </w:tc>
        <w:tc>
          <w:tcPr>
            <w:tcW w:w="673" w:type="pct"/>
            <w:vAlign w:val="center"/>
          </w:tcPr>
          <w:p>
            <w:pPr>
              <w:pStyle w:val="2"/>
              <w:spacing w:line="240" w:lineRule="auto"/>
              <w:ind w:firstLine="0" w:firstLineChars="0"/>
              <w:jc w:val="center"/>
              <w:rPr>
                <w:sz w:val="24"/>
                <w:szCs w:val="24"/>
              </w:rPr>
            </w:pPr>
            <w:r>
              <w:rPr>
                <w:rFonts w:hint="eastAsia"/>
                <w:sz w:val="24"/>
                <w:szCs w:val="24"/>
              </w:rPr>
              <w:t>工程师</w:t>
            </w:r>
          </w:p>
        </w:tc>
        <w:tc>
          <w:tcPr>
            <w:tcW w:w="709" w:type="pct"/>
            <w:vAlign w:val="center"/>
          </w:tcPr>
          <w:p>
            <w:pPr>
              <w:pStyle w:val="2"/>
              <w:spacing w:line="240" w:lineRule="auto"/>
              <w:ind w:firstLine="0" w:firstLineChars="0"/>
              <w:jc w:val="center"/>
              <w:rPr>
                <w:rFonts w:hint="default" w:eastAsia="仿宋_GB2312"/>
                <w:sz w:val="24"/>
                <w:szCs w:val="24"/>
                <w:lang w:val="en-US" w:eastAsia="zh-CN"/>
              </w:rPr>
            </w:pPr>
            <w:r>
              <w:rPr>
                <w:rFonts w:hint="eastAsia"/>
                <w:sz w:val="24"/>
                <w:szCs w:val="24"/>
                <w:lang w:val="en-US" w:eastAsia="zh-CN"/>
              </w:rPr>
              <w:t>项目经理</w:t>
            </w:r>
          </w:p>
        </w:tc>
        <w:tc>
          <w:tcPr>
            <w:tcW w:w="665" w:type="pct"/>
            <w:vAlign w:val="center"/>
          </w:tcPr>
          <w:p>
            <w:pPr>
              <w:pStyle w:val="2"/>
              <w:spacing w:line="240" w:lineRule="auto"/>
              <w:ind w:firstLine="0" w:firstLineChars="0"/>
              <w:jc w:val="center"/>
              <w:rPr>
                <w:rFonts w:hint="eastAsia" w:eastAsia="仿宋_GB2312"/>
                <w:sz w:val="24"/>
                <w:szCs w:val="24"/>
                <w:lang w:eastAsia="zh-CN"/>
              </w:rPr>
            </w:pPr>
            <w:r>
              <w:rPr>
                <w:rFonts w:hint="eastAsia"/>
                <w:sz w:val="24"/>
                <w:szCs w:val="24"/>
                <w:lang w:val="en-US" w:eastAsia="zh-CN"/>
              </w:rPr>
              <w:t>3</w:t>
            </w:r>
          </w:p>
        </w:tc>
      </w:tr>
      <w:tr>
        <w:trPr>
          <w:trHeight w:val="907" w:hRule="atLeast"/>
          <w:tblHeader/>
          <w:jc w:val="center"/>
        </w:trPr>
        <w:tc>
          <w:tcPr>
            <w:tcW w:w="363" w:type="pct"/>
            <w:vAlign w:val="center"/>
          </w:tcPr>
          <w:p>
            <w:pPr>
              <w:pStyle w:val="2"/>
              <w:spacing w:line="240" w:lineRule="auto"/>
              <w:ind w:firstLine="0" w:firstLineChars="0"/>
              <w:jc w:val="center"/>
              <w:rPr>
                <w:rFonts w:hint="eastAsia"/>
                <w:sz w:val="24"/>
                <w:szCs w:val="24"/>
              </w:rPr>
            </w:pPr>
          </w:p>
        </w:tc>
        <w:tc>
          <w:tcPr>
            <w:tcW w:w="521" w:type="pct"/>
            <w:vAlign w:val="center"/>
          </w:tcPr>
          <w:p>
            <w:pPr>
              <w:pStyle w:val="2"/>
              <w:spacing w:line="240" w:lineRule="auto"/>
              <w:ind w:firstLine="0" w:firstLineChars="0"/>
              <w:jc w:val="center"/>
              <w:rPr>
                <w:sz w:val="24"/>
                <w:szCs w:val="24"/>
              </w:rPr>
            </w:pPr>
          </w:p>
        </w:tc>
        <w:tc>
          <w:tcPr>
            <w:tcW w:w="1361" w:type="pct"/>
            <w:vAlign w:val="center"/>
          </w:tcPr>
          <w:p>
            <w:pPr>
              <w:pStyle w:val="2"/>
              <w:spacing w:line="240" w:lineRule="auto"/>
              <w:ind w:firstLine="0" w:firstLineChars="0"/>
              <w:jc w:val="center"/>
              <w:rPr>
                <w:sz w:val="24"/>
                <w:szCs w:val="24"/>
              </w:rPr>
            </w:pPr>
          </w:p>
        </w:tc>
        <w:tc>
          <w:tcPr>
            <w:tcW w:w="705" w:type="pct"/>
            <w:vAlign w:val="center"/>
          </w:tcPr>
          <w:p>
            <w:pPr>
              <w:pStyle w:val="2"/>
              <w:spacing w:line="240" w:lineRule="auto"/>
              <w:ind w:firstLine="0" w:firstLineChars="0"/>
              <w:jc w:val="center"/>
              <w:rPr>
                <w:rFonts w:hint="eastAsia"/>
                <w:sz w:val="24"/>
                <w:szCs w:val="24"/>
              </w:rPr>
            </w:pPr>
          </w:p>
        </w:tc>
        <w:tc>
          <w:tcPr>
            <w:tcW w:w="673" w:type="pct"/>
            <w:vAlign w:val="center"/>
          </w:tcPr>
          <w:p>
            <w:pPr>
              <w:pStyle w:val="2"/>
              <w:spacing w:line="240" w:lineRule="auto"/>
              <w:ind w:firstLine="0" w:firstLineChars="0"/>
              <w:jc w:val="center"/>
              <w:rPr>
                <w:rFonts w:hint="eastAsia"/>
                <w:sz w:val="24"/>
                <w:szCs w:val="24"/>
              </w:rPr>
            </w:pPr>
          </w:p>
        </w:tc>
        <w:tc>
          <w:tcPr>
            <w:tcW w:w="709" w:type="pct"/>
            <w:vAlign w:val="center"/>
          </w:tcPr>
          <w:p>
            <w:pPr>
              <w:pStyle w:val="2"/>
              <w:spacing w:line="240" w:lineRule="auto"/>
              <w:ind w:firstLine="0" w:firstLineChars="0"/>
              <w:jc w:val="center"/>
              <w:rPr>
                <w:rFonts w:hint="default"/>
                <w:sz w:val="24"/>
                <w:szCs w:val="24"/>
                <w:lang w:val="en-US" w:eastAsia="zh-CN"/>
              </w:rPr>
            </w:pPr>
            <w:r>
              <w:rPr>
                <w:rFonts w:hint="eastAsia"/>
                <w:sz w:val="24"/>
                <w:szCs w:val="24"/>
                <w:lang w:val="en-US" w:eastAsia="zh-CN"/>
              </w:rPr>
              <w:t>算法工程师</w:t>
            </w:r>
          </w:p>
        </w:tc>
        <w:tc>
          <w:tcPr>
            <w:tcW w:w="665" w:type="pct"/>
            <w:vAlign w:val="center"/>
          </w:tcPr>
          <w:p>
            <w:pPr>
              <w:pStyle w:val="2"/>
              <w:spacing w:line="240" w:lineRule="auto"/>
              <w:ind w:firstLine="0" w:firstLineChars="0"/>
              <w:jc w:val="center"/>
              <w:rPr>
                <w:rFonts w:hint="default"/>
                <w:sz w:val="24"/>
                <w:szCs w:val="24"/>
                <w:lang w:val="en-US" w:eastAsia="zh-CN"/>
              </w:rPr>
            </w:pPr>
            <w:r>
              <w:rPr>
                <w:rFonts w:hint="eastAsia"/>
                <w:sz w:val="24"/>
                <w:szCs w:val="24"/>
                <w:lang w:val="en-US" w:eastAsia="zh-CN"/>
              </w:rPr>
              <w:t>3</w:t>
            </w:r>
          </w:p>
        </w:tc>
      </w:tr>
      <w:tr>
        <w:trPr>
          <w:trHeight w:val="907" w:hRule="atLeast"/>
          <w:tblHeader/>
          <w:jc w:val="center"/>
        </w:trPr>
        <w:tc>
          <w:tcPr>
            <w:tcW w:w="363" w:type="pct"/>
            <w:vAlign w:val="center"/>
          </w:tcPr>
          <w:p>
            <w:pPr>
              <w:pStyle w:val="2"/>
              <w:spacing w:line="240" w:lineRule="auto"/>
              <w:ind w:firstLine="0" w:firstLineChars="0"/>
              <w:jc w:val="center"/>
              <w:rPr>
                <w:sz w:val="24"/>
                <w:szCs w:val="24"/>
              </w:rPr>
            </w:pPr>
            <w:r>
              <w:rPr>
                <w:rFonts w:hint="eastAsia"/>
                <w:sz w:val="24"/>
                <w:szCs w:val="24"/>
              </w:rPr>
              <w:t>2</w:t>
            </w:r>
          </w:p>
        </w:tc>
        <w:tc>
          <w:tcPr>
            <w:tcW w:w="521" w:type="pct"/>
            <w:vAlign w:val="center"/>
          </w:tcPr>
          <w:p>
            <w:pPr>
              <w:pStyle w:val="2"/>
              <w:spacing w:line="240" w:lineRule="auto"/>
              <w:ind w:firstLine="0" w:firstLineChars="0"/>
              <w:jc w:val="center"/>
              <w:rPr>
                <w:sz w:val="24"/>
                <w:szCs w:val="24"/>
              </w:rPr>
            </w:pPr>
          </w:p>
        </w:tc>
        <w:tc>
          <w:tcPr>
            <w:tcW w:w="1361" w:type="pct"/>
            <w:vAlign w:val="center"/>
          </w:tcPr>
          <w:p>
            <w:pPr>
              <w:pStyle w:val="2"/>
              <w:spacing w:line="240" w:lineRule="auto"/>
              <w:ind w:firstLine="0" w:firstLineChars="0"/>
              <w:jc w:val="center"/>
              <w:rPr>
                <w:sz w:val="24"/>
                <w:szCs w:val="24"/>
              </w:rPr>
            </w:pPr>
          </w:p>
        </w:tc>
        <w:tc>
          <w:tcPr>
            <w:tcW w:w="705" w:type="pct"/>
            <w:vAlign w:val="center"/>
          </w:tcPr>
          <w:p>
            <w:pPr>
              <w:pStyle w:val="2"/>
              <w:spacing w:line="240" w:lineRule="auto"/>
              <w:ind w:firstLine="0" w:firstLineChars="0"/>
              <w:jc w:val="center"/>
              <w:rPr>
                <w:sz w:val="24"/>
                <w:szCs w:val="24"/>
              </w:rPr>
            </w:pPr>
            <w:r>
              <w:rPr>
                <w:rFonts w:hint="eastAsia"/>
                <w:sz w:val="24"/>
                <w:szCs w:val="24"/>
              </w:rPr>
              <w:t>计算机</w:t>
            </w:r>
          </w:p>
        </w:tc>
        <w:tc>
          <w:tcPr>
            <w:tcW w:w="673" w:type="pct"/>
            <w:vAlign w:val="center"/>
          </w:tcPr>
          <w:p>
            <w:pPr>
              <w:pStyle w:val="2"/>
              <w:spacing w:line="240" w:lineRule="auto"/>
              <w:ind w:firstLine="0" w:firstLineChars="0"/>
              <w:jc w:val="center"/>
              <w:rPr>
                <w:sz w:val="24"/>
                <w:szCs w:val="24"/>
              </w:rPr>
            </w:pPr>
            <w:r>
              <w:rPr>
                <w:rFonts w:hint="eastAsia"/>
                <w:sz w:val="24"/>
                <w:szCs w:val="24"/>
              </w:rPr>
              <w:t>工程师</w:t>
            </w:r>
          </w:p>
        </w:tc>
        <w:tc>
          <w:tcPr>
            <w:tcW w:w="709" w:type="pct"/>
            <w:vAlign w:val="center"/>
          </w:tcPr>
          <w:p>
            <w:pPr>
              <w:pStyle w:val="2"/>
              <w:spacing w:line="240" w:lineRule="auto"/>
              <w:ind w:firstLine="0" w:firstLineChars="0"/>
              <w:jc w:val="center"/>
              <w:rPr>
                <w:sz w:val="24"/>
                <w:szCs w:val="24"/>
              </w:rPr>
            </w:pPr>
            <w:r>
              <w:rPr>
                <w:rFonts w:hint="eastAsia"/>
                <w:sz w:val="24"/>
                <w:szCs w:val="24"/>
              </w:rPr>
              <w:t>后端开发</w:t>
            </w:r>
          </w:p>
        </w:tc>
        <w:tc>
          <w:tcPr>
            <w:tcW w:w="665" w:type="pct"/>
            <w:vAlign w:val="center"/>
          </w:tcPr>
          <w:p>
            <w:pPr>
              <w:pStyle w:val="2"/>
              <w:spacing w:line="240" w:lineRule="auto"/>
              <w:ind w:firstLine="0" w:firstLineChars="0"/>
              <w:jc w:val="center"/>
              <w:rPr>
                <w:rFonts w:hint="eastAsia" w:eastAsia="仿宋_GB2312"/>
                <w:sz w:val="24"/>
                <w:szCs w:val="24"/>
                <w:lang w:eastAsia="zh-CN"/>
              </w:rPr>
            </w:pPr>
            <w:r>
              <w:rPr>
                <w:rFonts w:hint="eastAsia"/>
                <w:sz w:val="24"/>
                <w:szCs w:val="24"/>
                <w:lang w:val="en-US" w:eastAsia="zh-CN"/>
              </w:rPr>
              <w:t>3</w:t>
            </w:r>
          </w:p>
        </w:tc>
      </w:tr>
      <w:tr>
        <w:trPr>
          <w:trHeight w:val="907" w:hRule="atLeast"/>
          <w:tblHeader/>
          <w:jc w:val="center"/>
        </w:trPr>
        <w:tc>
          <w:tcPr>
            <w:tcW w:w="363" w:type="pct"/>
            <w:vAlign w:val="center"/>
          </w:tcPr>
          <w:p>
            <w:pPr>
              <w:pStyle w:val="2"/>
              <w:spacing w:line="240" w:lineRule="auto"/>
              <w:ind w:firstLine="0" w:firstLineChars="0"/>
              <w:jc w:val="center"/>
              <w:rPr>
                <w:sz w:val="24"/>
                <w:szCs w:val="24"/>
              </w:rPr>
            </w:pPr>
            <w:r>
              <w:rPr>
                <w:rFonts w:hint="eastAsia"/>
                <w:sz w:val="24"/>
                <w:szCs w:val="24"/>
              </w:rPr>
              <w:t>3</w:t>
            </w:r>
          </w:p>
        </w:tc>
        <w:tc>
          <w:tcPr>
            <w:tcW w:w="521" w:type="pct"/>
            <w:vAlign w:val="center"/>
          </w:tcPr>
          <w:p>
            <w:pPr>
              <w:pStyle w:val="2"/>
              <w:spacing w:line="240" w:lineRule="auto"/>
              <w:ind w:firstLine="0" w:firstLineChars="0"/>
              <w:jc w:val="center"/>
              <w:rPr>
                <w:sz w:val="24"/>
                <w:szCs w:val="24"/>
              </w:rPr>
            </w:pPr>
          </w:p>
        </w:tc>
        <w:tc>
          <w:tcPr>
            <w:tcW w:w="1361" w:type="pct"/>
            <w:vAlign w:val="center"/>
          </w:tcPr>
          <w:p>
            <w:pPr>
              <w:pStyle w:val="2"/>
              <w:spacing w:line="240" w:lineRule="auto"/>
              <w:ind w:firstLine="0" w:firstLineChars="0"/>
              <w:jc w:val="center"/>
              <w:rPr>
                <w:sz w:val="24"/>
                <w:szCs w:val="24"/>
              </w:rPr>
            </w:pPr>
          </w:p>
        </w:tc>
        <w:tc>
          <w:tcPr>
            <w:tcW w:w="705" w:type="pct"/>
            <w:vAlign w:val="center"/>
          </w:tcPr>
          <w:p>
            <w:pPr>
              <w:pStyle w:val="2"/>
              <w:spacing w:line="240" w:lineRule="auto"/>
              <w:ind w:firstLine="0" w:firstLineChars="0"/>
              <w:jc w:val="center"/>
              <w:rPr>
                <w:sz w:val="24"/>
                <w:szCs w:val="24"/>
              </w:rPr>
            </w:pPr>
            <w:r>
              <w:rPr>
                <w:rFonts w:hint="eastAsia"/>
                <w:sz w:val="24"/>
                <w:szCs w:val="24"/>
              </w:rPr>
              <w:t>计算机</w:t>
            </w:r>
          </w:p>
        </w:tc>
        <w:tc>
          <w:tcPr>
            <w:tcW w:w="673" w:type="pct"/>
            <w:vAlign w:val="center"/>
          </w:tcPr>
          <w:p>
            <w:pPr>
              <w:pStyle w:val="2"/>
              <w:spacing w:line="240" w:lineRule="auto"/>
              <w:ind w:firstLine="0" w:firstLineChars="0"/>
              <w:jc w:val="center"/>
              <w:rPr>
                <w:sz w:val="24"/>
                <w:szCs w:val="24"/>
              </w:rPr>
            </w:pPr>
            <w:r>
              <w:rPr>
                <w:rFonts w:hint="eastAsia"/>
                <w:sz w:val="24"/>
                <w:szCs w:val="24"/>
              </w:rPr>
              <w:t>工程师</w:t>
            </w:r>
          </w:p>
        </w:tc>
        <w:tc>
          <w:tcPr>
            <w:tcW w:w="709" w:type="pct"/>
            <w:vAlign w:val="center"/>
          </w:tcPr>
          <w:p>
            <w:pPr>
              <w:pStyle w:val="2"/>
              <w:spacing w:line="240" w:lineRule="auto"/>
              <w:ind w:firstLine="0" w:firstLineChars="0"/>
              <w:jc w:val="center"/>
              <w:rPr>
                <w:sz w:val="24"/>
                <w:szCs w:val="24"/>
              </w:rPr>
            </w:pPr>
            <w:r>
              <w:rPr>
                <w:rFonts w:hint="eastAsia"/>
                <w:sz w:val="24"/>
                <w:szCs w:val="24"/>
              </w:rPr>
              <w:t>后端开发</w:t>
            </w:r>
          </w:p>
        </w:tc>
        <w:tc>
          <w:tcPr>
            <w:tcW w:w="665" w:type="pct"/>
            <w:vAlign w:val="center"/>
          </w:tcPr>
          <w:p>
            <w:pPr>
              <w:pStyle w:val="2"/>
              <w:spacing w:line="240" w:lineRule="auto"/>
              <w:ind w:firstLine="0" w:firstLineChars="0"/>
              <w:jc w:val="center"/>
              <w:rPr>
                <w:sz w:val="24"/>
                <w:szCs w:val="24"/>
              </w:rPr>
            </w:pPr>
            <w:r>
              <w:rPr>
                <w:rFonts w:hint="eastAsia"/>
                <w:sz w:val="24"/>
                <w:szCs w:val="24"/>
              </w:rPr>
              <w:t>3</w:t>
            </w:r>
          </w:p>
        </w:tc>
      </w:tr>
      <w:tr>
        <w:trPr>
          <w:trHeight w:val="907" w:hRule="atLeast"/>
          <w:tblHeader/>
          <w:jc w:val="center"/>
        </w:trPr>
        <w:tc>
          <w:tcPr>
            <w:tcW w:w="363" w:type="pct"/>
            <w:vAlign w:val="center"/>
          </w:tcPr>
          <w:p>
            <w:pPr>
              <w:pStyle w:val="2"/>
              <w:spacing w:line="240" w:lineRule="auto"/>
              <w:ind w:firstLine="0" w:firstLineChars="0"/>
              <w:jc w:val="center"/>
              <w:rPr>
                <w:sz w:val="24"/>
                <w:szCs w:val="24"/>
              </w:rPr>
            </w:pPr>
            <w:r>
              <w:rPr>
                <w:rFonts w:hint="eastAsia"/>
                <w:sz w:val="24"/>
                <w:szCs w:val="24"/>
              </w:rPr>
              <w:t>4</w:t>
            </w:r>
          </w:p>
        </w:tc>
        <w:tc>
          <w:tcPr>
            <w:tcW w:w="521" w:type="pct"/>
            <w:vAlign w:val="center"/>
          </w:tcPr>
          <w:p>
            <w:pPr>
              <w:pStyle w:val="2"/>
              <w:spacing w:line="240" w:lineRule="auto"/>
              <w:ind w:firstLine="0" w:firstLineChars="0"/>
              <w:jc w:val="center"/>
              <w:rPr>
                <w:sz w:val="24"/>
                <w:szCs w:val="24"/>
              </w:rPr>
            </w:pPr>
          </w:p>
        </w:tc>
        <w:tc>
          <w:tcPr>
            <w:tcW w:w="1361" w:type="pct"/>
            <w:vAlign w:val="center"/>
          </w:tcPr>
          <w:p>
            <w:pPr>
              <w:pStyle w:val="2"/>
              <w:spacing w:line="240" w:lineRule="auto"/>
              <w:ind w:firstLine="0" w:firstLineChars="0"/>
              <w:jc w:val="center"/>
              <w:rPr>
                <w:sz w:val="24"/>
                <w:szCs w:val="24"/>
              </w:rPr>
            </w:pPr>
          </w:p>
        </w:tc>
        <w:tc>
          <w:tcPr>
            <w:tcW w:w="705" w:type="pct"/>
            <w:vAlign w:val="center"/>
          </w:tcPr>
          <w:p>
            <w:pPr>
              <w:pStyle w:val="2"/>
              <w:spacing w:line="240" w:lineRule="auto"/>
              <w:ind w:firstLine="0" w:firstLineChars="0"/>
              <w:jc w:val="center"/>
              <w:rPr>
                <w:sz w:val="24"/>
                <w:szCs w:val="24"/>
              </w:rPr>
            </w:pPr>
            <w:r>
              <w:rPr>
                <w:rFonts w:hint="eastAsia"/>
                <w:sz w:val="24"/>
                <w:szCs w:val="24"/>
              </w:rPr>
              <w:t>计算机</w:t>
            </w:r>
          </w:p>
        </w:tc>
        <w:tc>
          <w:tcPr>
            <w:tcW w:w="673" w:type="pct"/>
            <w:vAlign w:val="center"/>
          </w:tcPr>
          <w:p>
            <w:pPr>
              <w:pStyle w:val="2"/>
              <w:spacing w:line="240" w:lineRule="auto"/>
              <w:ind w:firstLine="0" w:firstLineChars="0"/>
              <w:jc w:val="center"/>
              <w:rPr>
                <w:sz w:val="24"/>
                <w:szCs w:val="24"/>
              </w:rPr>
            </w:pPr>
            <w:r>
              <w:rPr>
                <w:rFonts w:hint="eastAsia"/>
                <w:sz w:val="24"/>
                <w:szCs w:val="24"/>
              </w:rPr>
              <w:t>工程师</w:t>
            </w:r>
          </w:p>
        </w:tc>
        <w:tc>
          <w:tcPr>
            <w:tcW w:w="709" w:type="pct"/>
            <w:vAlign w:val="center"/>
          </w:tcPr>
          <w:p>
            <w:pPr>
              <w:pStyle w:val="2"/>
              <w:spacing w:line="240" w:lineRule="auto"/>
              <w:ind w:firstLine="0" w:firstLineChars="0"/>
              <w:jc w:val="center"/>
              <w:rPr>
                <w:rFonts w:hint="default" w:eastAsia="仿宋_GB2312"/>
                <w:sz w:val="24"/>
                <w:szCs w:val="24"/>
                <w:lang w:val="en-US" w:eastAsia="zh-CN"/>
              </w:rPr>
            </w:pPr>
            <w:r>
              <w:rPr>
                <w:rFonts w:hint="eastAsia"/>
                <w:sz w:val="24"/>
                <w:szCs w:val="24"/>
                <w:lang w:val="en-US" w:eastAsia="zh-CN"/>
              </w:rPr>
              <w:t>前端开发</w:t>
            </w:r>
          </w:p>
        </w:tc>
        <w:tc>
          <w:tcPr>
            <w:tcW w:w="665" w:type="pct"/>
            <w:vAlign w:val="center"/>
          </w:tcPr>
          <w:p>
            <w:pPr>
              <w:pStyle w:val="2"/>
              <w:spacing w:line="240" w:lineRule="auto"/>
              <w:ind w:firstLine="0" w:firstLineChars="0"/>
              <w:jc w:val="center"/>
              <w:rPr>
                <w:rFonts w:hint="eastAsia" w:eastAsia="仿宋_GB2312"/>
                <w:sz w:val="24"/>
                <w:szCs w:val="24"/>
                <w:lang w:eastAsia="zh-CN"/>
              </w:rPr>
            </w:pPr>
            <w:r>
              <w:rPr>
                <w:rFonts w:hint="eastAsia"/>
                <w:sz w:val="24"/>
                <w:szCs w:val="24"/>
                <w:lang w:val="en-US" w:eastAsia="zh-CN"/>
              </w:rPr>
              <w:t>3</w:t>
            </w:r>
          </w:p>
        </w:tc>
      </w:tr>
      <w:tr>
        <w:trPr>
          <w:trHeight w:val="907" w:hRule="atLeast"/>
          <w:tblHeader/>
          <w:jc w:val="center"/>
        </w:trPr>
        <w:tc>
          <w:tcPr>
            <w:tcW w:w="363" w:type="pct"/>
            <w:vAlign w:val="center"/>
          </w:tcPr>
          <w:p>
            <w:pPr>
              <w:pStyle w:val="2"/>
              <w:spacing w:line="240" w:lineRule="auto"/>
              <w:ind w:firstLine="0" w:firstLineChars="0"/>
              <w:jc w:val="center"/>
              <w:rPr>
                <w:rFonts w:hint="eastAsia" w:eastAsia="仿宋_GB2312"/>
                <w:sz w:val="24"/>
                <w:szCs w:val="24"/>
                <w:lang w:val="en-US" w:eastAsia="zh-CN"/>
              </w:rPr>
            </w:pPr>
            <w:r>
              <w:rPr>
                <w:rFonts w:hint="eastAsia"/>
                <w:sz w:val="24"/>
                <w:szCs w:val="24"/>
                <w:lang w:val="en-US" w:eastAsia="zh-CN"/>
              </w:rPr>
              <w:t>5</w:t>
            </w:r>
          </w:p>
        </w:tc>
        <w:tc>
          <w:tcPr>
            <w:tcW w:w="521" w:type="pct"/>
            <w:vAlign w:val="center"/>
          </w:tcPr>
          <w:p>
            <w:pPr>
              <w:pStyle w:val="2"/>
              <w:spacing w:line="240" w:lineRule="auto"/>
              <w:ind w:firstLine="0" w:firstLineChars="0"/>
              <w:jc w:val="center"/>
              <w:rPr>
                <w:sz w:val="24"/>
                <w:szCs w:val="24"/>
              </w:rPr>
            </w:pPr>
          </w:p>
        </w:tc>
        <w:tc>
          <w:tcPr>
            <w:tcW w:w="1361" w:type="pct"/>
            <w:vAlign w:val="center"/>
          </w:tcPr>
          <w:p>
            <w:pPr>
              <w:pStyle w:val="2"/>
              <w:spacing w:line="240" w:lineRule="auto"/>
              <w:ind w:firstLine="0" w:firstLineChars="0"/>
              <w:jc w:val="center"/>
              <w:rPr>
                <w:sz w:val="24"/>
                <w:szCs w:val="24"/>
              </w:rPr>
            </w:pPr>
          </w:p>
        </w:tc>
        <w:tc>
          <w:tcPr>
            <w:tcW w:w="705" w:type="pct"/>
            <w:vAlign w:val="center"/>
          </w:tcPr>
          <w:p>
            <w:pPr>
              <w:pStyle w:val="2"/>
              <w:spacing w:line="240" w:lineRule="auto"/>
              <w:ind w:firstLine="0" w:firstLineChars="0"/>
              <w:jc w:val="center"/>
              <w:rPr>
                <w:rFonts w:hint="eastAsia"/>
                <w:sz w:val="24"/>
                <w:szCs w:val="24"/>
              </w:rPr>
            </w:pPr>
          </w:p>
        </w:tc>
        <w:tc>
          <w:tcPr>
            <w:tcW w:w="673" w:type="pct"/>
            <w:vAlign w:val="center"/>
          </w:tcPr>
          <w:p>
            <w:pPr>
              <w:pStyle w:val="2"/>
              <w:spacing w:line="240" w:lineRule="auto"/>
              <w:ind w:firstLine="0" w:firstLineChars="0"/>
              <w:jc w:val="center"/>
              <w:rPr>
                <w:rFonts w:hint="eastAsia"/>
                <w:sz w:val="24"/>
                <w:szCs w:val="24"/>
              </w:rPr>
            </w:pPr>
          </w:p>
        </w:tc>
        <w:tc>
          <w:tcPr>
            <w:tcW w:w="709" w:type="pct"/>
            <w:vAlign w:val="center"/>
          </w:tcPr>
          <w:p>
            <w:pPr>
              <w:pStyle w:val="2"/>
              <w:spacing w:line="240" w:lineRule="auto"/>
              <w:ind w:firstLine="0" w:firstLineChars="0"/>
              <w:jc w:val="center"/>
              <w:rPr>
                <w:rFonts w:hint="default"/>
                <w:sz w:val="24"/>
                <w:szCs w:val="24"/>
                <w:lang w:val="en-US" w:eastAsia="zh-CN"/>
              </w:rPr>
            </w:pPr>
            <w:r>
              <w:rPr>
                <w:rFonts w:hint="eastAsia"/>
                <w:sz w:val="24"/>
                <w:szCs w:val="24"/>
                <w:lang w:val="en-US" w:eastAsia="zh-CN"/>
              </w:rPr>
              <w:t>测试</w:t>
            </w:r>
          </w:p>
        </w:tc>
        <w:tc>
          <w:tcPr>
            <w:tcW w:w="665" w:type="pct"/>
            <w:vAlign w:val="center"/>
          </w:tcPr>
          <w:p>
            <w:pPr>
              <w:pStyle w:val="2"/>
              <w:spacing w:line="240" w:lineRule="auto"/>
              <w:ind w:firstLine="0" w:firstLineChars="0"/>
              <w:jc w:val="center"/>
              <w:rPr>
                <w:rFonts w:hint="default"/>
                <w:sz w:val="24"/>
                <w:szCs w:val="24"/>
                <w:lang w:val="en-US" w:eastAsia="zh-CN"/>
              </w:rPr>
            </w:pPr>
            <w:r>
              <w:rPr>
                <w:rFonts w:hint="eastAsia"/>
                <w:sz w:val="24"/>
                <w:szCs w:val="24"/>
                <w:lang w:val="en-US" w:eastAsia="zh-CN"/>
              </w:rPr>
              <w:t>2</w:t>
            </w:r>
          </w:p>
        </w:tc>
      </w:tr>
      <w:tr>
        <w:trPr>
          <w:trHeight w:val="907" w:hRule="atLeast"/>
          <w:tblHeader/>
          <w:jc w:val="center"/>
        </w:trPr>
        <w:tc>
          <w:tcPr>
            <w:tcW w:w="363" w:type="pct"/>
            <w:vAlign w:val="center"/>
          </w:tcPr>
          <w:p>
            <w:pPr>
              <w:pStyle w:val="2"/>
              <w:spacing w:line="240" w:lineRule="auto"/>
              <w:ind w:firstLine="0" w:firstLineChars="0"/>
              <w:jc w:val="center"/>
              <w:rPr>
                <w:rFonts w:hint="eastAsia" w:eastAsia="仿宋_GB2312"/>
                <w:sz w:val="24"/>
                <w:szCs w:val="24"/>
                <w:lang w:val="en-US" w:eastAsia="zh-CN"/>
              </w:rPr>
            </w:pPr>
            <w:r>
              <w:rPr>
                <w:rFonts w:hint="eastAsia"/>
                <w:sz w:val="24"/>
                <w:szCs w:val="24"/>
                <w:lang w:val="en-US" w:eastAsia="zh-CN"/>
              </w:rPr>
              <w:t>6</w:t>
            </w:r>
          </w:p>
        </w:tc>
        <w:tc>
          <w:tcPr>
            <w:tcW w:w="521" w:type="pct"/>
            <w:vAlign w:val="center"/>
          </w:tcPr>
          <w:p>
            <w:pPr>
              <w:pStyle w:val="2"/>
              <w:spacing w:line="240" w:lineRule="auto"/>
              <w:ind w:firstLine="0" w:firstLineChars="0"/>
              <w:jc w:val="center"/>
              <w:rPr>
                <w:sz w:val="24"/>
                <w:szCs w:val="24"/>
              </w:rPr>
            </w:pPr>
          </w:p>
        </w:tc>
        <w:tc>
          <w:tcPr>
            <w:tcW w:w="1361" w:type="pct"/>
            <w:vAlign w:val="center"/>
          </w:tcPr>
          <w:p>
            <w:pPr>
              <w:pStyle w:val="2"/>
              <w:spacing w:line="240" w:lineRule="auto"/>
              <w:ind w:firstLine="0" w:firstLineChars="0"/>
              <w:jc w:val="center"/>
              <w:rPr>
                <w:sz w:val="24"/>
                <w:szCs w:val="24"/>
              </w:rPr>
            </w:pPr>
          </w:p>
        </w:tc>
        <w:tc>
          <w:tcPr>
            <w:tcW w:w="705" w:type="pct"/>
            <w:vAlign w:val="center"/>
          </w:tcPr>
          <w:p>
            <w:pPr>
              <w:pStyle w:val="2"/>
              <w:spacing w:line="240" w:lineRule="auto"/>
              <w:ind w:firstLine="0" w:firstLineChars="0"/>
              <w:jc w:val="center"/>
              <w:rPr>
                <w:sz w:val="24"/>
                <w:szCs w:val="24"/>
              </w:rPr>
            </w:pPr>
            <w:r>
              <w:rPr>
                <w:rFonts w:hint="eastAsia"/>
                <w:sz w:val="24"/>
                <w:szCs w:val="24"/>
              </w:rPr>
              <w:t>计算机</w:t>
            </w:r>
          </w:p>
        </w:tc>
        <w:tc>
          <w:tcPr>
            <w:tcW w:w="673" w:type="pct"/>
            <w:vAlign w:val="center"/>
          </w:tcPr>
          <w:p>
            <w:pPr>
              <w:pStyle w:val="2"/>
              <w:spacing w:line="240" w:lineRule="auto"/>
              <w:ind w:firstLine="0" w:firstLineChars="0"/>
              <w:jc w:val="center"/>
              <w:rPr>
                <w:sz w:val="24"/>
                <w:szCs w:val="24"/>
              </w:rPr>
            </w:pPr>
            <w:r>
              <w:rPr>
                <w:rFonts w:hint="eastAsia"/>
                <w:sz w:val="24"/>
                <w:szCs w:val="24"/>
              </w:rPr>
              <w:t>工程师</w:t>
            </w:r>
          </w:p>
        </w:tc>
        <w:tc>
          <w:tcPr>
            <w:tcW w:w="709" w:type="pct"/>
            <w:vAlign w:val="center"/>
          </w:tcPr>
          <w:p>
            <w:pPr>
              <w:pStyle w:val="2"/>
              <w:spacing w:line="240" w:lineRule="auto"/>
              <w:ind w:firstLine="0" w:firstLineChars="0"/>
              <w:jc w:val="center"/>
              <w:rPr>
                <w:sz w:val="24"/>
                <w:szCs w:val="24"/>
              </w:rPr>
            </w:pPr>
            <w:r>
              <w:rPr>
                <w:rFonts w:hint="eastAsia"/>
                <w:sz w:val="24"/>
                <w:szCs w:val="24"/>
              </w:rPr>
              <w:t>测试</w:t>
            </w:r>
          </w:p>
        </w:tc>
        <w:tc>
          <w:tcPr>
            <w:tcW w:w="665" w:type="pct"/>
            <w:vAlign w:val="center"/>
          </w:tcPr>
          <w:p>
            <w:pPr>
              <w:pStyle w:val="2"/>
              <w:spacing w:line="240" w:lineRule="auto"/>
              <w:ind w:firstLine="0" w:firstLineChars="0"/>
              <w:jc w:val="center"/>
              <w:rPr>
                <w:rFonts w:hint="eastAsia" w:eastAsia="仿宋_GB2312"/>
                <w:sz w:val="24"/>
                <w:szCs w:val="24"/>
                <w:lang w:eastAsia="zh-CN"/>
              </w:rPr>
            </w:pPr>
            <w:r>
              <w:rPr>
                <w:rFonts w:hint="eastAsia"/>
                <w:sz w:val="24"/>
                <w:szCs w:val="24"/>
                <w:lang w:val="en-US" w:eastAsia="zh-CN"/>
              </w:rPr>
              <w:t>2</w:t>
            </w:r>
          </w:p>
        </w:tc>
      </w:tr>
    </w:tbl>
    <w:p>
      <w:pPr>
        <w:pStyle w:val="2"/>
        <w:ind w:left="0" w:leftChars="0" w:firstLine="0" w:firstLineChars="0"/>
        <w:rPr>
          <w:rFonts w:hint="default"/>
          <w:lang w:val="en-US" w:eastAsia="zh-CN"/>
        </w:rPr>
      </w:pPr>
    </w:p>
    <w:p>
      <w:pPr>
        <w:ind w:firstLine="552"/>
        <w:rPr>
          <w:rFonts w:hint="eastAsia"/>
        </w:rPr>
      </w:pPr>
      <w:r>
        <w:rPr>
          <w:rFonts w:hint="eastAsia"/>
        </w:rPr>
        <w:t>项目管理：1名项目经理，负责项目整体规划、进度管控、需求协调等工作，工作周期3个月</w:t>
      </w:r>
      <w:r>
        <w:rPr>
          <w:rFonts w:hint="eastAsia"/>
          <w:lang w:eastAsia="zh-CN"/>
        </w:rPr>
        <w:t>；</w:t>
      </w:r>
      <w:r>
        <w:rPr>
          <w:rFonts w:hint="eastAsia"/>
        </w:rPr>
        <w:t>成本计算：按每月</w:t>
      </w:r>
      <w:r>
        <w:rPr>
          <w:rFonts w:hint="eastAsia"/>
          <w:lang w:val="en-US" w:eastAsia="zh-CN"/>
        </w:rPr>
        <w:t>2</w:t>
      </w:r>
      <w:r>
        <w:rPr>
          <w:rFonts w:hint="eastAsia"/>
        </w:rPr>
        <w:t>.</w:t>
      </w:r>
      <w:r>
        <w:rPr>
          <w:rFonts w:hint="eastAsia"/>
          <w:lang w:val="en-US" w:eastAsia="zh-CN"/>
        </w:rPr>
        <w:t>0</w:t>
      </w:r>
      <w:r>
        <w:rPr>
          <w:rFonts w:hint="eastAsia"/>
        </w:rPr>
        <w:t>万元计算，合计</w:t>
      </w:r>
      <w:r>
        <w:rPr>
          <w:rFonts w:hint="eastAsia"/>
          <w:lang w:val="en-US" w:eastAsia="zh-CN"/>
        </w:rPr>
        <w:t>2</w:t>
      </w:r>
      <w:r>
        <w:rPr>
          <w:rFonts w:hint="eastAsia"/>
        </w:rPr>
        <w:t>.</w:t>
      </w:r>
      <w:r>
        <w:rPr>
          <w:rFonts w:hint="eastAsia"/>
          <w:lang w:val="en-US" w:eastAsia="zh-CN"/>
        </w:rPr>
        <w:t>0</w:t>
      </w:r>
      <w:r>
        <w:rPr>
          <w:rFonts w:hint="eastAsia"/>
        </w:rPr>
        <w:t>×</w:t>
      </w:r>
      <w:r>
        <w:rPr>
          <w:rFonts w:hint="eastAsia"/>
          <w:lang w:val="en-US" w:eastAsia="zh-CN"/>
        </w:rPr>
        <w:t>3</w:t>
      </w:r>
      <w:r>
        <w:rPr>
          <w:rFonts w:hint="eastAsia"/>
        </w:rPr>
        <w:t>=6.0万元。​</w:t>
      </w:r>
    </w:p>
    <w:p>
      <w:pPr>
        <w:ind w:firstLine="552"/>
        <w:rPr>
          <w:rFonts w:hint="eastAsia"/>
        </w:rPr>
      </w:pPr>
      <w:r>
        <w:rPr>
          <w:rFonts w:hint="eastAsia"/>
        </w:rPr>
        <w:t>开发团队：</w:t>
      </w:r>
      <w:r>
        <w:rPr>
          <w:rFonts w:hint="eastAsia"/>
          <w:lang w:val="en-US" w:eastAsia="zh-CN"/>
        </w:rPr>
        <w:t>1名算法工程师，负责模型处理和算法优化，工作周期3个月；成本计算：每人每月2万元，合计1.5×3=4.50万元。</w:t>
      </w:r>
      <w:r>
        <w:rPr>
          <w:rFonts w:hint="eastAsia"/>
        </w:rPr>
        <w:t>2名后端开发工程师，负责后端服务架构搭建、接口开发、模型转换与推理测试模块开发等，工作周期</w:t>
      </w:r>
      <w:r>
        <w:rPr>
          <w:rFonts w:hint="eastAsia"/>
          <w:lang w:val="en-US" w:eastAsia="zh-CN"/>
        </w:rPr>
        <w:t>3</w:t>
      </w:r>
      <w:r>
        <w:rPr>
          <w:rFonts w:hint="eastAsia"/>
        </w:rPr>
        <w:t>个月</w:t>
      </w:r>
      <w:r>
        <w:rPr>
          <w:rFonts w:hint="eastAsia"/>
          <w:lang w:eastAsia="zh-CN"/>
        </w:rPr>
        <w:t>；</w:t>
      </w:r>
      <w:r>
        <w:rPr>
          <w:rFonts w:hint="eastAsia"/>
        </w:rPr>
        <w:t>成本计算：每人每月1.5万元，合计1.5×2×</w:t>
      </w:r>
      <w:r>
        <w:rPr>
          <w:rFonts w:hint="eastAsia"/>
          <w:lang w:val="en-US" w:eastAsia="zh-CN"/>
        </w:rPr>
        <w:t>3</w:t>
      </w:r>
      <w:r>
        <w:rPr>
          <w:rFonts w:hint="eastAsia"/>
        </w:rPr>
        <w:t>=</w:t>
      </w:r>
      <w:r>
        <w:rPr>
          <w:rFonts w:hint="eastAsia"/>
          <w:lang w:val="en-US" w:eastAsia="zh-CN"/>
        </w:rPr>
        <w:t>9</w:t>
      </w:r>
      <w:r>
        <w:rPr>
          <w:rFonts w:hint="eastAsia"/>
        </w:rPr>
        <w:t>.0</w:t>
      </w:r>
      <w:r>
        <w:rPr>
          <w:rFonts w:hint="eastAsia"/>
          <w:lang w:val="en-US" w:eastAsia="zh-CN"/>
        </w:rPr>
        <w:t>0</w:t>
      </w:r>
      <w:r>
        <w:rPr>
          <w:rFonts w:hint="eastAsia"/>
        </w:rPr>
        <w:t>万元。1名前端开发工程师，负责前端交互界面开发、可视化模块集成与优化等，工作周期3个月</w:t>
      </w:r>
      <w:r>
        <w:rPr>
          <w:rFonts w:hint="eastAsia"/>
          <w:lang w:eastAsia="zh-CN"/>
        </w:rPr>
        <w:t>；</w:t>
      </w:r>
      <w:r>
        <w:rPr>
          <w:rFonts w:hint="eastAsia"/>
        </w:rPr>
        <w:t>成本计算：每月1.0万元，合计1.0×3=3.0</w:t>
      </w:r>
      <w:r>
        <w:rPr>
          <w:rFonts w:hint="eastAsia"/>
          <w:lang w:val="en-US" w:eastAsia="zh-CN"/>
        </w:rPr>
        <w:t>0</w:t>
      </w:r>
      <w:r>
        <w:rPr>
          <w:rFonts w:hint="eastAsia"/>
        </w:rPr>
        <w:t>万元。​</w:t>
      </w:r>
    </w:p>
    <w:p>
      <w:pPr>
        <w:ind w:firstLine="552"/>
        <w:rPr>
          <w:rFonts w:hint="eastAsia"/>
        </w:rPr>
      </w:pPr>
      <w:r>
        <w:rPr>
          <w:rFonts w:hint="eastAsia"/>
        </w:rPr>
        <w:t>测试与运维：1名测试工程师，负责系统功能测试、性能测试、兼容性测试及问题反馈，工作周期2个月</w:t>
      </w:r>
      <w:r>
        <w:rPr>
          <w:rFonts w:hint="eastAsia"/>
          <w:lang w:eastAsia="zh-CN"/>
        </w:rPr>
        <w:t>；</w:t>
      </w:r>
      <w:r>
        <w:rPr>
          <w:rFonts w:hint="eastAsia"/>
        </w:rPr>
        <w:t>成本计算：每月1万元，合计1×</w:t>
      </w:r>
      <w:r>
        <w:rPr>
          <w:rFonts w:hint="eastAsia"/>
          <w:lang w:val="en-US" w:eastAsia="zh-CN"/>
        </w:rPr>
        <w:t>2×</w:t>
      </w:r>
      <w:r>
        <w:rPr>
          <w:rFonts w:hint="eastAsia"/>
        </w:rPr>
        <w:t>2=</w:t>
      </w:r>
      <w:r>
        <w:rPr>
          <w:rFonts w:hint="eastAsia"/>
          <w:lang w:val="en-US" w:eastAsia="zh-CN"/>
        </w:rPr>
        <w:t>4</w:t>
      </w:r>
      <w:r>
        <w:rPr>
          <w:rFonts w:hint="eastAsia"/>
        </w:rPr>
        <w:t>.0</w:t>
      </w:r>
      <w:r>
        <w:rPr>
          <w:rFonts w:hint="eastAsia"/>
          <w:lang w:val="en-US" w:eastAsia="zh-CN"/>
        </w:rPr>
        <w:t>0</w:t>
      </w:r>
      <w:r>
        <w:rPr>
          <w:rFonts w:hint="eastAsia"/>
        </w:rPr>
        <w:t>万元。</w:t>
      </w:r>
    </w:p>
    <w:p>
      <w:pPr>
        <w:ind w:firstLine="552"/>
      </w:pPr>
      <w:r>
        <w:rPr>
          <w:rFonts w:hint="eastAsia"/>
        </w:rPr>
        <w:t>使用已有设备成本摊销：总计投入</w:t>
      </w:r>
      <w:r>
        <w:rPr>
          <w:rFonts w:hint="eastAsia"/>
          <w:lang w:val="en-US" w:eastAsia="zh-CN"/>
        </w:rPr>
        <w:t>6</w:t>
      </w:r>
      <w:r>
        <w:rPr>
          <w:rFonts w:hint="eastAsia"/>
        </w:rPr>
        <w:t>名员工，现有的办公环境、电脑和服务器等使用总计1</w:t>
      </w:r>
      <w:r>
        <w:rPr>
          <w:rFonts w:hint="eastAsia"/>
          <w:lang w:val="en-US" w:eastAsia="zh-CN"/>
        </w:rPr>
        <w:t>9</w:t>
      </w:r>
      <w:r>
        <w:rPr>
          <w:rFonts w:hint="eastAsia"/>
        </w:rPr>
        <w:t>人月，摊销1万元</w:t>
      </w:r>
      <w:r>
        <w:t>。</w:t>
      </w:r>
    </w:p>
    <w:p>
      <w:pPr>
        <w:numPr>
          <w:ilvl w:val="0"/>
          <w:numId w:val="10"/>
        </w:numPr>
        <w:outlineLvl w:val="2"/>
        <w:rPr>
          <w:sz w:val="32"/>
          <w:szCs w:val="32"/>
        </w:rPr>
      </w:pPr>
      <w:bookmarkStart w:id="71" w:name="_Toc79370760"/>
      <w:r>
        <w:rPr>
          <w:rFonts w:hint="eastAsia"/>
          <w:sz w:val="32"/>
          <w:szCs w:val="32"/>
          <w:lang w:val="en-US" w:eastAsia="zh-CN"/>
        </w:rPr>
        <w:t>管理</w:t>
      </w:r>
      <w:r>
        <w:rPr>
          <w:rFonts w:hint="eastAsia"/>
          <w:sz w:val="32"/>
          <w:szCs w:val="32"/>
        </w:rPr>
        <w:t>费</w:t>
      </w:r>
      <w:r>
        <w:rPr>
          <w:rFonts w:hint="eastAsia" w:eastAsia="仿宋_GB2312"/>
          <w:sz w:val="32"/>
          <w:szCs w:val="32"/>
          <w:lang w:eastAsia="zh-CN"/>
        </w:rPr>
        <w:t>（</w:t>
      </w:r>
      <w:r>
        <w:rPr>
          <w:rFonts w:hint="eastAsia"/>
          <w:sz w:val="32"/>
          <w:szCs w:val="32"/>
          <w:lang w:val="en-US" w:eastAsia="zh-CN"/>
        </w:rPr>
        <w:t>5</w:t>
      </w:r>
      <w:r>
        <w:rPr>
          <w:rFonts w:hint="eastAsia" w:ascii="仿宋_GB2312" w:eastAsia="仿宋_GB2312"/>
          <w:sz w:val="32"/>
          <w:szCs w:val="32"/>
          <w:lang w:val="en-US" w:eastAsia="zh-CN"/>
        </w:rPr>
        <w:t>.</w:t>
      </w:r>
      <w:r>
        <w:rPr>
          <w:rFonts w:hint="eastAsia"/>
          <w:sz w:val="32"/>
          <w:szCs w:val="32"/>
          <w:lang w:val="en-US" w:eastAsia="zh-CN"/>
        </w:rPr>
        <w:t>0</w:t>
      </w:r>
      <w:r>
        <w:rPr>
          <w:rFonts w:hint="eastAsia" w:ascii="仿宋_GB2312" w:eastAsia="仿宋_GB2312"/>
          <w:sz w:val="32"/>
          <w:szCs w:val="32"/>
          <w:lang w:val="en-US" w:eastAsia="zh-CN"/>
        </w:rPr>
        <w:t>0万元）</w:t>
      </w:r>
      <w:bookmarkEnd w:id="71"/>
    </w:p>
    <w:p>
      <w:pPr>
        <w:pStyle w:val="2"/>
        <w:rPr>
          <w:rFonts w:hint="eastAsia"/>
        </w:rPr>
      </w:pPr>
      <w:r>
        <w:rPr>
          <w:rFonts w:hint="eastAsia"/>
        </w:rPr>
        <w:t>管理费按照</w:t>
      </w:r>
      <w:r>
        <w:rPr>
          <w:rFonts w:hint="eastAsia"/>
          <w:lang w:val="en-US" w:eastAsia="zh-CN"/>
        </w:rPr>
        <w:t>我单位科研项目管理办法，一般占总体预算的10%以上，本项目大致采纳10%的最低比例，预留其他费用10%的测算空间，将直接费用和间接费占比大致规划到80%，计算管理费的公式为</w:t>
      </w:r>
      <w:r>
        <w:rPr>
          <w:rFonts w:hint="eastAsia"/>
          <w:lang w:eastAsia="zh-CN"/>
        </w:rPr>
        <w:t>：（</w:t>
      </w:r>
      <w:r>
        <w:rPr>
          <w:rFonts w:hint="eastAsia"/>
        </w:rPr>
        <w:t>直接费用</w:t>
      </w:r>
      <w:r>
        <w:rPr>
          <w:rFonts w:hint="eastAsia"/>
          <w:lang w:val="en-US" w:eastAsia="zh-CN"/>
        </w:rPr>
        <w:t>11.33万元</w:t>
      </w:r>
      <w:r>
        <w:rPr>
          <w:rFonts w:hint="eastAsia"/>
        </w:rPr>
        <w:t>+间接费</w:t>
      </w:r>
      <w:r>
        <w:rPr>
          <w:rFonts w:hint="eastAsia"/>
          <w:lang w:val="en-US" w:eastAsia="zh-CN"/>
        </w:rPr>
        <w:t>29.00万元</w:t>
      </w:r>
      <w:r>
        <w:rPr>
          <w:rFonts w:hint="eastAsia"/>
        </w:rPr>
        <w:t>）/</w:t>
      </w:r>
      <w:r>
        <w:rPr>
          <w:rFonts w:hint="eastAsia"/>
          <w:lang w:val="en-US" w:eastAsia="zh-CN"/>
        </w:rPr>
        <w:t>80%×10%</w:t>
      </w:r>
      <w:r>
        <w:rPr>
          <w:rFonts w:hint="eastAsia"/>
        </w:rPr>
        <w:t>，大概</w:t>
      </w:r>
      <w:r>
        <w:rPr>
          <w:rFonts w:hint="eastAsia"/>
          <w:lang w:val="en-US" w:eastAsia="zh-CN"/>
        </w:rPr>
        <w:t>5</w:t>
      </w:r>
      <w:r>
        <w:rPr>
          <w:rFonts w:hint="eastAsia"/>
        </w:rPr>
        <w:t>.</w:t>
      </w:r>
      <w:r>
        <w:rPr>
          <w:rFonts w:hint="eastAsia"/>
          <w:lang w:val="en-US" w:eastAsia="zh-CN"/>
        </w:rPr>
        <w:t>0</w:t>
      </w:r>
      <w:r>
        <w:rPr>
          <w:rFonts w:hint="eastAsia"/>
        </w:rPr>
        <w:t>0万元。</w:t>
      </w:r>
    </w:p>
    <w:p>
      <w:pPr>
        <w:numPr>
          <w:ilvl w:val="0"/>
          <w:numId w:val="10"/>
        </w:numPr>
        <w:outlineLvl w:val="2"/>
        <w:rPr>
          <w:sz w:val="32"/>
          <w:szCs w:val="32"/>
        </w:rPr>
      </w:pPr>
      <w:bookmarkStart w:id="72" w:name="_Toc397018533"/>
      <w:r>
        <w:rPr>
          <w:rFonts w:hint="eastAsia"/>
          <w:sz w:val="32"/>
          <w:szCs w:val="32"/>
          <w:lang w:val="en-US" w:eastAsia="zh-CN"/>
        </w:rPr>
        <w:t>其他费用</w:t>
      </w:r>
      <w:r>
        <w:rPr>
          <w:rFonts w:hint="eastAsia" w:eastAsia="仿宋_GB2312"/>
          <w:sz w:val="32"/>
          <w:szCs w:val="32"/>
          <w:lang w:eastAsia="zh-CN"/>
        </w:rPr>
        <w:t>（</w:t>
      </w:r>
      <w:r>
        <w:rPr>
          <w:rFonts w:hint="eastAsia"/>
          <w:sz w:val="32"/>
          <w:szCs w:val="32"/>
          <w:lang w:val="en-US" w:eastAsia="zh-CN"/>
        </w:rPr>
        <w:t>3</w:t>
      </w:r>
      <w:r>
        <w:rPr>
          <w:rFonts w:hint="eastAsia" w:ascii="仿宋_GB2312" w:eastAsia="仿宋_GB2312"/>
          <w:sz w:val="32"/>
          <w:szCs w:val="32"/>
          <w:lang w:val="en-US" w:eastAsia="zh-CN"/>
        </w:rPr>
        <w:t>.</w:t>
      </w:r>
      <w:r>
        <w:rPr>
          <w:rFonts w:hint="eastAsia"/>
          <w:sz w:val="32"/>
          <w:szCs w:val="32"/>
          <w:lang w:val="en-US" w:eastAsia="zh-CN"/>
        </w:rPr>
        <w:t>85</w:t>
      </w:r>
      <w:r>
        <w:rPr>
          <w:rFonts w:hint="eastAsia" w:ascii="仿宋_GB2312" w:eastAsia="仿宋_GB2312"/>
          <w:sz w:val="32"/>
          <w:szCs w:val="32"/>
          <w:lang w:val="en-US" w:eastAsia="zh-CN"/>
        </w:rPr>
        <w:t>万元）</w:t>
      </w:r>
      <w:bookmarkEnd w:id="72"/>
    </w:p>
    <w:p>
      <w:pPr>
        <w:pStyle w:val="2"/>
        <w:rPr>
          <w:rFonts w:hint="default" w:eastAsia="仿宋_GB2312"/>
          <w:lang w:val="en-US" w:eastAsia="zh-CN"/>
        </w:rPr>
      </w:pPr>
      <w:r>
        <w:rPr>
          <w:rFonts w:hint="eastAsia"/>
        </w:rPr>
        <w:t>本单位不用考虑收益，测算为0.00万元</w:t>
      </w:r>
      <w:r>
        <w:rPr>
          <w:rFonts w:hint="eastAsia"/>
          <w:lang w:eastAsia="zh-CN"/>
        </w:rPr>
        <w:t>，</w:t>
      </w:r>
      <w:r>
        <w:rPr>
          <w:rFonts w:hint="eastAsia"/>
          <w:lang w:val="en-US" w:eastAsia="zh-CN"/>
        </w:rPr>
        <w:t>仅</w:t>
      </w:r>
      <w:r>
        <w:rPr>
          <w:rFonts w:hint="eastAsia"/>
        </w:rPr>
        <w:t>预留测算外的紧急支出</w:t>
      </w:r>
      <w:r>
        <w:rPr>
          <w:rFonts w:hint="eastAsia"/>
          <w:lang w:val="en-US" w:eastAsia="zh-CN"/>
        </w:rPr>
        <w:t>风险</w:t>
      </w:r>
      <w:r>
        <w:rPr>
          <w:rFonts w:hint="eastAsia"/>
        </w:rPr>
        <w:t>费用1.00万元</w:t>
      </w:r>
      <w:r>
        <w:rPr>
          <w:rFonts w:hint="eastAsia"/>
          <w:lang w:eastAsia="zh-CN"/>
        </w:rPr>
        <w:t>；</w:t>
      </w:r>
      <w:r>
        <w:rPr>
          <w:rFonts w:hint="eastAsia"/>
        </w:rPr>
        <w:t>应甲方需求出具发票</w:t>
      </w:r>
      <w:r>
        <w:rPr>
          <w:rFonts w:hint="eastAsia"/>
          <w:lang w:eastAsia="zh-CN"/>
        </w:rPr>
        <w:t>，</w:t>
      </w:r>
      <w:r>
        <w:rPr>
          <w:rFonts w:hint="eastAsia"/>
          <w:lang w:val="en-US" w:eastAsia="zh-CN"/>
        </w:rPr>
        <w:t>按照税额6%来预估，计算缴税金额为（直接费用11.33万元+间接费27.50万元+管理费5.00万元+紧急支出费用1.00万元）/(1-6%)×6%，大概2.85万元</w:t>
      </w:r>
    </w:p>
    <w:bookmarkEnd w:id="59"/>
    <w:p>
      <w:pPr>
        <w:outlineLvl w:val="0"/>
        <w:rPr>
          <w:rFonts w:ascii="黑体" w:hAnsi="黑体" w:eastAsia="黑体"/>
          <w:sz w:val="32"/>
          <w:szCs w:val="32"/>
        </w:rPr>
      </w:pPr>
      <w:bookmarkStart w:id="73" w:name="_Toc372529533"/>
      <w:bookmarkStart w:id="74" w:name="_Toc728223323"/>
      <w:bookmarkStart w:id="75" w:name="_Toc198653976"/>
      <w:bookmarkStart w:id="76" w:name="_Toc458792902"/>
      <w:r>
        <w:rPr>
          <w:rFonts w:hint="eastAsia" w:ascii="黑体" w:hAnsi="黑体" w:eastAsia="黑体"/>
          <w:sz w:val="32"/>
          <w:szCs w:val="32"/>
        </w:rPr>
        <w:t>四</w:t>
      </w:r>
      <w:bookmarkEnd w:id="73"/>
      <w:bookmarkStart w:id="77" w:name="_Toc372529535"/>
      <w:r>
        <w:rPr>
          <w:rFonts w:hint="eastAsia" w:ascii="黑体" w:hAnsi="黑体" w:eastAsia="黑体"/>
          <w:sz w:val="32"/>
          <w:szCs w:val="32"/>
        </w:rPr>
        <w:t>、</w:t>
      </w:r>
      <w:bookmarkEnd w:id="77"/>
      <w:r>
        <w:rPr>
          <w:rFonts w:hint="eastAsia" w:ascii="黑体" w:hAnsi="黑体" w:eastAsia="黑体"/>
          <w:sz w:val="32"/>
          <w:szCs w:val="32"/>
        </w:rPr>
        <w:t>结论</w:t>
      </w:r>
      <w:bookmarkEnd w:id="74"/>
      <w:bookmarkEnd w:id="75"/>
      <w:bookmarkEnd w:id="76"/>
    </w:p>
    <w:p>
      <w:pPr>
        <w:ind w:firstLine="552"/>
        <w:rPr>
          <w:rFonts w:hint="eastAsia"/>
        </w:rPr>
      </w:pPr>
      <w:r>
        <w:rPr>
          <w:rFonts w:hint="eastAsia"/>
        </w:rPr>
        <w:t>根据上述测算，目前估算本项目整体报价为47.53万</w:t>
      </w:r>
      <w:r>
        <w:rPr>
          <w:rFonts w:hint="eastAsia"/>
          <w:lang w:eastAsia="zh-CN"/>
        </w:rPr>
        <w:t>。</w:t>
      </w:r>
      <w:r>
        <w:rPr>
          <w:rFonts w:hint="eastAsia"/>
        </w:rPr>
        <w:t>包括设备费为3.50万元、业务费为2.80万元、人力成本为4.88万元，总计直接费用11.18万元；间接费（包含在职员工人力成本摊销和使用已有设备成本摊销）为27.50万元；管理费为5.00万元，其他费用3.85万元。汇总报价明细，详见表1项目经费预算明细表</w:t>
      </w:r>
    </w:p>
    <w:p>
      <w:pPr>
        <w:widowControl w:val="0"/>
        <w:snapToGrid w:val="0"/>
        <w:spacing w:line="560" w:lineRule="exact"/>
        <w:ind w:firstLine="552" w:firstLineChars="200"/>
        <w:jc w:val="center"/>
        <w:rPr>
          <w:rFonts w:hint="eastAsia" w:ascii="Arial" w:hAnsi="Arial" w:eastAsia="黑体" w:cs="Arial"/>
          <w:kern w:val="2"/>
          <w:sz w:val="20"/>
          <w:szCs w:val="20"/>
          <w:lang w:val="en-US" w:eastAsia="zh-CN" w:bidi="ar-SA"/>
        </w:rPr>
      </w:pPr>
      <w:r>
        <w:rPr>
          <w:rFonts w:hint="eastAsia" w:ascii="楷体" w:hAnsi="楷体" w:eastAsia="楷体" w:cs="楷体"/>
          <w:kern w:val="2"/>
          <w:sz w:val="28"/>
          <w:szCs w:val="28"/>
          <w:lang w:val="en-US" w:eastAsia="zh-CN" w:bidi="ar-SA"/>
        </w:rPr>
        <w:t xml:space="preserve">图表 </w:t>
      </w:r>
      <w:r>
        <w:rPr>
          <w:rFonts w:hint="eastAsia" w:ascii="楷体" w:hAnsi="楷体" w:eastAsia="楷体" w:cs="楷体"/>
          <w:kern w:val="2"/>
          <w:sz w:val="28"/>
          <w:szCs w:val="28"/>
          <w:lang w:val="en-US" w:eastAsia="zh-CN" w:bidi="ar-SA"/>
        </w:rPr>
        <w:fldChar w:fldCharType="begin"/>
      </w:r>
      <w:r>
        <w:rPr>
          <w:rFonts w:hint="eastAsia" w:ascii="楷体" w:hAnsi="楷体" w:eastAsia="楷体" w:cs="楷体"/>
          <w:kern w:val="2"/>
          <w:sz w:val="28"/>
          <w:szCs w:val="28"/>
          <w:lang w:val="en-US" w:eastAsia="zh-CN" w:bidi="ar-SA"/>
        </w:rPr>
        <w:instrText xml:space="preserve"> SEQ 图表 \* ARABIC </w:instrText>
      </w:r>
      <w:r>
        <w:rPr>
          <w:rFonts w:hint="eastAsia" w:ascii="楷体" w:hAnsi="楷体" w:eastAsia="楷体" w:cs="楷体"/>
          <w:kern w:val="2"/>
          <w:sz w:val="28"/>
          <w:szCs w:val="28"/>
          <w:lang w:val="en-US" w:eastAsia="zh-CN" w:bidi="ar-SA"/>
        </w:rPr>
        <w:fldChar w:fldCharType="separate"/>
      </w:r>
      <w:r>
        <w:rPr>
          <w:rFonts w:hint="eastAsia" w:ascii="楷体" w:hAnsi="楷体" w:eastAsia="楷体" w:cs="楷体"/>
          <w:kern w:val="2"/>
          <w:sz w:val="28"/>
          <w:szCs w:val="28"/>
          <w:lang w:val="en-US" w:eastAsia="zh-CN" w:bidi="ar-SA"/>
        </w:rPr>
        <w:t>5</w:t>
      </w:r>
      <w:r>
        <w:rPr>
          <w:rFonts w:hint="eastAsia" w:ascii="楷体" w:hAnsi="楷体" w:eastAsia="楷体" w:cs="楷体"/>
          <w:kern w:val="2"/>
          <w:sz w:val="28"/>
          <w:szCs w:val="28"/>
          <w:lang w:val="en-US" w:eastAsia="zh-CN" w:bidi="ar-SA"/>
        </w:rPr>
        <w:fldChar w:fldCharType="end"/>
      </w:r>
      <w:r>
        <w:rPr>
          <w:rFonts w:hint="eastAsia" w:ascii="楷体" w:hAnsi="楷体" w:eastAsia="楷体" w:cs="楷体"/>
          <w:kern w:val="2"/>
          <w:sz w:val="28"/>
          <w:szCs w:val="28"/>
          <w:lang w:val="en-US" w:eastAsia="zh-CN" w:bidi="ar-SA"/>
        </w:rPr>
        <w:t xml:space="preserve"> 项目经费预算明细表（单位：万元）</w:t>
      </w:r>
    </w:p>
    <w:tbl>
      <w:tblPr>
        <w:tblStyle w:val="25"/>
        <w:tblpPr w:leftFromText="180" w:rightFromText="180" w:vertAnchor="text" w:horzAnchor="page" w:tblpX="1779" w:tblpY="381"/>
        <w:tblOverlap w:val="never"/>
        <w:tblW w:w="5000" w:type="pct"/>
        <w:tblInd w:w="0" w:type="dxa"/>
        <w:tblLayout w:type="fixed"/>
        <w:tblCellMar>
          <w:top w:w="0" w:type="dxa"/>
          <w:left w:w="108" w:type="dxa"/>
          <w:bottom w:w="0" w:type="dxa"/>
          <w:right w:w="108" w:type="dxa"/>
        </w:tblCellMar>
      </w:tblPr>
      <w:tblGrid>
        <w:gridCol w:w="3690"/>
        <w:gridCol w:w="1829"/>
        <w:gridCol w:w="3543"/>
      </w:tblGrid>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楷体" w:hAnsi="楷体" w:eastAsia="楷体" w:cs="楷体"/>
                <w:b/>
                <w:bCs/>
                <w:sz w:val="21"/>
                <w:szCs w:val="21"/>
              </w:rPr>
            </w:pPr>
            <w:r>
              <w:rPr>
                <w:rFonts w:hint="eastAsia" w:ascii="楷体" w:hAnsi="楷体" w:eastAsia="楷体" w:cs="楷体"/>
                <w:b/>
                <w:bCs/>
                <w:kern w:val="0"/>
                <w:sz w:val="21"/>
                <w:szCs w:val="21"/>
                <w:lang w:bidi="ar"/>
              </w:rPr>
              <w:t>预算科目</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楷体" w:hAnsi="楷体" w:eastAsia="楷体" w:cs="楷体"/>
                <w:b/>
                <w:bCs/>
                <w:sz w:val="21"/>
                <w:szCs w:val="21"/>
              </w:rPr>
            </w:pPr>
            <w:r>
              <w:rPr>
                <w:rFonts w:hint="eastAsia" w:ascii="楷体" w:hAnsi="楷体" w:eastAsia="楷体" w:cs="楷体"/>
                <w:b/>
                <w:bCs/>
                <w:kern w:val="0"/>
                <w:sz w:val="21"/>
                <w:szCs w:val="21"/>
                <w:lang w:bidi="ar"/>
              </w:rPr>
              <w:t>金额（</w:t>
            </w:r>
            <w:r>
              <w:rPr>
                <w:rFonts w:hint="eastAsia" w:ascii="楷体" w:hAnsi="楷体" w:eastAsia="楷体" w:cs="楷体"/>
                <w:b/>
                <w:bCs/>
                <w:kern w:val="0"/>
                <w:sz w:val="21"/>
                <w:szCs w:val="21"/>
                <w:lang w:val="en-US" w:eastAsia="zh-CN" w:bidi="ar"/>
              </w:rPr>
              <w:t>万</w:t>
            </w:r>
            <w:r>
              <w:rPr>
                <w:rFonts w:hint="eastAsia" w:ascii="楷体" w:hAnsi="楷体" w:eastAsia="楷体" w:cs="楷体"/>
                <w:b/>
                <w:bCs/>
                <w:kern w:val="0"/>
                <w:sz w:val="21"/>
                <w:szCs w:val="21"/>
                <w:lang w:bidi="ar"/>
              </w:rPr>
              <w:t>元）</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楷体" w:hAnsi="楷体" w:eastAsia="楷体" w:cs="楷体"/>
                <w:b/>
                <w:bCs/>
                <w:sz w:val="21"/>
                <w:szCs w:val="21"/>
              </w:rPr>
            </w:pPr>
            <w:r>
              <w:rPr>
                <w:rFonts w:hint="eastAsia" w:ascii="楷体" w:hAnsi="楷体" w:eastAsia="楷体" w:cs="楷体"/>
                <w:b/>
                <w:bCs/>
                <w:kern w:val="0"/>
                <w:sz w:val="21"/>
                <w:szCs w:val="21"/>
                <w:lang w:bidi="ar"/>
              </w:rPr>
              <w:t>说明</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一、直接费用</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rPr>
            </w:pPr>
            <w:r>
              <w:rPr>
                <w:rFonts w:hint="eastAsia" w:hAnsi="仿宋_GB2312" w:cs="仿宋_GB2312"/>
                <w:sz w:val="21"/>
                <w:szCs w:val="21"/>
                <w:lang w:val="en-US" w:eastAsia="zh-CN"/>
              </w:rPr>
              <w:t>11.18</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center"/>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（一）设备费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rPr>
            </w:pPr>
            <w:r>
              <w:rPr>
                <w:rFonts w:hint="eastAsia" w:ascii="仿宋_GB2312" w:hAnsi="仿宋_GB2312" w:eastAsia="仿宋_GB2312" w:cs="仿宋_GB2312"/>
                <w:sz w:val="21"/>
                <w:szCs w:val="21"/>
                <w:lang w:val="en-US" w:eastAsia="zh-CN"/>
              </w:rPr>
              <w:t>3</w:t>
            </w:r>
            <w:r>
              <w:rPr>
                <w:rFonts w:hint="eastAsia" w:hAnsi="仿宋_GB2312" w:cs="仿宋_GB2312"/>
                <w:sz w:val="21"/>
                <w:szCs w:val="21"/>
                <w:lang w:val="en-US" w:eastAsia="zh-CN"/>
              </w:rPr>
              <w:t>.</w:t>
            </w:r>
            <w:r>
              <w:rPr>
                <w:rFonts w:hint="eastAsia" w:ascii="仿宋_GB2312" w:hAnsi="仿宋_GB2312" w:eastAsia="仿宋_GB2312" w:cs="仿宋_GB2312"/>
                <w:sz w:val="21"/>
                <w:szCs w:val="21"/>
                <w:lang w:val="en-US" w:eastAsia="zh-CN"/>
              </w:rPr>
              <w:t>5</w:t>
            </w:r>
            <w:r>
              <w:rPr>
                <w:rFonts w:hint="eastAsia" w:hAnsi="仿宋_GB2312" w:cs="仿宋_GB2312"/>
                <w:sz w:val="21"/>
                <w:szCs w:val="21"/>
                <w:lang w:val="en-US" w:eastAsia="zh-CN"/>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center"/>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1．设备购置费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0</w:t>
            </w:r>
            <w:r>
              <w:rPr>
                <w:rFonts w:hint="eastAsia" w:hAnsi="仿宋_GB2312" w:cs="仿宋_GB2312"/>
                <w:sz w:val="21"/>
                <w:szCs w:val="21"/>
                <w:lang w:val="en-US" w:eastAsia="zh-CN"/>
              </w:rPr>
              <w:t>.00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指对外购买设备。</w:t>
            </w:r>
          </w:p>
        </w:tc>
      </w:tr>
      <w:tr>
        <w:trPr>
          <w:trHeight w:val="1300"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2．设备试制费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rPr>
              <w:t>0</w:t>
            </w:r>
            <w:r>
              <w:rPr>
                <w:rFonts w:hint="eastAsia" w:hAnsi="仿宋_GB2312" w:cs="仿宋_GB2312"/>
                <w:sz w:val="21"/>
                <w:szCs w:val="21"/>
                <w:lang w:val="en-US" w:eastAsia="zh-CN"/>
              </w:rPr>
              <w:t>.00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现有仪器设备无法满足项目（课题）检测、实验、验证或示范等研究任务需要而试制专用仪器设备发生的费用。</w:t>
            </w:r>
          </w:p>
        </w:tc>
      </w:tr>
      <w:tr>
        <w:trPr>
          <w:trHeight w:val="739"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3．设备改造与租赁费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rPr>
            </w:pPr>
            <w:r>
              <w:rPr>
                <w:rFonts w:hint="eastAsia" w:ascii="仿宋_GB2312" w:hAnsi="仿宋_GB2312" w:eastAsia="仿宋_GB2312" w:cs="仿宋_GB2312"/>
                <w:sz w:val="21"/>
                <w:szCs w:val="21"/>
                <w:lang w:val="en-US" w:eastAsia="zh-CN"/>
              </w:rPr>
              <w:t>3</w:t>
            </w:r>
            <w:r>
              <w:rPr>
                <w:rFonts w:hint="eastAsia" w:hAnsi="仿宋_GB2312" w:cs="仿宋_GB2312"/>
                <w:sz w:val="21"/>
                <w:szCs w:val="21"/>
                <w:lang w:val="en-US" w:eastAsia="zh-CN"/>
              </w:rPr>
              <w:t>.</w:t>
            </w:r>
            <w:r>
              <w:rPr>
                <w:rFonts w:hint="eastAsia" w:ascii="仿宋_GB2312" w:hAnsi="仿宋_GB2312" w:eastAsia="仿宋_GB2312" w:cs="仿宋_GB2312"/>
                <w:sz w:val="21"/>
                <w:szCs w:val="21"/>
                <w:lang w:val="en-US" w:eastAsia="zh-CN"/>
              </w:rPr>
              <w:t>5</w:t>
            </w:r>
            <w:r>
              <w:rPr>
                <w:rFonts w:hint="eastAsia" w:hAnsi="仿宋_GB2312" w:cs="仿宋_GB2312"/>
                <w:sz w:val="21"/>
                <w:szCs w:val="21"/>
                <w:lang w:val="en-US" w:eastAsia="zh-CN"/>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val="en-US" w:eastAsia="zh-CN" w:bidi="ar"/>
              </w:rPr>
              <w:t>研发测试过程中租用云服务器和存储的费用</w:t>
            </w:r>
            <w:r>
              <w:rPr>
                <w:rFonts w:hint="eastAsia" w:ascii="仿宋_GB2312" w:hAnsi="仿宋_GB2312" w:eastAsia="仿宋_GB2312" w:cs="仿宋_GB2312"/>
                <w:kern w:val="0"/>
                <w:sz w:val="21"/>
                <w:szCs w:val="21"/>
                <w:lang w:bidi="ar"/>
              </w:rPr>
              <w:t>。</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（二）业务费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rPr>
            </w:pPr>
            <w:r>
              <w:rPr>
                <w:rFonts w:hint="eastAsia" w:ascii="仿宋_GB2312" w:hAnsi="仿宋_GB2312" w:eastAsia="仿宋_GB2312" w:cs="仿宋_GB2312"/>
                <w:sz w:val="21"/>
                <w:szCs w:val="21"/>
                <w:lang w:val="en-US" w:eastAsia="zh-CN"/>
              </w:rPr>
              <w:t>2</w:t>
            </w:r>
            <w:r>
              <w:rPr>
                <w:rFonts w:hint="eastAsia" w:hAnsi="仿宋_GB2312" w:cs="仿宋_GB2312"/>
                <w:sz w:val="21"/>
                <w:szCs w:val="21"/>
                <w:lang w:val="en-US" w:eastAsia="zh-CN"/>
              </w:rPr>
              <w:t>.</w:t>
            </w:r>
            <w:r>
              <w:rPr>
                <w:rFonts w:hint="eastAsia" w:ascii="仿宋_GB2312" w:hAnsi="仿宋_GB2312" w:eastAsia="仿宋_GB2312" w:cs="仿宋_GB2312"/>
                <w:sz w:val="21"/>
                <w:szCs w:val="21"/>
                <w:lang w:val="en-US" w:eastAsia="zh-CN"/>
              </w:rPr>
              <w:t>8</w:t>
            </w:r>
            <w:r>
              <w:rPr>
                <w:rFonts w:hint="eastAsia" w:hAnsi="仿宋_GB2312" w:cs="仿宋_GB2312"/>
                <w:sz w:val="21"/>
                <w:szCs w:val="21"/>
                <w:lang w:val="en-US" w:eastAsia="zh-CN"/>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1.材料费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rPr>
              <w:t>0</w:t>
            </w:r>
            <w:r>
              <w:rPr>
                <w:rFonts w:hint="eastAsia" w:hAnsi="仿宋_GB2312" w:cs="仿宋_GB2312"/>
                <w:sz w:val="21"/>
                <w:szCs w:val="21"/>
                <w:lang w:val="en-US" w:eastAsia="zh-CN"/>
              </w:rPr>
              <w:t>.00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2.测试化验加工费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rPr>
              <w:t>0</w:t>
            </w:r>
            <w:r>
              <w:rPr>
                <w:rFonts w:hint="eastAsia" w:hAnsi="仿宋_GB2312" w:cs="仿宋_GB2312"/>
                <w:sz w:val="21"/>
                <w:szCs w:val="21"/>
                <w:lang w:val="en-US" w:eastAsia="zh-CN"/>
              </w:rPr>
              <w:t>.00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一般不得超过总预算的30%。</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3.差旅费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1</w:t>
            </w:r>
            <w:r>
              <w:rPr>
                <w:rFonts w:hint="eastAsia" w:hAnsi="仿宋_GB2312" w:cs="仿宋_GB2312"/>
                <w:sz w:val="21"/>
                <w:szCs w:val="21"/>
                <w:lang w:val="en-US" w:eastAsia="zh-CN"/>
              </w:rPr>
              <w:t>.</w:t>
            </w:r>
            <w:r>
              <w:rPr>
                <w:rFonts w:hint="eastAsia" w:ascii="仿宋_GB2312" w:hAnsi="仿宋_GB2312" w:eastAsia="仿宋_GB2312" w:cs="仿宋_GB2312"/>
                <w:sz w:val="21"/>
                <w:szCs w:val="21"/>
                <w:lang w:val="en-US" w:eastAsia="zh-CN"/>
              </w:rPr>
              <w:t>50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p>
        </w:tc>
      </w:tr>
      <w:tr>
        <w:trPr>
          <w:trHeight w:val="423"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4.会议费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rPr>
              <w:t>0</w:t>
            </w:r>
            <w:r>
              <w:rPr>
                <w:rFonts w:hint="eastAsia" w:hAnsi="仿宋_GB2312" w:cs="仿宋_GB2312"/>
                <w:sz w:val="21"/>
                <w:szCs w:val="21"/>
                <w:lang w:eastAsia="zh-CN"/>
              </w:rPr>
              <w:t>.</w:t>
            </w:r>
            <w:r>
              <w:rPr>
                <w:rFonts w:hint="eastAsia" w:hAnsi="仿宋_GB2312" w:cs="仿宋_GB2312"/>
                <w:sz w:val="21"/>
                <w:szCs w:val="21"/>
                <w:lang w:val="en-US" w:eastAsia="zh-CN"/>
              </w:rPr>
              <w:t>00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snapToGrid/>
              <w:spacing w:line="240" w:lineRule="auto"/>
              <w:ind w:firstLine="0" w:firstLineChars="0"/>
              <w:jc w:val="center"/>
              <w:rPr>
                <w:rFonts w:hint="eastAsia" w:ascii="仿宋_GB2312" w:hAnsi="仿宋_GB2312" w:eastAsia="仿宋_GB2312" w:cs="仿宋_GB2312"/>
                <w:sz w:val="21"/>
                <w:szCs w:val="21"/>
              </w:rPr>
            </w:pPr>
          </w:p>
        </w:tc>
      </w:tr>
      <w:tr>
        <w:trPr>
          <w:trHeight w:val="900"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5．出版/文献/信息传播/知识产权事务费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hAnsi="仿宋_GB2312" w:cs="仿宋_GB2312"/>
                <w:sz w:val="21"/>
                <w:szCs w:val="21"/>
                <w:lang w:val="en-US" w:eastAsia="zh-CN"/>
              </w:rPr>
              <w:t>0.50</w:t>
            </w:r>
          </w:p>
        </w:tc>
        <w:tc>
          <w:tcPr>
            <w:tcW w:w="195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含数据资源、专用软件和委外开发定制软件的购买。</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6.其他费用</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hAnsi="仿宋_GB2312" w:cs="仿宋_GB2312"/>
                <w:sz w:val="21"/>
                <w:szCs w:val="21"/>
                <w:lang w:val="en-US" w:eastAsia="zh-CN"/>
              </w:rPr>
              <w:t>0.80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邮寄费、招待费等，上述未提及的其他费用。</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（三）人力成本</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hAnsi="仿宋_GB2312" w:cs="仿宋_GB2312"/>
                <w:sz w:val="21"/>
                <w:szCs w:val="21"/>
                <w:lang w:val="en-US" w:eastAsia="zh-CN"/>
              </w:rPr>
              <w:t>4.88</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1．劳务费（外部派遣或聘用人员）</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hAnsi="仿宋_GB2312" w:cs="仿宋_GB2312"/>
                <w:sz w:val="21"/>
                <w:szCs w:val="21"/>
                <w:lang w:val="en-US" w:eastAsia="zh-CN"/>
              </w:rPr>
              <w:t>3.38</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外协开发费用，</w:t>
            </w:r>
            <w:r>
              <w:rPr>
                <w:rFonts w:hint="eastAsia" w:ascii="仿宋_GB2312" w:hAnsi="仿宋_GB2312" w:eastAsia="仿宋_GB2312" w:cs="仿宋_GB2312"/>
                <w:sz w:val="21"/>
                <w:szCs w:val="21"/>
                <w:lang w:val="en-US" w:eastAsia="zh-CN"/>
              </w:rPr>
              <w:t>详见人力成本核算</w:t>
            </w:r>
            <w:r>
              <w:rPr>
                <w:rFonts w:hint="eastAsia" w:ascii="仿宋_GB2312" w:hAnsi="仿宋_GB2312" w:eastAsia="仿宋_GB2312" w:cs="仿宋_GB2312"/>
                <w:sz w:val="21"/>
                <w:szCs w:val="21"/>
              </w:rPr>
              <w:t>。</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numPr>
                <w:ilvl w:val="0"/>
                <w:numId w:val="12"/>
              </w:numPr>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专家咨询费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eastAsia"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1</w:t>
            </w:r>
            <w:r>
              <w:rPr>
                <w:rFonts w:hint="eastAsia" w:hAnsi="仿宋_GB2312" w:cs="仿宋_GB2312"/>
                <w:sz w:val="21"/>
                <w:szCs w:val="21"/>
                <w:lang w:val="en-US" w:eastAsia="zh-CN"/>
              </w:rPr>
              <w:t>.</w:t>
            </w:r>
            <w:r>
              <w:rPr>
                <w:rFonts w:hint="eastAsia" w:ascii="仿宋_GB2312" w:hAnsi="仿宋_GB2312" w:eastAsia="仿宋_GB2312" w:cs="仿宋_GB2312"/>
                <w:sz w:val="21"/>
                <w:szCs w:val="21"/>
                <w:lang w:val="en-US" w:eastAsia="zh-CN"/>
              </w:rPr>
              <w:t>50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center"/>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二、间接费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2</w:t>
            </w:r>
            <w:r>
              <w:rPr>
                <w:rFonts w:hint="eastAsia" w:hAnsi="仿宋_GB2312" w:cs="仿宋_GB2312"/>
                <w:sz w:val="21"/>
                <w:szCs w:val="21"/>
                <w:lang w:val="en-US" w:eastAsia="zh-CN"/>
              </w:rPr>
              <w:t>7.5</w:t>
            </w:r>
            <w:r>
              <w:rPr>
                <w:rFonts w:hint="eastAsia" w:ascii="仿宋_GB2312" w:hAnsi="仿宋_GB2312" w:eastAsia="仿宋_GB2312" w:cs="仿宋_GB2312"/>
                <w:sz w:val="21"/>
                <w:szCs w:val="21"/>
                <w:lang w:val="en-US" w:eastAsia="zh-CN"/>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1．在职员工人力成本摊销</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2</w:t>
            </w:r>
            <w:r>
              <w:rPr>
                <w:rFonts w:hint="eastAsia" w:hAnsi="仿宋_GB2312" w:cs="仿宋_GB2312"/>
                <w:sz w:val="21"/>
                <w:szCs w:val="21"/>
                <w:lang w:val="en-US" w:eastAsia="zh-CN"/>
              </w:rPr>
              <w:t>6.5</w:t>
            </w:r>
            <w:r>
              <w:rPr>
                <w:rFonts w:hint="eastAsia" w:ascii="仿宋_GB2312" w:hAnsi="仿宋_GB2312" w:eastAsia="仿宋_GB2312" w:cs="仿宋_GB2312"/>
                <w:sz w:val="21"/>
                <w:szCs w:val="21"/>
                <w:lang w:val="en-US" w:eastAsia="zh-CN"/>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在本单位入职人员成本。</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sz w:val="21"/>
                <w:szCs w:val="21"/>
              </w:rPr>
            </w:pPr>
            <w:r>
              <w:rPr>
                <w:rFonts w:hint="eastAsia" w:ascii="仿宋_GB2312" w:hAnsi="仿宋_GB2312" w:eastAsia="仿宋_GB2312" w:cs="仿宋_GB2312"/>
                <w:kern w:val="0"/>
                <w:sz w:val="21"/>
                <w:szCs w:val="21"/>
                <w:lang w:bidi="ar"/>
              </w:rPr>
              <w:t>2.使用已有设备成本摊销</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1</w:t>
            </w:r>
            <w:r>
              <w:rPr>
                <w:rFonts w:hint="eastAsia" w:hAnsi="仿宋_GB2312" w:cs="仿宋_GB2312"/>
                <w:sz w:val="21"/>
                <w:szCs w:val="21"/>
                <w:lang w:val="en-US" w:eastAsia="zh-CN"/>
              </w:rPr>
              <w:t>.00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kern w:val="0"/>
                <w:sz w:val="21"/>
                <w:szCs w:val="21"/>
                <w:lang w:val="en-US" w:eastAsia="zh-CN" w:bidi="ar"/>
              </w:rPr>
            </w:pPr>
            <w:r>
              <w:rPr>
                <w:rFonts w:hint="eastAsia" w:ascii="仿宋_GB2312" w:hAnsi="仿宋_GB2312" w:eastAsia="仿宋_GB2312" w:cs="仿宋_GB2312"/>
                <w:kern w:val="0"/>
                <w:sz w:val="21"/>
                <w:szCs w:val="21"/>
                <w:lang w:val="en-US" w:eastAsia="zh-CN" w:bidi="ar"/>
              </w:rPr>
              <w:t>三、管理费</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eastAsia" w:ascii="仿宋_GB2312" w:hAnsi="仿宋_GB2312" w:eastAsia="仿宋_GB2312" w:cs="仿宋_GB2312"/>
                <w:sz w:val="21"/>
                <w:szCs w:val="21"/>
                <w:lang w:val="en-US" w:eastAsia="zh-CN"/>
              </w:rPr>
            </w:pPr>
            <w:r>
              <w:rPr>
                <w:rFonts w:hint="eastAsia" w:hAnsi="仿宋_GB2312" w:cs="仿宋_GB2312"/>
                <w:sz w:val="21"/>
                <w:szCs w:val="21"/>
                <w:lang w:val="en-US" w:eastAsia="zh-CN"/>
              </w:rPr>
              <w:t>5.0</w:t>
            </w:r>
            <w:r>
              <w:rPr>
                <w:rFonts w:hint="eastAsia" w:ascii="仿宋_GB2312" w:hAnsi="仿宋_GB2312" w:eastAsia="仿宋_GB2312" w:cs="仿宋_GB2312"/>
                <w:sz w:val="21"/>
                <w:szCs w:val="21"/>
                <w:lang w:val="en-US" w:eastAsia="zh-CN"/>
              </w:rPr>
              <w:t>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按</w:t>
            </w:r>
            <w:r>
              <w:rPr>
                <w:rFonts w:hint="eastAsia" w:hAnsi="仿宋_GB2312" w:cs="仿宋_GB2312"/>
                <w:sz w:val="21"/>
                <w:szCs w:val="21"/>
                <w:lang w:val="en-US" w:eastAsia="zh-CN"/>
              </w:rPr>
              <w:t>总预算10%</w:t>
            </w:r>
            <w:r>
              <w:rPr>
                <w:rFonts w:hint="eastAsia" w:ascii="仿宋_GB2312" w:hAnsi="仿宋_GB2312" w:eastAsia="仿宋_GB2312" w:cs="仿宋_GB2312"/>
                <w:sz w:val="21"/>
                <w:szCs w:val="21"/>
                <w:lang w:val="en-US" w:eastAsia="zh-CN"/>
              </w:rPr>
              <w:t>比例征收</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kern w:val="0"/>
                <w:sz w:val="21"/>
                <w:szCs w:val="21"/>
                <w:lang w:val="en-US" w:eastAsia="zh-CN" w:bidi="ar"/>
              </w:rPr>
            </w:pPr>
            <w:r>
              <w:rPr>
                <w:rFonts w:hint="eastAsia" w:ascii="仿宋_GB2312" w:hAnsi="仿宋_GB2312" w:eastAsia="仿宋_GB2312" w:cs="仿宋_GB2312"/>
                <w:kern w:val="0"/>
                <w:sz w:val="21"/>
                <w:szCs w:val="21"/>
                <w:lang w:val="en-US" w:eastAsia="zh-CN" w:bidi="ar"/>
              </w:rPr>
              <w:t>四、其他支出</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hAnsi="仿宋_GB2312" w:cs="仿宋_GB2312"/>
                <w:sz w:val="21"/>
                <w:szCs w:val="21"/>
                <w:lang w:val="en-US" w:eastAsia="zh-CN"/>
              </w:rPr>
              <w:t>3.85</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default" w:ascii="仿宋_GB2312" w:hAnsi="仿宋_GB2312" w:eastAsia="仿宋_GB2312" w:cs="仿宋_GB2312"/>
                <w:sz w:val="21"/>
                <w:szCs w:val="21"/>
                <w:lang w:val="en-US" w:eastAsia="zh-CN"/>
              </w:rPr>
            </w:pPr>
            <w:r>
              <w:rPr>
                <w:rFonts w:hint="eastAsia" w:ascii="仿宋_GB2312" w:hAnsi="仿宋_GB2312" w:eastAsia="仿宋_GB2312" w:cs="仿宋_GB2312"/>
                <w:sz w:val="21"/>
                <w:szCs w:val="21"/>
                <w:lang w:val="en-US" w:eastAsia="zh-CN"/>
              </w:rPr>
              <w:t>预留紧急支出风险费</w:t>
            </w:r>
            <w:r>
              <w:rPr>
                <w:rFonts w:hint="eastAsia" w:hAnsi="仿宋_GB2312" w:cs="仿宋_GB2312"/>
                <w:sz w:val="21"/>
                <w:szCs w:val="21"/>
                <w:lang w:val="en-US" w:eastAsia="zh-CN"/>
              </w:rPr>
              <w:t>和缴税费用</w:t>
            </w: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仿宋_GB2312" w:hAnsi="仿宋_GB2312" w:eastAsia="仿宋_GB2312" w:cs="仿宋_GB2312"/>
                <w:kern w:val="0"/>
                <w:sz w:val="21"/>
                <w:szCs w:val="21"/>
                <w:lang w:val="en-US" w:eastAsia="zh-CN" w:bidi="ar"/>
              </w:rPr>
            </w:pPr>
            <w:r>
              <w:rPr>
                <w:rFonts w:hint="eastAsia" w:ascii="仿宋_GB2312" w:hAnsi="仿宋_GB2312" w:eastAsia="仿宋_GB2312" w:cs="仿宋_GB2312"/>
                <w:kern w:val="0"/>
                <w:sz w:val="21"/>
                <w:szCs w:val="21"/>
                <w:lang w:val="en-US" w:eastAsia="zh-CN" w:bidi="ar"/>
              </w:rPr>
              <w:t>五、收益</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仿宋_GB2312" w:hAnsi="仿宋_GB2312" w:eastAsia="仿宋_GB2312" w:cs="仿宋_GB2312"/>
                <w:sz w:val="21"/>
                <w:szCs w:val="21"/>
                <w:lang w:val="en-US" w:eastAsia="zh-CN"/>
              </w:rPr>
            </w:pPr>
            <w:r>
              <w:rPr>
                <w:rFonts w:hint="eastAsia" w:hAnsi="仿宋_GB2312" w:cs="仿宋_GB2312"/>
                <w:sz w:val="21"/>
                <w:szCs w:val="21"/>
                <w:lang w:val="en-US" w:eastAsia="zh-CN"/>
              </w:rPr>
              <w:t>0.00</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hint="eastAsia" w:ascii="仿宋_GB2312" w:hAnsi="仿宋_GB2312" w:eastAsia="仿宋_GB2312" w:cs="仿宋_GB2312"/>
                <w:sz w:val="21"/>
                <w:szCs w:val="21"/>
              </w:rPr>
            </w:pPr>
          </w:p>
        </w:tc>
      </w:tr>
      <w:tr>
        <w:trPr>
          <w:trHeight w:val="405" w:hRule="atLeast"/>
        </w:trPr>
        <w:tc>
          <w:tcPr>
            <w:tcW w:w="20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napToGrid/>
              <w:spacing w:line="240" w:lineRule="auto"/>
              <w:ind w:firstLine="0" w:firstLineChars="0"/>
              <w:jc w:val="left"/>
              <w:textAlignment w:val="center"/>
              <w:rPr>
                <w:rFonts w:hint="eastAsia" w:ascii="楷体" w:hAnsi="楷体" w:eastAsia="楷体" w:cs="楷体"/>
                <w:b/>
                <w:bCs/>
                <w:sz w:val="20"/>
                <w:szCs w:val="20"/>
              </w:rPr>
            </w:pPr>
            <w:r>
              <w:rPr>
                <w:rFonts w:hint="eastAsia" w:ascii="楷体" w:hAnsi="楷体" w:eastAsia="楷体" w:cs="楷体"/>
                <w:b/>
                <w:bCs/>
                <w:kern w:val="0"/>
                <w:sz w:val="20"/>
                <w:szCs w:val="20"/>
                <w:lang w:bidi="ar"/>
              </w:rPr>
              <w:t>总计</w:t>
            </w:r>
          </w:p>
        </w:tc>
        <w:tc>
          <w:tcPr>
            <w:tcW w:w="10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rPr>
                <w:rFonts w:hint="default" w:ascii="楷体" w:hAnsi="楷体" w:eastAsia="楷体" w:cs="楷体"/>
                <w:b/>
                <w:bCs/>
                <w:sz w:val="20"/>
                <w:szCs w:val="20"/>
                <w:lang w:val="en-US" w:eastAsia="zh-CN"/>
              </w:rPr>
            </w:pPr>
            <w:r>
              <w:rPr>
                <w:rFonts w:hint="eastAsia" w:ascii="楷体" w:hAnsi="楷体" w:eastAsia="楷体" w:cs="楷体"/>
                <w:b/>
                <w:bCs/>
                <w:snapToGrid w:val="0"/>
                <w:sz w:val="22"/>
                <w:szCs w:val="22"/>
                <w:lang w:val="en-US" w:eastAsia="zh-CN"/>
              </w:rPr>
              <w:t>47.53</w:t>
            </w:r>
          </w:p>
        </w:tc>
        <w:tc>
          <w:tcPr>
            <w:tcW w:w="195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snapToGrid/>
              <w:spacing w:line="240" w:lineRule="auto"/>
              <w:ind w:firstLine="0" w:firstLineChars="0"/>
              <w:jc w:val="left"/>
              <w:rPr>
                <w:rFonts w:ascii="宋体" w:hAnsi="宋体" w:eastAsia="宋体" w:cs="宋体"/>
                <w:sz w:val="20"/>
                <w:szCs w:val="20"/>
              </w:rPr>
            </w:pPr>
          </w:p>
        </w:tc>
      </w:tr>
    </w:tbl>
    <w:p>
      <w:pPr>
        <w:pStyle w:val="2"/>
        <w:ind w:left="0" w:leftChars="0" w:firstLine="0" w:firstLineChars="0"/>
      </w:pPr>
    </w:p>
    <w:p>
      <w:pPr>
        <w:pStyle w:val="2"/>
        <w:ind w:firstLine="552"/>
      </w:pPr>
    </w:p>
    <w:sectPr>
      <w:footerReference r:id="rId10" w:type="default"/>
      <w:pgSz w:w="11907" w:h="16840"/>
      <w:pgMar w:top="2098" w:right="1474" w:bottom="1814" w:left="1587" w:header="851" w:footer="1607" w:gutter="0"/>
      <w:pgNumType w:start="1"/>
      <w:cols w:space="720" w:num="1"/>
      <w:docGrid w:type="linesAndChars" w:linePitch="586" w:charSpace="-84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52"/>
      </w:pPr>
      <w:r>
        <w:separator/>
      </w:r>
    </w:p>
  </w:endnote>
  <w:endnote w:type="continuationSeparator" w:id="1">
    <w:p>
      <w:pPr>
        <w:spacing w:line="240" w:lineRule="auto"/>
        <w:ind w:firstLine="55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CG Times (WN)">
    <w:altName w:val="Times New Roman"/>
    <w:panose1 w:val="00000000000000000000"/>
    <w:charset w:val="00"/>
    <w:family w:val="roman"/>
    <w:pitch w:val="default"/>
    <w:sig w:usb0="00000000" w:usb1="00000000" w:usb2="00000000" w:usb3="00000000" w:csb0="00000001" w:csb1="00000000"/>
  </w:font>
  <w:font w:name="楷体_GB2312">
    <w:altName w:val="汉仪楷体简"/>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AFF" w:usb1="C000605B" w:usb2="00000029" w:usb3="00000000" w:csb0="200101FF" w:csb1="20280000"/>
  </w:font>
  <w:font w:name="方正小标宋简体">
    <w:altName w:val="方正小标宋_GBK"/>
    <w:panose1 w:val="00000000000000000000"/>
    <w:charset w:val="86"/>
    <w:family w:val="script"/>
    <w:pitch w:val="default"/>
    <w:sig w:usb0="00000000" w:usb1="00000000" w:usb2="00000010" w:usb3="00000000" w:csb0="00040001"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_GBK">
    <w:panose1 w:val="02000000000000000000"/>
    <w:charset w:val="86"/>
    <w:family w:val="auto"/>
    <w:pitch w:val="default"/>
    <w:sig w:usb0="A00002BF" w:usb1="38CF7CFA"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仓耳玉楷">
    <w:panose1 w:val="00000000000000000000"/>
    <w:charset w:val="86"/>
    <w:family w:val="auto"/>
    <w:pitch w:val="default"/>
    <w:sig w:usb0="00000001" w:usb1="08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1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52"/>
      </w:pPr>
      <w:r>
        <w:separator/>
      </w:r>
    </w:p>
  </w:footnote>
  <w:footnote w:type="continuationSeparator" w:id="1">
    <w:p>
      <w:pPr>
        <w:spacing w:line="240" w:lineRule="auto"/>
        <w:ind w:firstLine="55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E1C656"/>
    <w:multiLevelType w:val="singleLevel"/>
    <w:tmpl w:val="D7E1C656"/>
    <w:lvl w:ilvl="0" w:tentative="0">
      <w:start w:val="4"/>
      <w:numFmt w:val="chineseCounting"/>
      <w:suff w:val="nothing"/>
      <w:lvlText w:val="（%1）"/>
      <w:lvlJc w:val="left"/>
      <w:rPr>
        <w:rFonts w:hint="eastAsia"/>
      </w:rPr>
    </w:lvl>
  </w:abstractNum>
  <w:abstractNum w:abstractNumId="1">
    <w:nsid w:val="DBEFE27A"/>
    <w:multiLevelType w:val="multilevel"/>
    <w:tmpl w:val="DBEFE27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F7AE0AF8"/>
    <w:multiLevelType w:val="singleLevel"/>
    <w:tmpl w:val="F7AE0AF8"/>
    <w:lvl w:ilvl="0" w:tentative="0">
      <w:start w:val="1"/>
      <w:numFmt w:val="decimal"/>
      <w:lvlText w:val="%1."/>
      <w:lvlJc w:val="left"/>
      <w:pPr>
        <w:tabs>
          <w:tab w:val="left" w:pos="312"/>
        </w:tabs>
      </w:pPr>
    </w:lvl>
  </w:abstractNum>
  <w:abstractNum w:abstractNumId="3">
    <w:nsid w:val="F7FAA9C2"/>
    <w:multiLevelType w:val="multilevel"/>
    <w:tmpl w:val="F7FAA9C2"/>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FBE2AEA"/>
    <w:multiLevelType w:val="singleLevel"/>
    <w:tmpl w:val="FFBE2AEA"/>
    <w:lvl w:ilvl="0" w:tentative="0">
      <w:start w:val="1"/>
      <w:numFmt w:val="decimal"/>
      <w:lvlText w:val="%1."/>
      <w:lvlJc w:val="left"/>
      <w:pPr>
        <w:tabs>
          <w:tab w:val="left" w:pos="312"/>
        </w:tabs>
      </w:pPr>
    </w:lvl>
  </w:abstractNum>
  <w:abstractNum w:abstractNumId="5">
    <w:nsid w:val="FFF3EB24"/>
    <w:multiLevelType w:val="multilevel"/>
    <w:tmpl w:val="FFF3EB24"/>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557A397D"/>
    <w:multiLevelType w:val="multilevel"/>
    <w:tmpl w:val="557A397D"/>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DA183EC"/>
    <w:multiLevelType w:val="singleLevel"/>
    <w:tmpl w:val="5DA183EC"/>
    <w:lvl w:ilvl="0" w:tentative="0">
      <w:start w:val="3"/>
      <w:numFmt w:val="chineseCounting"/>
      <w:suff w:val="nothing"/>
      <w:lvlText w:val="%1、"/>
      <w:lvlJc w:val="left"/>
      <w:rPr>
        <w:rFonts w:hint="eastAsia"/>
      </w:rPr>
    </w:lvl>
  </w:abstractNum>
  <w:abstractNum w:abstractNumId="8">
    <w:nsid w:val="6BC14A90"/>
    <w:multiLevelType w:val="singleLevel"/>
    <w:tmpl w:val="6BC14A90"/>
    <w:lvl w:ilvl="0" w:tentative="0">
      <w:start w:val="2"/>
      <w:numFmt w:val="decimal"/>
      <w:suff w:val="space"/>
      <w:lvlText w:val="%1."/>
      <w:lvlJc w:val="left"/>
    </w:lvl>
  </w:abstractNum>
  <w:abstractNum w:abstractNumId="9">
    <w:nsid w:val="6F7AAC51"/>
    <w:multiLevelType w:val="singleLevel"/>
    <w:tmpl w:val="6F7AAC51"/>
    <w:lvl w:ilvl="0" w:tentative="0">
      <w:start w:val="1"/>
      <w:numFmt w:val="decimal"/>
      <w:lvlText w:val="%1."/>
      <w:lvlJc w:val="left"/>
      <w:pPr>
        <w:tabs>
          <w:tab w:val="left" w:pos="312"/>
        </w:tabs>
      </w:pPr>
    </w:lvl>
  </w:abstractNum>
  <w:abstractNum w:abstractNumId="10">
    <w:nsid w:val="6FCF0D3C"/>
    <w:multiLevelType w:val="multilevel"/>
    <w:tmpl w:val="6FCF0D3C"/>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71E2E8F1"/>
    <w:multiLevelType w:val="singleLevel"/>
    <w:tmpl w:val="71E2E8F1"/>
    <w:lvl w:ilvl="0" w:tentative="0">
      <w:start w:val="1"/>
      <w:numFmt w:val="decimal"/>
      <w:lvlText w:val="%1."/>
      <w:lvlJc w:val="left"/>
      <w:pPr>
        <w:tabs>
          <w:tab w:val="left" w:pos="312"/>
        </w:tabs>
      </w:pPr>
    </w:lvl>
  </w:abstractNum>
  <w:num w:numId="1">
    <w:abstractNumId w:val="11"/>
  </w:num>
  <w:num w:numId="2">
    <w:abstractNumId w:val="3"/>
  </w:num>
  <w:num w:numId="3">
    <w:abstractNumId w:val="1"/>
  </w:num>
  <w:num w:numId="4">
    <w:abstractNumId w:val="0"/>
  </w:num>
  <w:num w:numId="5">
    <w:abstractNumId w:val="2"/>
  </w:num>
  <w:num w:numId="6">
    <w:abstractNumId w:val="4"/>
  </w:num>
  <w:num w:numId="7">
    <w:abstractNumId w:val="7"/>
  </w:num>
  <w:num w:numId="8">
    <w:abstractNumId w:val="10"/>
  </w:num>
  <w:num w:numId="9">
    <w:abstractNumId w:val="9"/>
  </w:num>
  <w:num w:numId="10">
    <w:abstractNumId w:val="5"/>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doNotDisplayPageBoundaries w:val="1"/>
  <w:bordersDoNotSurroundHeader w:val="1"/>
  <w:bordersDoNotSurroundFooter w:val="1"/>
  <w:documentProtection w:enforcement="0"/>
  <w:defaultTabStop w:val="420"/>
  <w:drawingGridHorizontalSpacing w:val="103"/>
  <w:drawingGridVerticalSpacing w:val="29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C22"/>
    <w:rsid w:val="000001C3"/>
    <w:rsid w:val="00002E16"/>
    <w:rsid w:val="00004DC9"/>
    <w:rsid w:val="0000576B"/>
    <w:rsid w:val="00007961"/>
    <w:rsid w:val="00012C95"/>
    <w:rsid w:val="000152C3"/>
    <w:rsid w:val="0002356F"/>
    <w:rsid w:val="000248BA"/>
    <w:rsid w:val="000414EB"/>
    <w:rsid w:val="00044069"/>
    <w:rsid w:val="00056AF7"/>
    <w:rsid w:val="00057CA4"/>
    <w:rsid w:val="000643DA"/>
    <w:rsid w:val="00064F6B"/>
    <w:rsid w:val="00065EE6"/>
    <w:rsid w:val="000666D1"/>
    <w:rsid w:val="0007058F"/>
    <w:rsid w:val="00072071"/>
    <w:rsid w:val="000721F9"/>
    <w:rsid w:val="0007445B"/>
    <w:rsid w:val="00075832"/>
    <w:rsid w:val="00083640"/>
    <w:rsid w:val="00085DBA"/>
    <w:rsid w:val="00086504"/>
    <w:rsid w:val="000A0605"/>
    <w:rsid w:val="000A0664"/>
    <w:rsid w:val="000A6795"/>
    <w:rsid w:val="000A787B"/>
    <w:rsid w:val="000B1D19"/>
    <w:rsid w:val="000B2F0B"/>
    <w:rsid w:val="000B36F4"/>
    <w:rsid w:val="000B4013"/>
    <w:rsid w:val="000C5F9A"/>
    <w:rsid w:val="000D144A"/>
    <w:rsid w:val="000D2DC6"/>
    <w:rsid w:val="000D68AA"/>
    <w:rsid w:val="000E6DF1"/>
    <w:rsid w:val="000F14D6"/>
    <w:rsid w:val="00104204"/>
    <w:rsid w:val="00111083"/>
    <w:rsid w:val="00113FAB"/>
    <w:rsid w:val="00122A9F"/>
    <w:rsid w:val="00123368"/>
    <w:rsid w:val="00127DF2"/>
    <w:rsid w:val="00130235"/>
    <w:rsid w:val="00132B85"/>
    <w:rsid w:val="001343AF"/>
    <w:rsid w:val="00140E25"/>
    <w:rsid w:val="00143877"/>
    <w:rsid w:val="00146738"/>
    <w:rsid w:val="0014758B"/>
    <w:rsid w:val="0015073F"/>
    <w:rsid w:val="0015521D"/>
    <w:rsid w:val="00157827"/>
    <w:rsid w:val="00162764"/>
    <w:rsid w:val="00166293"/>
    <w:rsid w:val="00170E38"/>
    <w:rsid w:val="001819AF"/>
    <w:rsid w:val="00183197"/>
    <w:rsid w:val="001861F8"/>
    <w:rsid w:val="00190278"/>
    <w:rsid w:val="00192892"/>
    <w:rsid w:val="0019419B"/>
    <w:rsid w:val="00194269"/>
    <w:rsid w:val="001A0BF0"/>
    <w:rsid w:val="001A5B9C"/>
    <w:rsid w:val="001A7415"/>
    <w:rsid w:val="001B0C2A"/>
    <w:rsid w:val="001B2077"/>
    <w:rsid w:val="001B4EE9"/>
    <w:rsid w:val="001B7CC7"/>
    <w:rsid w:val="001C06E8"/>
    <w:rsid w:val="001C3E28"/>
    <w:rsid w:val="001C5535"/>
    <w:rsid w:val="001C661A"/>
    <w:rsid w:val="001C79FA"/>
    <w:rsid w:val="001D3729"/>
    <w:rsid w:val="001D3BE7"/>
    <w:rsid w:val="001D3F84"/>
    <w:rsid w:val="001D517F"/>
    <w:rsid w:val="001D7AA3"/>
    <w:rsid w:val="001E036C"/>
    <w:rsid w:val="001E420D"/>
    <w:rsid w:val="001E4385"/>
    <w:rsid w:val="001E5157"/>
    <w:rsid w:val="001E5870"/>
    <w:rsid w:val="001F211A"/>
    <w:rsid w:val="001F6974"/>
    <w:rsid w:val="0020100F"/>
    <w:rsid w:val="00203FE4"/>
    <w:rsid w:val="002048BF"/>
    <w:rsid w:val="00204B8F"/>
    <w:rsid w:val="00211B68"/>
    <w:rsid w:val="00213219"/>
    <w:rsid w:val="00215E5A"/>
    <w:rsid w:val="002167DA"/>
    <w:rsid w:val="00216DF5"/>
    <w:rsid w:val="00217E0D"/>
    <w:rsid w:val="0022025F"/>
    <w:rsid w:val="00221DDB"/>
    <w:rsid w:val="002250BC"/>
    <w:rsid w:val="0022553C"/>
    <w:rsid w:val="00225FE2"/>
    <w:rsid w:val="0023026F"/>
    <w:rsid w:val="0023349A"/>
    <w:rsid w:val="00235B79"/>
    <w:rsid w:val="002434D9"/>
    <w:rsid w:val="00243ADD"/>
    <w:rsid w:val="00244500"/>
    <w:rsid w:val="0025195D"/>
    <w:rsid w:val="00254667"/>
    <w:rsid w:val="00261D61"/>
    <w:rsid w:val="00265858"/>
    <w:rsid w:val="002708EE"/>
    <w:rsid w:val="002714C6"/>
    <w:rsid w:val="0027346B"/>
    <w:rsid w:val="002768D4"/>
    <w:rsid w:val="002837D3"/>
    <w:rsid w:val="00285637"/>
    <w:rsid w:val="00295CDC"/>
    <w:rsid w:val="0029649F"/>
    <w:rsid w:val="002A122B"/>
    <w:rsid w:val="002A44AB"/>
    <w:rsid w:val="002A6140"/>
    <w:rsid w:val="002B32AF"/>
    <w:rsid w:val="002B3D63"/>
    <w:rsid w:val="002B4183"/>
    <w:rsid w:val="002B543E"/>
    <w:rsid w:val="002B6B06"/>
    <w:rsid w:val="002B7125"/>
    <w:rsid w:val="002B73A6"/>
    <w:rsid w:val="002B7824"/>
    <w:rsid w:val="002C15B3"/>
    <w:rsid w:val="002C67F6"/>
    <w:rsid w:val="002D0E2D"/>
    <w:rsid w:val="002D2D49"/>
    <w:rsid w:val="002D33E0"/>
    <w:rsid w:val="002D3542"/>
    <w:rsid w:val="002D6550"/>
    <w:rsid w:val="002E05DD"/>
    <w:rsid w:val="002F6D48"/>
    <w:rsid w:val="002F7F38"/>
    <w:rsid w:val="00301F85"/>
    <w:rsid w:val="00302998"/>
    <w:rsid w:val="0030350B"/>
    <w:rsid w:val="003047A9"/>
    <w:rsid w:val="00305A18"/>
    <w:rsid w:val="00313C8F"/>
    <w:rsid w:val="00316069"/>
    <w:rsid w:val="00317151"/>
    <w:rsid w:val="00320304"/>
    <w:rsid w:val="00323FB1"/>
    <w:rsid w:val="00324CB2"/>
    <w:rsid w:val="00326909"/>
    <w:rsid w:val="00335198"/>
    <w:rsid w:val="0034249C"/>
    <w:rsid w:val="0034401C"/>
    <w:rsid w:val="00344BBF"/>
    <w:rsid w:val="00350662"/>
    <w:rsid w:val="00350C50"/>
    <w:rsid w:val="003519C3"/>
    <w:rsid w:val="00354894"/>
    <w:rsid w:val="00355C67"/>
    <w:rsid w:val="003629D4"/>
    <w:rsid w:val="003659A8"/>
    <w:rsid w:val="00373222"/>
    <w:rsid w:val="00381EFD"/>
    <w:rsid w:val="003821D3"/>
    <w:rsid w:val="00394CDD"/>
    <w:rsid w:val="00396ACA"/>
    <w:rsid w:val="003A3807"/>
    <w:rsid w:val="003A3D82"/>
    <w:rsid w:val="003A4A6A"/>
    <w:rsid w:val="003A4AFB"/>
    <w:rsid w:val="003B5437"/>
    <w:rsid w:val="003C7B98"/>
    <w:rsid w:val="003D11E0"/>
    <w:rsid w:val="003D148D"/>
    <w:rsid w:val="003D2824"/>
    <w:rsid w:val="003D7FD6"/>
    <w:rsid w:val="003E131A"/>
    <w:rsid w:val="003E28AA"/>
    <w:rsid w:val="003E74CD"/>
    <w:rsid w:val="003F0899"/>
    <w:rsid w:val="003F1B61"/>
    <w:rsid w:val="003F5CBA"/>
    <w:rsid w:val="003F5EF8"/>
    <w:rsid w:val="003F6A2E"/>
    <w:rsid w:val="00400C47"/>
    <w:rsid w:val="00402387"/>
    <w:rsid w:val="004060D3"/>
    <w:rsid w:val="00406E7D"/>
    <w:rsid w:val="004078DA"/>
    <w:rsid w:val="00411D79"/>
    <w:rsid w:val="004157EB"/>
    <w:rsid w:val="00416FCB"/>
    <w:rsid w:val="004212EA"/>
    <w:rsid w:val="00423067"/>
    <w:rsid w:val="00425EEF"/>
    <w:rsid w:val="00430E40"/>
    <w:rsid w:val="00432C6A"/>
    <w:rsid w:val="00435FF4"/>
    <w:rsid w:val="0043712C"/>
    <w:rsid w:val="004373B3"/>
    <w:rsid w:val="00444D3D"/>
    <w:rsid w:val="004458DD"/>
    <w:rsid w:val="0044615D"/>
    <w:rsid w:val="00446DB2"/>
    <w:rsid w:val="00451A40"/>
    <w:rsid w:val="00452835"/>
    <w:rsid w:val="00452CE8"/>
    <w:rsid w:val="00457817"/>
    <w:rsid w:val="00460D6E"/>
    <w:rsid w:val="0046144E"/>
    <w:rsid w:val="0046370F"/>
    <w:rsid w:val="00474CC0"/>
    <w:rsid w:val="0047615C"/>
    <w:rsid w:val="0048111E"/>
    <w:rsid w:val="00481B8A"/>
    <w:rsid w:val="00483562"/>
    <w:rsid w:val="00484803"/>
    <w:rsid w:val="00484F86"/>
    <w:rsid w:val="00490831"/>
    <w:rsid w:val="00492042"/>
    <w:rsid w:val="004930FC"/>
    <w:rsid w:val="00493800"/>
    <w:rsid w:val="00496002"/>
    <w:rsid w:val="00497C19"/>
    <w:rsid w:val="004A0E44"/>
    <w:rsid w:val="004A1AE7"/>
    <w:rsid w:val="004A684A"/>
    <w:rsid w:val="004B2617"/>
    <w:rsid w:val="004B3A50"/>
    <w:rsid w:val="004B4145"/>
    <w:rsid w:val="004B4EF2"/>
    <w:rsid w:val="004B5961"/>
    <w:rsid w:val="004D131A"/>
    <w:rsid w:val="004D191F"/>
    <w:rsid w:val="004D2673"/>
    <w:rsid w:val="004D2FF8"/>
    <w:rsid w:val="004D3230"/>
    <w:rsid w:val="004D43A8"/>
    <w:rsid w:val="004D6BDC"/>
    <w:rsid w:val="004D7A74"/>
    <w:rsid w:val="004E3A23"/>
    <w:rsid w:val="004E4F03"/>
    <w:rsid w:val="004F07D7"/>
    <w:rsid w:val="004F288D"/>
    <w:rsid w:val="0050016F"/>
    <w:rsid w:val="00502125"/>
    <w:rsid w:val="00503F72"/>
    <w:rsid w:val="00504555"/>
    <w:rsid w:val="00506225"/>
    <w:rsid w:val="00507C53"/>
    <w:rsid w:val="005113FE"/>
    <w:rsid w:val="00511821"/>
    <w:rsid w:val="00512155"/>
    <w:rsid w:val="00514BDE"/>
    <w:rsid w:val="00516EF9"/>
    <w:rsid w:val="00520414"/>
    <w:rsid w:val="00522FE3"/>
    <w:rsid w:val="00523FD8"/>
    <w:rsid w:val="0052449B"/>
    <w:rsid w:val="00526507"/>
    <w:rsid w:val="005270E4"/>
    <w:rsid w:val="00535167"/>
    <w:rsid w:val="00535DBD"/>
    <w:rsid w:val="00537B16"/>
    <w:rsid w:val="0054098F"/>
    <w:rsid w:val="00542B9C"/>
    <w:rsid w:val="00543E95"/>
    <w:rsid w:val="00546FF6"/>
    <w:rsid w:val="0054782F"/>
    <w:rsid w:val="00552F8F"/>
    <w:rsid w:val="005623AC"/>
    <w:rsid w:val="00565742"/>
    <w:rsid w:val="00565F51"/>
    <w:rsid w:val="00567B8C"/>
    <w:rsid w:val="00571C4B"/>
    <w:rsid w:val="005728C7"/>
    <w:rsid w:val="00572BA2"/>
    <w:rsid w:val="00573B22"/>
    <w:rsid w:val="005755F8"/>
    <w:rsid w:val="00583C95"/>
    <w:rsid w:val="00583EAB"/>
    <w:rsid w:val="005843F8"/>
    <w:rsid w:val="00587E75"/>
    <w:rsid w:val="00591ED6"/>
    <w:rsid w:val="00593C33"/>
    <w:rsid w:val="005A3FBA"/>
    <w:rsid w:val="005A71E8"/>
    <w:rsid w:val="005B3F18"/>
    <w:rsid w:val="005C1358"/>
    <w:rsid w:val="005C22FC"/>
    <w:rsid w:val="005C451F"/>
    <w:rsid w:val="005C6D73"/>
    <w:rsid w:val="005C6E0C"/>
    <w:rsid w:val="005C76BF"/>
    <w:rsid w:val="005D252D"/>
    <w:rsid w:val="005D2CDF"/>
    <w:rsid w:val="005D2F9E"/>
    <w:rsid w:val="005D588C"/>
    <w:rsid w:val="005D772D"/>
    <w:rsid w:val="005E3CB6"/>
    <w:rsid w:val="005E593A"/>
    <w:rsid w:val="005E61B3"/>
    <w:rsid w:val="005F52E6"/>
    <w:rsid w:val="00601A26"/>
    <w:rsid w:val="00601D22"/>
    <w:rsid w:val="00605A1F"/>
    <w:rsid w:val="00605F41"/>
    <w:rsid w:val="0060726B"/>
    <w:rsid w:val="006072E5"/>
    <w:rsid w:val="00610275"/>
    <w:rsid w:val="00610A21"/>
    <w:rsid w:val="006111E6"/>
    <w:rsid w:val="00615445"/>
    <w:rsid w:val="0061614D"/>
    <w:rsid w:val="006221BC"/>
    <w:rsid w:val="00623D82"/>
    <w:rsid w:val="00625953"/>
    <w:rsid w:val="00634E51"/>
    <w:rsid w:val="00636E18"/>
    <w:rsid w:val="00640181"/>
    <w:rsid w:val="006429B7"/>
    <w:rsid w:val="00646E36"/>
    <w:rsid w:val="00647239"/>
    <w:rsid w:val="006514CE"/>
    <w:rsid w:val="00652A01"/>
    <w:rsid w:val="00661138"/>
    <w:rsid w:val="00661932"/>
    <w:rsid w:val="0066772D"/>
    <w:rsid w:val="006704F9"/>
    <w:rsid w:val="00674EB6"/>
    <w:rsid w:val="00675C51"/>
    <w:rsid w:val="006767E2"/>
    <w:rsid w:val="00676D8D"/>
    <w:rsid w:val="00677DD6"/>
    <w:rsid w:val="00680050"/>
    <w:rsid w:val="00680DA2"/>
    <w:rsid w:val="0068338D"/>
    <w:rsid w:val="00684134"/>
    <w:rsid w:val="00685BFB"/>
    <w:rsid w:val="006915FC"/>
    <w:rsid w:val="006965F1"/>
    <w:rsid w:val="00696D92"/>
    <w:rsid w:val="006A35DD"/>
    <w:rsid w:val="006A5094"/>
    <w:rsid w:val="006A645C"/>
    <w:rsid w:val="006A7B1B"/>
    <w:rsid w:val="006B03AB"/>
    <w:rsid w:val="006B122F"/>
    <w:rsid w:val="006B5B39"/>
    <w:rsid w:val="006B607B"/>
    <w:rsid w:val="006B6232"/>
    <w:rsid w:val="006C2490"/>
    <w:rsid w:val="006C33E2"/>
    <w:rsid w:val="006C3FB3"/>
    <w:rsid w:val="006C6539"/>
    <w:rsid w:val="006C69FF"/>
    <w:rsid w:val="006C796C"/>
    <w:rsid w:val="006D1348"/>
    <w:rsid w:val="006D1AEF"/>
    <w:rsid w:val="006E198E"/>
    <w:rsid w:val="006F15DD"/>
    <w:rsid w:val="006F2F3D"/>
    <w:rsid w:val="006F374A"/>
    <w:rsid w:val="006F3939"/>
    <w:rsid w:val="006F3BCC"/>
    <w:rsid w:val="006F6C3B"/>
    <w:rsid w:val="006F7D5C"/>
    <w:rsid w:val="00701B61"/>
    <w:rsid w:val="0070569C"/>
    <w:rsid w:val="00712E6B"/>
    <w:rsid w:val="00726280"/>
    <w:rsid w:val="00726C94"/>
    <w:rsid w:val="00735645"/>
    <w:rsid w:val="0073789F"/>
    <w:rsid w:val="00742CEB"/>
    <w:rsid w:val="0074498A"/>
    <w:rsid w:val="00755D43"/>
    <w:rsid w:val="007617B8"/>
    <w:rsid w:val="00763370"/>
    <w:rsid w:val="007640A4"/>
    <w:rsid w:val="00766FA6"/>
    <w:rsid w:val="0077297B"/>
    <w:rsid w:val="007741CC"/>
    <w:rsid w:val="00774622"/>
    <w:rsid w:val="007748D9"/>
    <w:rsid w:val="00777833"/>
    <w:rsid w:val="007800EB"/>
    <w:rsid w:val="007843D9"/>
    <w:rsid w:val="00786366"/>
    <w:rsid w:val="00787D43"/>
    <w:rsid w:val="007905B5"/>
    <w:rsid w:val="00791171"/>
    <w:rsid w:val="00791D76"/>
    <w:rsid w:val="00794120"/>
    <w:rsid w:val="00795651"/>
    <w:rsid w:val="007A10DD"/>
    <w:rsid w:val="007A674D"/>
    <w:rsid w:val="007A7B17"/>
    <w:rsid w:val="007B499A"/>
    <w:rsid w:val="007B6488"/>
    <w:rsid w:val="007B71F2"/>
    <w:rsid w:val="007C2B2D"/>
    <w:rsid w:val="007C2EE1"/>
    <w:rsid w:val="007C43C6"/>
    <w:rsid w:val="007C6692"/>
    <w:rsid w:val="007D04CB"/>
    <w:rsid w:val="007D3181"/>
    <w:rsid w:val="007E0737"/>
    <w:rsid w:val="007E1D7D"/>
    <w:rsid w:val="007E208C"/>
    <w:rsid w:val="007E57D6"/>
    <w:rsid w:val="007E5852"/>
    <w:rsid w:val="007E5A99"/>
    <w:rsid w:val="007F24A8"/>
    <w:rsid w:val="007F548D"/>
    <w:rsid w:val="007F7FB5"/>
    <w:rsid w:val="00807DFD"/>
    <w:rsid w:val="0081187C"/>
    <w:rsid w:val="0081469E"/>
    <w:rsid w:val="00815997"/>
    <w:rsid w:val="00820539"/>
    <w:rsid w:val="00822658"/>
    <w:rsid w:val="008254E5"/>
    <w:rsid w:val="008358A1"/>
    <w:rsid w:val="00836DA6"/>
    <w:rsid w:val="00842EF2"/>
    <w:rsid w:val="00842F68"/>
    <w:rsid w:val="00844517"/>
    <w:rsid w:val="00844AE4"/>
    <w:rsid w:val="00847392"/>
    <w:rsid w:val="008518F8"/>
    <w:rsid w:val="00855B97"/>
    <w:rsid w:val="00861E15"/>
    <w:rsid w:val="00862A4F"/>
    <w:rsid w:val="00863FE3"/>
    <w:rsid w:val="008706A3"/>
    <w:rsid w:val="00873FF0"/>
    <w:rsid w:val="008758F7"/>
    <w:rsid w:val="00875D5B"/>
    <w:rsid w:val="008829C4"/>
    <w:rsid w:val="008857BC"/>
    <w:rsid w:val="008911FD"/>
    <w:rsid w:val="008A067F"/>
    <w:rsid w:val="008A592E"/>
    <w:rsid w:val="008A6C70"/>
    <w:rsid w:val="008B5EA2"/>
    <w:rsid w:val="008C6B81"/>
    <w:rsid w:val="008C6E4D"/>
    <w:rsid w:val="008D0007"/>
    <w:rsid w:val="008D4E0A"/>
    <w:rsid w:val="008D52D8"/>
    <w:rsid w:val="008E2680"/>
    <w:rsid w:val="008F289B"/>
    <w:rsid w:val="008F578A"/>
    <w:rsid w:val="0090309F"/>
    <w:rsid w:val="00906FBC"/>
    <w:rsid w:val="00907351"/>
    <w:rsid w:val="009165C2"/>
    <w:rsid w:val="009212E6"/>
    <w:rsid w:val="009220B7"/>
    <w:rsid w:val="00924D2A"/>
    <w:rsid w:val="00931157"/>
    <w:rsid w:val="00932ACC"/>
    <w:rsid w:val="00932F2E"/>
    <w:rsid w:val="00934AD8"/>
    <w:rsid w:val="00936C99"/>
    <w:rsid w:val="00936FE1"/>
    <w:rsid w:val="009431EB"/>
    <w:rsid w:val="00947017"/>
    <w:rsid w:val="00950843"/>
    <w:rsid w:val="0095550C"/>
    <w:rsid w:val="00955778"/>
    <w:rsid w:val="00964C0B"/>
    <w:rsid w:val="00967EA4"/>
    <w:rsid w:val="00970256"/>
    <w:rsid w:val="009706C2"/>
    <w:rsid w:val="00972422"/>
    <w:rsid w:val="009743C0"/>
    <w:rsid w:val="009776D6"/>
    <w:rsid w:val="009824F3"/>
    <w:rsid w:val="00983BC7"/>
    <w:rsid w:val="00983EE2"/>
    <w:rsid w:val="00984A54"/>
    <w:rsid w:val="00990989"/>
    <w:rsid w:val="00995389"/>
    <w:rsid w:val="009A0713"/>
    <w:rsid w:val="009A3D81"/>
    <w:rsid w:val="009A5496"/>
    <w:rsid w:val="009A7DA8"/>
    <w:rsid w:val="009B1AE0"/>
    <w:rsid w:val="009B2138"/>
    <w:rsid w:val="009B4E6E"/>
    <w:rsid w:val="009B70CB"/>
    <w:rsid w:val="009B7622"/>
    <w:rsid w:val="009C00EF"/>
    <w:rsid w:val="009C1672"/>
    <w:rsid w:val="009C5DFA"/>
    <w:rsid w:val="009C6195"/>
    <w:rsid w:val="009C7EE6"/>
    <w:rsid w:val="009D0864"/>
    <w:rsid w:val="009D215A"/>
    <w:rsid w:val="009D3FD8"/>
    <w:rsid w:val="009D4E6A"/>
    <w:rsid w:val="009E06B0"/>
    <w:rsid w:val="009E10F1"/>
    <w:rsid w:val="009E183A"/>
    <w:rsid w:val="009E2B5D"/>
    <w:rsid w:val="009E2D72"/>
    <w:rsid w:val="009E53D8"/>
    <w:rsid w:val="009E5BAB"/>
    <w:rsid w:val="009E7D30"/>
    <w:rsid w:val="009F0D73"/>
    <w:rsid w:val="009F1B1F"/>
    <w:rsid w:val="009F1D10"/>
    <w:rsid w:val="009F5DA9"/>
    <w:rsid w:val="00A02B76"/>
    <w:rsid w:val="00A05A54"/>
    <w:rsid w:val="00A10499"/>
    <w:rsid w:val="00A12495"/>
    <w:rsid w:val="00A15F4C"/>
    <w:rsid w:val="00A178A7"/>
    <w:rsid w:val="00A17F8F"/>
    <w:rsid w:val="00A20EFE"/>
    <w:rsid w:val="00A20F4E"/>
    <w:rsid w:val="00A21836"/>
    <w:rsid w:val="00A218AD"/>
    <w:rsid w:val="00A233D9"/>
    <w:rsid w:val="00A27F9F"/>
    <w:rsid w:val="00A308FC"/>
    <w:rsid w:val="00A352BB"/>
    <w:rsid w:val="00A35658"/>
    <w:rsid w:val="00A37ABB"/>
    <w:rsid w:val="00A4098D"/>
    <w:rsid w:val="00A42BA6"/>
    <w:rsid w:val="00A4553E"/>
    <w:rsid w:val="00A471EB"/>
    <w:rsid w:val="00A616EB"/>
    <w:rsid w:val="00A61A82"/>
    <w:rsid w:val="00A643FD"/>
    <w:rsid w:val="00A74666"/>
    <w:rsid w:val="00A74DD6"/>
    <w:rsid w:val="00A75B83"/>
    <w:rsid w:val="00A816C0"/>
    <w:rsid w:val="00A83D33"/>
    <w:rsid w:val="00A844F3"/>
    <w:rsid w:val="00A853CA"/>
    <w:rsid w:val="00A91F92"/>
    <w:rsid w:val="00A95904"/>
    <w:rsid w:val="00AA06FB"/>
    <w:rsid w:val="00AA2777"/>
    <w:rsid w:val="00AA3472"/>
    <w:rsid w:val="00AA523B"/>
    <w:rsid w:val="00AA7348"/>
    <w:rsid w:val="00AA7CB5"/>
    <w:rsid w:val="00AB3507"/>
    <w:rsid w:val="00AB4BB3"/>
    <w:rsid w:val="00AB5E0B"/>
    <w:rsid w:val="00AB75DF"/>
    <w:rsid w:val="00AC4411"/>
    <w:rsid w:val="00AC6591"/>
    <w:rsid w:val="00AD0099"/>
    <w:rsid w:val="00AD0A12"/>
    <w:rsid w:val="00AD27E3"/>
    <w:rsid w:val="00AD45C3"/>
    <w:rsid w:val="00AD64F3"/>
    <w:rsid w:val="00AE2060"/>
    <w:rsid w:val="00AE333D"/>
    <w:rsid w:val="00AE351A"/>
    <w:rsid w:val="00AE52A9"/>
    <w:rsid w:val="00AE76D0"/>
    <w:rsid w:val="00AF0247"/>
    <w:rsid w:val="00AF43D2"/>
    <w:rsid w:val="00AF59F6"/>
    <w:rsid w:val="00B03716"/>
    <w:rsid w:val="00B05B0E"/>
    <w:rsid w:val="00B11D49"/>
    <w:rsid w:val="00B12D1E"/>
    <w:rsid w:val="00B15764"/>
    <w:rsid w:val="00B15FF4"/>
    <w:rsid w:val="00B16C3B"/>
    <w:rsid w:val="00B17F4C"/>
    <w:rsid w:val="00B200C8"/>
    <w:rsid w:val="00B20A0B"/>
    <w:rsid w:val="00B232F0"/>
    <w:rsid w:val="00B252C1"/>
    <w:rsid w:val="00B25FF0"/>
    <w:rsid w:val="00B3350B"/>
    <w:rsid w:val="00B41676"/>
    <w:rsid w:val="00B55C1F"/>
    <w:rsid w:val="00B565DE"/>
    <w:rsid w:val="00B57480"/>
    <w:rsid w:val="00B6189B"/>
    <w:rsid w:val="00B671C2"/>
    <w:rsid w:val="00B7518D"/>
    <w:rsid w:val="00B75C5E"/>
    <w:rsid w:val="00B80248"/>
    <w:rsid w:val="00B8054D"/>
    <w:rsid w:val="00B82997"/>
    <w:rsid w:val="00B8491A"/>
    <w:rsid w:val="00B84F91"/>
    <w:rsid w:val="00B91F8E"/>
    <w:rsid w:val="00B920C8"/>
    <w:rsid w:val="00B93DC2"/>
    <w:rsid w:val="00B940FA"/>
    <w:rsid w:val="00B966A0"/>
    <w:rsid w:val="00BA1BD7"/>
    <w:rsid w:val="00BA2C5F"/>
    <w:rsid w:val="00BA5DE5"/>
    <w:rsid w:val="00BB5B15"/>
    <w:rsid w:val="00BB6265"/>
    <w:rsid w:val="00BC4308"/>
    <w:rsid w:val="00BE0A6A"/>
    <w:rsid w:val="00BE3D96"/>
    <w:rsid w:val="00BE5E0C"/>
    <w:rsid w:val="00BF346E"/>
    <w:rsid w:val="00BF40B0"/>
    <w:rsid w:val="00BF5377"/>
    <w:rsid w:val="00BF65C0"/>
    <w:rsid w:val="00BF75AE"/>
    <w:rsid w:val="00C00AAC"/>
    <w:rsid w:val="00C03ED0"/>
    <w:rsid w:val="00C0402E"/>
    <w:rsid w:val="00C040D7"/>
    <w:rsid w:val="00C04B9C"/>
    <w:rsid w:val="00C04D0C"/>
    <w:rsid w:val="00C10BE6"/>
    <w:rsid w:val="00C11F11"/>
    <w:rsid w:val="00C14257"/>
    <w:rsid w:val="00C164E8"/>
    <w:rsid w:val="00C231C0"/>
    <w:rsid w:val="00C25F4F"/>
    <w:rsid w:val="00C310FD"/>
    <w:rsid w:val="00C31C1A"/>
    <w:rsid w:val="00C32BB7"/>
    <w:rsid w:val="00C45FCD"/>
    <w:rsid w:val="00C4602C"/>
    <w:rsid w:val="00C47238"/>
    <w:rsid w:val="00C5047A"/>
    <w:rsid w:val="00C504DC"/>
    <w:rsid w:val="00C533F1"/>
    <w:rsid w:val="00C556F5"/>
    <w:rsid w:val="00C572E0"/>
    <w:rsid w:val="00C577A2"/>
    <w:rsid w:val="00C60524"/>
    <w:rsid w:val="00C60553"/>
    <w:rsid w:val="00C6114F"/>
    <w:rsid w:val="00C62306"/>
    <w:rsid w:val="00C66622"/>
    <w:rsid w:val="00C70A23"/>
    <w:rsid w:val="00C74404"/>
    <w:rsid w:val="00C75CFD"/>
    <w:rsid w:val="00C76F1B"/>
    <w:rsid w:val="00C854D5"/>
    <w:rsid w:val="00C85CC3"/>
    <w:rsid w:val="00C87D4B"/>
    <w:rsid w:val="00C9256C"/>
    <w:rsid w:val="00CB0016"/>
    <w:rsid w:val="00CB00BB"/>
    <w:rsid w:val="00CB32F6"/>
    <w:rsid w:val="00CB3E6E"/>
    <w:rsid w:val="00CB57CF"/>
    <w:rsid w:val="00CB5EFC"/>
    <w:rsid w:val="00CC1FC4"/>
    <w:rsid w:val="00CC274F"/>
    <w:rsid w:val="00CC3DFA"/>
    <w:rsid w:val="00CC42B1"/>
    <w:rsid w:val="00CC5451"/>
    <w:rsid w:val="00CC5D21"/>
    <w:rsid w:val="00CC7F35"/>
    <w:rsid w:val="00CD3032"/>
    <w:rsid w:val="00CD7060"/>
    <w:rsid w:val="00CE3879"/>
    <w:rsid w:val="00CE49CF"/>
    <w:rsid w:val="00CE51C1"/>
    <w:rsid w:val="00CE5952"/>
    <w:rsid w:val="00D0108A"/>
    <w:rsid w:val="00D0267B"/>
    <w:rsid w:val="00D0338A"/>
    <w:rsid w:val="00D10138"/>
    <w:rsid w:val="00D10FF0"/>
    <w:rsid w:val="00D15707"/>
    <w:rsid w:val="00D15B7D"/>
    <w:rsid w:val="00D169A3"/>
    <w:rsid w:val="00D208E0"/>
    <w:rsid w:val="00D2272A"/>
    <w:rsid w:val="00D25DBC"/>
    <w:rsid w:val="00D25F14"/>
    <w:rsid w:val="00D32E78"/>
    <w:rsid w:val="00D3454D"/>
    <w:rsid w:val="00D376CB"/>
    <w:rsid w:val="00D437FC"/>
    <w:rsid w:val="00D43A1C"/>
    <w:rsid w:val="00D46742"/>
    <w:rsid w:val="00D509EC"/>
    <w:rsid w:val="00D5552E"/>
    <w:rsid w:val="00D62F35"/>
    <w:rsid w:val="00D638F9"/>
    <w:rsid w:val="00D64089"/>
    <w:rsid w:val="00D66F4E"/>
    <w:rsid w:val="00D71266"/>
    <w:rsid w:val="00D726D9"/>
    <w:rsid w:val="00D732A0"/>
    <w:rsid w:val="00D753F0"/>
    <w:rsid w:val="00D7716D"/>
    <w:rsid w:val="00D77D3B"/>
    <w:rsid w:val="00D80C4C"/>
    <w:rsid w:val="00D81F5F"/>
    <w:rsid w:val="00D8262E"/>
    <w:rsid w:val="00D83206"/>
    <w:rsid w:val="00D83C29"/>
    <w:rsid w:val="00D91231"/>
    <w:rsid w:val="00D97C88"/>
    <w:rsid w:val="00DA0BBF"/>
    <w:rsid w:val="00DA292E"/>
    <w:rsid w:val="00DA339C"/>
    <w:rsid w:val="00DA5578"/>
    <w:rsid w:val="00DA5CA1"/>
    <w:rsid w:val="00DA77CD"/>
    <w:rsid w:val="00DB005C"/>
    <w:rsid w:val="00DB1415"/>
    <w:rsid w:val="00DB1734"/>
    <w:rsid w:val="00DB5484"/>
    <w:rsid w:val="00DB5914"/>
    <w:rsid w:val="00DB619D"/>
    <w:rsid w:val="00DC0F60"/>
    <w:rsid w:val="00DC3705"/>
    <w:rsid w:val="00DC4B74"/>
    <w:rsid w:val="00DD0773"/>
    <w:rsid w:val="00DD5184"/>
    <w:rsid w:val="00DD6575"/>
    <w:rsid w:val="00DE1403"/>
    <w:rsid w:val="00DE2E3C"/>
    <w:rsid w:val="00DE5D01"/>
    <w:rsid w:val="00DF0EFD"/>
    <w:rsid w:val="00E00481"/>
    <w:rsid w:val="00E00DC7"/>
    <w:rsid w:val="00E03906"/>
    <w:rsid w:val="00E11197"/>
    <w:rsid w:val="00E15AD4"/>
    <w:rsid w:val="00E271E3"/>
    <w:rsid w:val="00E27E2F"/>
    <w:rsid w:val="00E355F4"/>
    <w:rsid w:val="00E43CB5"/>
    <w:rsid w:val="00E444C8"/>
    <w:rsid w:val="00E4525D"/>
    <w:rsid w:val="00E46C76"/>
    <w:rsid w:val="00E536DB"/>
    <w:rsid w:val="00E53D55"/>
    <w:rsid w:val="00E5503F"/>
    <w:rsid w:val="00E55E3C"/>
    <w:rsid w:val="00E61468"/>
    <w:rsid w:val="00E62873"/>
    <w:rsid w:val="00E63147"/>
    <w:rsid w:val="00E70AE6"/>
    <w:rsid w:val="00E71C96"/>
    <w:rsid w:val="00E72C22"/>
    <w:rsid w:val="00E730C2"/>
    <w:rsid w:val="00E85993"/>
    <w:rsid w:val="00E85A74"/>
    <w:rsid w:val="00E864E4"/>
    <w:rsid w:val="00E872F2"/>
    <w:rsid w:val="00E87E39"/>
    <w:rsid w:val="00E9083B"/>
    <w:rsid w:val="00E9137F"/>
    <w:rsid w:val="00E969E5"/>
    <w:rsid w:val="00E96C57"/>
    <w:rsid w:val="00EA19DD"/>
    <w:rsid w:val="00EA3C13"/>
    <w:rsid w:val="00EA5291"/>
    <w:rsid w:val="00EA6197"/>
    <w:rsid w:val="00EA7660"/>
    <w:rsid w:val="00EA7BE3"/>
    <w:rsid w:val="00EB3265"/>
    <w:rsid w:val="00EB5199"/>
    <w:rsid w:val="00EC457D"/>
    <w:rsid w:val="00EC4B17"/>
    <w:rsid w:val="00EC51FD"/>
    <w:rsid w:val="00EC67AD"/>
    <w:rsid w:val="00EC7E61"/>
    <w:rsid w:val="00ED745D"/>
    <w:rsid w:val="00EE3497"/>
    <w:rsid w:val="00EE3EAC"/>
    <w:rsid w:val="00EE6DEA"/>
    <w:rsid w:val="00EE7091"/>
    <w:rsid w:val="00EF11E0"/>
    <w:rsid w:val="00EF7F92"/>
    <w:rsid w:val="00F01996"/>
    <w:rsid w:val="00F02E64"/>
    <w:rsid w:val="00F1384A"/>
    <w:rsid w:val="00F1507E"/>
    <w:rsid w:val="00F1541E"/>
    <w:rsid w:val="00F21664"/>
    <w:rsid w:val="00F23645"/>
    <w:rsid w:val="00F25479"/>
    <w:rsid w:val="00F26F45"/>
    <w:rsid w:val="00F270B4"/>
    <w:rsid w:val="00F335AD"/>
    <w:rsid w:val="00F34245"/>
    <w:rsid w:val="00F45B8C"/>
    <w:rsid w:val="00F50082"/>
    <w:rsid w:val="00F531B3"/>
    <w:rsid w:val="00F534D6"/>
    <w:rsid w:val="00F55280"/>
    <w:rsid w:val="00F609C8"/>
    <w:rsid w:val="00F60C49"/>
    <w:rsid w:val="00F61EFC"/>
    <w:rsid w:val="00F62020"/>
    <w:rsid w:val="00F62791"/>
    <w:rsid w:val="00F66602"/>
    <w:rsid w:val="00F72609"/>
    <w:rsid w:val="00F8106A"/>
    <w:rsid w:val="00F854F5"/>
    <w:rsid w:val="00F87FB4"/>
    <w:rsid w:val="00F94DEB"/>
    <w:rsid w:val="00F95598"/>
    <w:rsid w:val="00FA040E"/>
    <w:rsid w:val="00FA0567"/>
    <w:rsid w:val="00FA1B2B"/>
    <w:rsid w:val="00FA76C3"/>
    <w:rsid w:val="00FB0A73"/>
    <w:rsid w:val="00FB74D8"/>
    <w:rsid w:val="00FC27C1"/>
    <w:rsid w:val="00FC35E0"/>
    <w:rsid w:val="00FC5DA4"/>
    <w:rsid w:val="00FC7E47"/>
    <w:rsid w:val="00FD18A6"/>
    <w:rsid w:val="00FD2979"/>
    <w:rsid w:val="00FE535B"/>
    <w:rsid w:val="00FE5EFD"/>
    <w:rsid w:val="00FE6224"/>
    <w:rsid w:val="00FE7AF0"/>
    <w:rsid w:val="00FF01F3"/>
    <w:rsid w:val="00FF48D6"/>
    <w:rsid w:val="00FF5189"/>
    <w:rsid w:val="00FF614D"/>
    <w:rsid w:val="00FF6D06"/>
    <w:rsid w:val="01617054"/>
    <w:rsid w:val="04D72BD5"/>
    <w:rsid w:val="05FF5384"/>
    <w:rsid w:val="07F4CAC0"/>
    <w:rsid w:val="080F04E4"/>
    <w:rsid w:val="0975631D"/>
    <w:rsid w:val="0A87637F"/>
    <w:rsid w:val="0B5B6518"/>
    <w:rsid w:val="0C8EBE2F"/>
    <w:rsid w:val="0D6A190E"/>
    <w:rsid w:val="0E9B848C"/>
    <w:rsid w:val="0F402A84"/>
    <w:rsid w:val="0FBFFA1B"/>
    <w:rsid w:val="0FEBE8B2"/>
    <w:rsid w:val="118C38F0"/>
    <w:rsid w:val="13BF5DAD"/>
    <w:rsid w:val="13CDDE72"/>
    <w:rsid w:val="13E1E434"/>
    <w:rsid w:val="15BBF2AC"/>
    <w:rsid w:val="175FCB87"/>
    <w:rsid w:val="17BDE0B7"/>
    <w:rsid w:val="17BF7241"/>
    <w:rsid w:val="17F55369"/>
    <w:rsid w:val="18ED0F76"/>
    <w:rsid w:val="19311865"/>
    <w:rsid w:val="1937D7E5"/>
    <w:rsid w:val="19EDB001"/>
    <w:rsid w:val="1ADF09E3"/>
    <w:rsid w:val="1AF24A26"/>
    <w:rsid w:val="1BD33452"/>
    <w:rsid w:val="1BEB6640"/>
    <w:rsid w:val="1BFD872B"/>
    <w:rsid w:val="1CFEC0F1"/>
    <w:rsid w:val="1DAF0140"/>
    <w:rsid w:val="1E67AADB"/>
    <w:rsid w:val="1EBFA404"/>
    <w:rsid w:val="1EED0777"/>
    <w:rsid w:val="1EEF24D1"/>
    <w:rsid w:val="1EFF974C"/>
    <w:rsid w:val="1EFFC5A6"/>
    <w:rsid w:val="1EFFF465"/>
    <w:rsid w:val="1F6DB827"/>
    <w:rsid w:val="1FDF8A0C"/>
    <w:rsid w:val="1FF78A7D"/>
    <w:rsid w:val="20F849A0"/>
    <w:rsid w:val="22EE115D"/>
    <w:rsid w:val="237B21F8"/>
    <w:rsid w:val="23E9365C"/>
    <w:rsid w:val="23F9C932"/>
    <w:rsid w:val="23FE4233"/>
    <w:rsid w:val="25EE7428"/>
    <w:rsid w:val="27791E25"/>
    <w:rsid w:val="27BE72E1"/>
    <w:rsid w:val="27DB32B9"/>
    <w:rsid w:val="27F64451"/>
    <w:rsid w:val="27FFA76E"/>
    <w:rsid w:val="28834FAE"/>
    <w:rsid w:val="2AFF2431"/>
    <w:rsid w:val="2B426C9F"/>
    <w:rsid w:val="2BBA19E1"/>
    <w:rsid w:val="2BBDC055"/>
    <w:rsid w:val="2BF5A335"/>
    <w:rsid w:val="2CAB4095"/>
    <w:rsid w:val="2CFFDD42"/>
    <w:rsid w:val="2DBECC4A"/>
    <w:rsid w:val="2DFF2CEB"/>
    <w:rsid w:val="2EDCD09D"/>
    <w:rsid w:val="2F5FC39B"/>
    <w:rsid w:val="2F6744A3"/>
    <w:rsid w:val="2F763936"/>
    <w:rsid w:val="2F774B79"/>
    <w:rsid w:val="2F7FCA3C"/>
    <w:rsid w:val="2F87139F"/>
    <w:rsid w:val="2FAF06CB"/>
    <w:rsid w:val="2FBFAC98"/>
    <w:rsid w:val="2FCF1E3C"/>
    <w:rsid w:val="2FFE0A1D"/>
    <w:rsid w:val="31A0D86A"/>
    <w:rsid w:val="31E7D315"/>
    <w:rsid w:val="31E7FEE3"/>
    <w:rsid w:val="327E1194"/>
    <w:rsid w:val="32E3EE3D"/>
    <w:rsid w:val="32F8D75D"/>
    <w:rsid w:val="335A2C95"/>
    <w:rsid w:val="33FDDF25"/>
    <w:rsid w:val="34EF3C84"/>
    <w:rsid w:val="35BF4692"/>
    <w:rsid w:val="35F7C4B4"/>
    <w:rsid w:val="35FF587C"/>
    <w:rsid w:val="36BF067A"/>
    <w:rsid w:val="36FF504A"/>
    <w:rsid w:val="371265F2"/>
    <w:rsid w:val="377FBBB7"/>
    <w:rsid w:val="37CD1A92"/>
    <w:rsid w:val="37CF9CB1"/>
    <w:rsid w:val="37DF949A"/>
    <w:rsid w:val="37E7FC12"/>
    <w:rsid w:val="37EDB537"/>
    <w:rsid w:val="37EF33F5"/>
    <w:rsid w:val="37F7ADEF"/>
    <w:rsid w:val="387E32E1"/>
    <w:rsid w:val="38CEF9FC"/>
    <w:rsid w:val="3979277B"/>
    <w:rsid w:val="39DFCDFF"/>
    <w:rsid w:val="3AB20CF9"/>
    <w:rsid w:val="3ADD16C6"/>
    <w:rsid w:val="3AED7FC4"/>
    <w:rsid w:val="3AFF462C"/>
    <w:rsid w:val="3AFFCBC2"/>
    <w:rsid w:val="3BB7C162"/>
    <w:rsid w:val="3BC79264"/>
    <w:rsid w:val="3BCF8025"/>
    <w:rsid w:val="3BEDA8A2"/>
    <w:rsid w:val="3BEDCCB7"/>
    <w:rsid w:val="3BEE42E2"/>
    <w:rsid w:val="3BEFF7C7"/>
    <w:rsid w:val="3BF6B54E"/>
    <w:rsid w:val="3BF74FCD"/>
    <w:rsid w:val="3BF9E799"/>
    <w:rsid w:val="3BFA947F"/>
    <w:rsid w:val="3C7E7976"/>
    <w:rsid w:val="3C7FB4F8"/>
    <w:rsid w:val="3CBB7E2E"/>
    <w:rsid w:val="3CDF92D6"/>
    <w:rsid w:val="3D6D2F03"/>
    <w:rsid w:val="3DBEE9A8"/>
    <w:rsid w:val="3DC49865"/>
    <w:rsid w:val="3DDD7ABD"/>
    <w:rsid w:val="3DFF0F82"/>
    <w:rsid w:val="3DFFF1A7"/>
    <w:rsid w:val="3E2FA3A7"/>
    <w:rsid w:val="3E3F8CAE"/>
    <w:rsid w:val="3EDB1FB3"/>
    <w:rsid w:val="3EDFF828"/>
    <w:rsid w:val="3EF7A335"/>
    <w:rsid w:val="3F1F1632"/>
    <w:rsid w:val="3F3B5AA1"/>
    <w:rsid w:val="3F3E7C14"/>
    <w:rsid w:val="3F3FE443"/>
    <w:rsid w:val="3F57C50E"/>
    <w:rsid w:val="3F5D679C"/>
    <w:rsid w:val="3F7BD2B8"/>
    <w:rsid w:val="3F7E8B5F"/>
    <w:rsid w:val="3F7ECF2F"/>
    <w:rsid w:val="3F7FF7F5"/>
    <w:rsid w:val="3F850CD8"/>
    <w:rsid w:val="3FBD24B2"/>
    <w:rsid w:val="3FBEF6E4"/>
    <w:rsid w:val="3FBF4461"/>
    <w:rsid w:val="3FCFC42C"/>
    <w:rsid w:val="3FD110C1"/>
    <w:rsid w:val="3FE766B1"/>
    <w:rsid w:val="3FE7AAE7"/>
    <w:rsid w:val="3FF759BB"/>
    <w:rsid w:val="3FFAB5DE"/>
    <w:rsid w:val="3FFB14B0"/>
    <w:rsid w:val="3FFB3E64"/>
    <w:rsid w:val="3FFB7251"/>
    <w:rsid w:val="3FFE09DB"/>
    <w:rsid w:val="3FFF2A78"/>
    <w:rsid w:val="3FFFF997"/>
    <w:rsid w:val="4355F141"/>
    <w:rsid w:val="446F6198"/>
    <w:rsid w:val="449D395A"/>
    <w:rsid w:val="46CC20B1"/>
    <w:rsid w:val="46DF4403"/>
    <w:rsid w:val="46EE10A3"/>
    <w:rsid w:val="475F2FF8"/>
    <w:rsid w:val="47BA7E1E"/>
    <w:rsid w:val="47DE3EA7"/>
    <w:rsid w:val="47ED286A"/>
    <w:rsid w:val="47F5CCF1"/>
    <w:rsid w:val="47FF4C68"/>
    <w:rsid w:val="4B7C357A"/>
    <w:rsid w:val="4BB64510"/>
    <w:rsid w:val="4BBB1789"/>
    <w:rsid w:val="4DDBD69E"/>
    <w:rsid w:val="4DF7CF85"/>
    <w:rsid w:val="4E614DB4"/>
    <w:rsid w:val="4EFD1883"/>
    <w:rsid w:val="4F2D521A"/>
    <w:rsid w:val="4F708015"/>
    <w:rsid w:val="4FB05370"/>
    <w:rsid w:val="4FBEACBA"/>
    <w:rsid w:val="4FBF1DE3"/>
    <w:rsid w:val="4FDD2E4F"/>
    <w:rsid w:val="4FEC76EF"/>
    <w:rsid w:val="4FF37BB7"/>
    <w:rsid w:val="4FF79B4E"/>
    <w:rsid w:val="4FFAC840"/>
    <w:rsid w:val="4FFFE735"/>
    <w:rsid w:val="51F7CD5F"/>
    <w:rsid w:val="5231383A"/>
    <w:rsid w:val="52E72486"/>
    <w:rsid w:val="52FB6C78"/>
    <w:rsid w:val="533F88E4"/>
    <w:rsid w:val="53AEF7EE"/>
    <w:rsid w:val="53EFE7B4"/>
    <w:rsid w:val="543FD237"/>
    <w:rsid w:val="5456ADCF"/>
    <w:rsid w:val="547F719E"/>
    <w:rsid w:val="54CDB972"/>
    <w:rsid w:val="54DB1282"/>
    <w:rsid w:val="54F7EE4A"/>
    <w:rsid w:val="555E4999"/>
    <w:rsid w:val="55651104"/>
    <w:rsid w:val="55EA39AC"/>
    <w:rsid w:val="567BF25F"/>
    <w:rsid w:val="567CB1DD"/>
    <w:rsid w:val="567F9A32"/>
    <w:rsid w:val="56FF24E5"/>
    <w:rsid w:val="5734406F"/>
    <w:rsid w:val="57763A75"/>
    <w:rsid w:val="57DD7842"/>
    <w:rsid w:val="57E98872"/>
    <w:rsid w:val="57EA7DF7"/>
    <w:rsid w:val="57EB7694"/>
    <w:rsid w:val="57F6CEBE"/>
    <w:rsid w:val="57FC77CD"/>
    <w:rsid w:val="585DE389"/>
    <w:rsid w:val="59C35FE3"/>
    <w:rsid w:val="59FE1829"/>
    <w:rsid w:val="5A578E22"/>
    <w:rsid w:val="5AED2F16"/>
    <w:rsid w:val="5AFF8092"/>
    <w:rsid w:val="5B3D2200"/>
    <w:rsid w:val="5B6FC649"/>
    <w:rsid w:val="5B7B8CAE"/>
    <w:rsid w:val="5BCF1086"/>
    <w:rsid w:val="5BDD2FE4"/>
    <w:rsid w:val="5BDE973D"/>
    <w:rsid w:val="5BDFED82"/>
    <w:rsid w:val="5BEDC226"/>
    <w:rsid w:val="5BF7795F"/>
    <w:rsid w:val="5BFDE532"/>
    <w:rsid w:val="5BFF44D2"/>
    <w:rsid w:val="5C8D88FF"/>
    <w:rsid w:val="5CFEAEED"/>
    <w:rsid w:val="5D334F80"/>
    <w:rsid w:val="5D5F525D"/>
    <w:rsid w:val="5D7835C8"/>
    <w:rsid w:val="5D9F37FB"/>
    <w:rsid w:val="5DBF524C"/>
    <w:rsid w:val="5DCF4648"/>
    <w:rsid w:val="5DDEC59F"/>
    <w:rsid w:val="5DEBFF83"/>
    <w:rsid w:val="5DEE8B6B"/>
    <w:rsid w:val="5DF623FF"/>
    <w:rsid w:val="5DFB3D82"/>
    <w:rsid w:val="5DFBC89B"/>
    <w:rsid w:val="5E1FB625"/>
    <w:rsid w:val="5E5FBFB6"/>
    <w:rsid w:val="5E69665D"/>
    <w:rsid w:val="5ECF9A41"/>
    <w:rsid w:val="5EE20294"/>
    <w:rsid w:val="5EEB5492"/>
    <w:rsid w:val="5F3C2E8C"/>
    <w:rsid w:val="5F4F1E19"/>
    <w:rsid w:val="5F6C5B58"/>
    <w:rsid w:val="5F6EA5BA"/>
    <w:rsid w:val="5F7ABE09"/>
    <w:rsid w:val="5FA7E56D"/>
    <w:rsid w:val="5FB7E624"/>
    <w:rsid w:val="5FC6E95F"/>
    <w:rsid w:val="5FCF15F8"/>
    <w:rsid w:val="5FCF4A17"/>
    <w:rsid w:val="5FD352A7"/>
    <w:rsid w:val="5FD533B2"/>
    <w:rsid w:val="5FD58E60"/>
    <w:rsid w:val="5FD871EC"/>
    <w:rsid w:val="5FDB81F2"/>
    <w:rsid w:val="5FEF2FD5"/>
    <w:rsid w:val="5FEF9826"/>
    <w:rsid w:val="5FF142DA"/>
    <w:rsid w:val="5FFA15D5"/>
    <w:rsid w:val="5FFA5E60"/>
    <w:rsid w:val="5FFAD372"/>
    <w:rsid w:val="5FFDC2BA"/>
    <w:rsid w:val="61D37311"/>
    <w:rsid w:val="63FE2398"/>
    <w:rsid w:val="63FF8A98"/>
    <w:rsid w:val="64A10EFC"/>
    <w:rsid w:val="657CA567"/>
    <w:rsid w:val="65EE8F23"/>
    <w:rsid w:val="65FE06B4"/>
    <w:rsid w:val="66AFE7C0"/>
    <w:rsid w:val="66DA5B44"/>
    <w:rsid w:val="67BDAC26"/>
    <w:rsid w:val="67BF6B8D"/>
    <w:rsid w:val="67CBE482"/>
    <w:rsid w:val="67DB8204"/>
    <w:rsid w:val="67DD4155"/>
    <w:rsid w:val="67FF340C"/>
    <w:rsid w:val="67FFA883"/>
    <w:rsid w:val="67FFCED6"/>
    <w:rsid w:val="68DB932F"/>
    <w:rsid w:val="697D16B6"/>
    <w:rsid w:val="6AC53F49"/>
    <w:rsid w:val="6AD903BC"/>
    <w:rsid w:val="6AF29AA6"/>
    <w:rsid w:val="6B5A59D0"/>
    <w:rsid w:val="6B6F78A3"/>
    <w:rsid w:val="6B7E92DB"/>
    <w:rsid w:val="6BAE21C5"/>
    <w:rsid w:val="6BB5FECC"/>
    <w:rsid w:val="6BBF4630"/>
    <w:rsid w:val="6BD51720"/>
    <w:rsid w:val="6BDFE5D9"/>
    <w:rsid w:val="6BEF583A"/>
    <w:rsid w:val="6BEF893E"/>
    <w:rsid w:val="6CDACFA9"/>
    <w:rsid w:val="6D5537DB"/>
    <w:rsid w:val="6D8A7E91"/>
    <w:rsid w:val="6DAF6B5E"/>
    <w:rsid w:val="6DC759DB"/>
    <w:rsid w:val="6DD7269E"/>
    <w:rsid w:val="6DEFF41C"/>
    <w:rsid w:val="6DF03D5D"/>
    <w:rsid w:val="6DFE3428"/>
    <w:rsid w:val="6DFFE02F"/>
    <w:rsid w:val="6E2AEFCC"/>
    <w:rsid w:val="6E37F56A"/>
    <w:rsid w:val="6E697415"/>
    <w:rsid w:val="6EBE216F"/>
    <w:rsid w:val="6EE73A44"/>
    <w:rsid w:val="6EE9679F"/>
    <w:rsid w:val="6EEDDA4A"/>
    <w:rsid w:val="6EF736ED"/>
    <w:rsid w:val="6EFF8EF7"/>
    <w:rsid w:val="6F273D87"/>
    <w:rsid w:val="6F3B5D30"/>
    <w:rsid w:val="6F4FE53E"/>
    <w:rsid w:val="6F6B834D"/>
    <w:rsid w:val="6F6DAE5B"/>
    <w:rsid w:val="6F752CEC"/>
    <w:rsid w:val="6F77B270"/>
    <w:rsid w:val="6F944B2A"/>
    <w:rsid w:val="6FBB0424"/>
    <w:rsid w:val="6FBF9973"/>
    <w:rsid w:val="6FD97685"/>
    <w:rsid w:val="6FDD9EA0"/>
    <w:rsid w:val="6FDDC880"/>
    <w:rsid w:val="6FDF8F81"/>
    <w:rsid w:val="6FE30577"/>
    <w:rsid w:val="6FED00F5"/>
    <w:rsid w:val="6FEE79D7"/>
    <w:rsid w:val="6FEF5B94"/>
    <w:rsid w:val="6FF3EA1E"/>
    <w:rsid w:val="6FF5B26A"/>
    <w:rsid w:val="6FFE42C8"/>
    <w:rsid w:val="6FFF3FC0"/>
    <w:rsid w:val="6FFF4DCE"/>
    <w:rsid w:val="6FFF58EA"/>
    <w:rsid w:val="70064A8A"/>
    <w:rsid w:val="7137C9F3"/>
    <w:rsid w:val="71EE0919"/>
    <w:rsid w:val="727B4D69"/>
    <w:rsid w:val="72BF404B"/>
    <w:rsid w:val="72BF7F08"/>
    <w:rsid w:val="72E9EE00"/>
    <w:rsid w:val="739FFB77"/>
    <w:rsid w:val="73AFF2B0"/>
    <w:rsid w:val="73EFD223"/>
    <w:rsid w:val="73F7D2E0"/>
    <w:rsid w:val="73FBDB4E"/>
    <w:rsid w:val="743F6C31"/>
    <w:rsid w:val="74BB2C06"/>
    <w:rsid w:val="74BF8AF6"/>
    <w:rsid w:val="74F6DD3A"/>
    <w:rsid w:val="74FF2FE9"/>
    <w:rsid w:val="753C6E4F"/>
    <w:rsid w:val="75B025B7"/>
    <w:rsid w:val="75DFF3C6"/>
    <w:rsid w:val="75ED1EA7"/>
    <w:rsid w:val="75F7FF0C"/>
    <w:rsid w:val="75FB852D"/>
    <w:rsid w:val="75FBA5FF"/>
    <w:rsid w:val="75FF3409"/>
    <w:rsid w:val="75FF3B38"/>
    <w:rsid w:val="75FF4808"/>
    <w:rsid w:val="765F9002"/>
    <w:rsid w:val="76885A64"/>
    <w:rsid w:val="76B56C36"/>
    <w:rsid w:val="76BEDBDB"/>
    <w:rsid w:val="76DFD783"/>
    <w:rsid w:val="76E9BE08"/>
    <w:rsid w:val="76EDD4B7"/>
    <w:rsid w:val="76F97A9D"/>
    <w:rsid w:val="76FF30E1"/>
    <w:rsid w:val="76FF4C6B"/>
    <w:rsid w:val="76FF7AA3"/>
    <w:rsid w:val="76FFE749"/>
    <w:rsid w:val="77469588"/>
    <w:rsid w:val="775F0F64"/>
    <w:rsid w:val="775FD645"/>
    <w:rsid w:val="7767ACA0"/>
    <w:rsid w:val="776E3FCB"/>
    <w:rsid w:val="777AB915"/>
    <w:rsid w:val="777EB764"/>
    <w:rsid w:val="77ABFA51"/>
    <w:rsid w:val="77BE4579"/>
    <w:rsid w:val="77BF22F6"/>
    <w:rsid w:val="77CD8939"/>
    <w:rsid w:val="77CFC2E1"/>
    <w:rsid w:val="77DF4D66"/>
    <w:rsid w:val="77E5CF05"/>
    <w:rsid w:val="77E8FD5E"/>
    <w:rsid w:val="77EF93D4"/>
    <w:rsid w:val="77F2593F"/>
    <w:rsid w:val="77F98C65"/>
    <w:rsid w:val="77FA22D7"/>
    <w:rsid w:val="77FB0740"/>
    <w:rsid w:val="77FBA4F3"/>
    <w:rsid w:val="77FBC721"/>
    <w:rsid w:val="77FD5F6B"/>
    <w:rsid w:val="77FF4F5F"/>
    <w:rsid w:val="78CC51DC"/>
    <w:rsid w:val="78E7FA49"/>
    <w:rsid w:val="790F61BA"/>
    <w:rsid w:val="79EF8013"/>
    <w:rsid w:val="79F5BB04"/>
    <w:rsid w:val="79FBEC19"/>
    <w:rsid w:val="79FD3E54"/>
    <w:rsid w:val="79FF0BE5"/>
    <w:rsid w:val="79FFBFB5"/>
    <w:rsid w:val="7A17211E"/>
    <w:rsid w:val="7A6F11FB"/>
    <w:rsid w:val="7A7A226C"/>
    <w:rsid w:val="7AB8427D"/>
    <w:rsid w:val="7AB9684C"/>
    <w:rsid w:val="7AC6CDA2"/>
    <w:rsid w:val="7AD34EE8"/>
    <w:rsid w:val="7AE5B948"/>
    <w:rsid w:val="7AF69EEB"/>
    <w:rsid w:val="7AFF197C"/>
    <w:rsid w:val="7AFF7C7A"/>
    <w:rsid w:val="7B1B3176"/>
    <w:rsid w:val="7B1BE903"/>
    <w:rsid w:val="7B273B6F"/>
    <w:rsid w:val="7B27C8CE"/>
    <w:rsid w:val="7B3F6955"/>
    <w:rsid w:val="7B6BD23A"/>
    <w:rsid w:val="7B7B7E75"/>
    <w:rsid w:val="7B7CF4C0"/>
    <w:rsid w:val="7BB0748F"/>
    <w:rsid w:val="7BBB8D66"/>
    <w:rsid w:val="7BBDFADE"/>
    <w:rsid w:val="7BBEF88D"/>
    <w:rsid w:val="7BCEF75A"/>
    <w:rsid w:val="7BCF527B"/>
    <w:rsid w:val="7BCFEFF3"/>
    <w:rsid w:val="7BDE2740"/>
    <w:rsid w:val="7BEF6243"/>
    <w:rsid w:val="7BF751A3"/>
    <w:rsid w:val="7BFA6474"/>
    <w:rsid w:val="7BFB4053"/>
    <w:rsid w:val="7BFC3110"/>
    <w:rsid w:val="7BFE5AE3"/>
    <w:rsid w:val="7BFEB7E2"/>
    <w:rsid w:val="7BFF04F8"/>
    <w:rsid w:val="7BFF897D"/>
    <w:rsid w:val="7BFFFAB8"/>
    <w:rsid w:val="7C6EBB48"/>
    <w:rsid w:val="7C7E5750"/>
    <w:rsid w:val="7C7EC642"/>
    <w:rsid w:val="7C8FB977"/>
    <w:rsid w:val="7C9D52D6"/>
    <w:rsid w:val="7CA74695"/>
    <w:rsid w:val="7CBA3D0E"/>
    <w:rsid w:val="7CD7C18E"/>
    <w:rsid w:val="7CDE23AA"/>
    <w:rsid w:val="7CEF7E1A"/>
    <w:rsid w:val="7CF4748F"/>
    <w:rsid w:val="7CFC2639"/>
    <w:rsid w:val="7CFFBAE9"/>
    <w:rsid w:val="7D3337AC"/>
    <w:rsid w:val="7D3F29CC"/>
    <w:rsid w:val="7D7E5ED7"/>
    <w:rsid w:val="7D9E28CF"/>
    <w:rsid w:val="7DB54F19"/>
    <w:rsid w:val="7DBE5BE0"/>
    <w:rsid w:val="7DBF9B46"/>
    <w:rsid w:val="7DD78A3A"/>
    <w:rsid w:val="7DE6B79E"/>
    <w:rsid w:val="7DF383AF"/>
    <w:rsid w:val="7DF447EE"/>
    <w:rsid w:val="7DF46CB1"/>
    <w:rsid w:val="7DF6EB3D"/>
    <w:rsid w:val="7DF71714"/>
    <w:rsid w:val="7DF7EB43"/>
    <w:rsid w:val="7DFC6A27"/>
    <w:rsid w:val="7DFDAB90"/>
    <w:rsid w:val="7DFF8A72"/>
    <w:rsid w:val="7DFFA802"/>
    <w:rsid w:val="7DFFB2BC"/>
    <w:rsid w:val="7E4C3A44"/>
    <w:rsid w:val="7E57FDEA"/>
    <w:rsid w:val="7E7766C4"/>
    <w:rsid w:val="7EAF1E64"/>
    <w:rsid w:val="7EB1863A"/>
    <w:rsid w:val="7EB3EBC1"/>
    <w:rsid w:val="7EB78124"/>
    <w:rsid w:val="7ED7C3F9"/>
    <w:rsid w:val="7EDFF9A9"/>
    <w:rsid w:val="7EF7A465"/>
    <w:rsid w:val="7EF7BF15"/>
    <w:rsid w:val="7EFC9D0E"/>
    <w:rsid w:val="7EFCC33B"/>
    <w:rsid w:val="7EFF239E"/>
    <w:rsid w:val="7EFF71E4"/>
    <w:rsid w:val="7EFFA1E6"/>
    <w:rsid w:val="7EFFBE28"/>
    <w:rsid w:val="7EFFD10C"/>
    <w:rsid w:val="7F1A34C8"/>
    <w:rsid w:val="7F1DDA85"/>
    <w:rsid w:val="7F2FC58A"/>
    <w:rsid w:val="7F5BE956"/>
    <w:rsid w:val="7F63DD95"/>
    <w:rsid w:val="7F68F708"/>
    <w:rsid w:val="7F69F5AD"/>
    <w:rsid w:val="7F6BBE08"/>
    <w:rsid w:val="7F6BE879"/>
    <w:rsid w:val="7F6E92A3"/>
    <w:rsid w:val="7F6F522A"/>
    <w:rsid w:val="7F6F567D"/>
    <w:rsid w:val="7F6F9027"/>
    <w:rsid w:val="7F73120A"/>
    <w:rsid w:val="7F775E90"/>
    <w:rsid w:val="7F7B0611"/>
    <w:rsid w:val="7F7C6F75"/>
    <w:rsid w:val="7F7CA03E"/>
    <w:rsid w:val="7F7DCBDE"/>
    <w:rsid w:val="7F7EFD20"/>
    <w:rsid w:val="7F7F6585"/>
    <w:rsid w:val="7F7F6971"/>
    <w:rsid w:val="7F9CEE26"/>
    <w:rsid w:val="7FA5F992"/>
    <w:rsid w:val="7FB63681"/>
    <w:rsid w:val="7FB71BF0"/>
    <w:rsid w:val="7FB7DF0D"/>
    <w:rsid w:val="7FB7E069"/>
    <w:rsid w:val="7FBAA09F"/>
    <w:rsid w:val="7FBD42B7"/>
    <w:rsid w:val="7FBDD404"/>
    <w:rsid w:val="7FBEAF09"/>
    <w:rsid w:val="7FBF8CB7"/>
    <w:rsid w:val="7FBFE9ED"/>
    <w:rsid w:val="7FCD99E7"/>
    <w:rsid w:val="7FD77269"/>
    <w:rsid w:val="7FD96A24"/>
    <w:rsid w:val="7FDCE172"/>
    <w:rsid w:val="7FDF7C4C"/>
    <w:rsid w:val="7FDFB824"/>
    <w:rsid w:val="7FE8E232"/>
    <w:rsid w:val="7FEBBFEF"/>
    <w:rsid w:val="7FECE753"/>
    <w:rsid w:val="7FED4758"/>
    <w:rsid w:val="7FED5235"/>
    <w:rsid w:val="7FED8FEA"/>
    <w:rsid w:val="7FEEC322"/>
    <w:rsid w:val="7FEF036B"/>
    <w:rsid w:val="7FEFC11D"/>
    <w:rsid w:val="7FEFE8D9"/>
    <w:rsid w:val="7FF1E9B1"/>
    <w:rsid w:val="7FF3AFDE"/>
    <w:rsid w:val="7FF3B16D"/>
    <w:rsid w:val="7FF6C314"/>
    <w:rsid w:val="7FF79D7C"/>
    <w:rsid w:val="7FF7ED06"/>
    <w:rsid w:val="7FF933BF"/>
    <w:rsid w:val="7FFB9109"/>
    <w:rsid w:val="7FFD2262"/>
    <w:rsid w:val="7FFD4CE7"/>
    <w:rsid w:val="7FFD4DBC"/>
    <w:rsid w:val="7FFD569B"/>
    <w:rsid w:val="7FFD8E4C"/>
    <w:rsid w:val="7FFDE86D"/>
    <w:rsid w:val="7FFE2F30"/>
    <w:rsid w:val="7FFE821D"/>
    <w:rsid w:val="7FFEBD08"/>
    <w:rsid w:val="7FFF1D73"/>
    <w:rsid w:val="7FFF3829"/>
    <w:rsid w:val="7FFF4727"/>
    <w:rsid w:val="7FFF489D"/>
    <w:rsid w:val="7FFF7FE8"/>
    <w:rsid w:val="7FFF8A76"/>
    <w:rsid w:val="7FFF97ED"/>
    <w:rsid w:val="7FFF9BE7"/>
    <w:rsid w:val="7FFFC868"/>
    <w:rsid w:val="817D706B"/>
    <w:rsid w:val="8747ECCD"/>
    <w:rsid w:val="8CFDB607"/>
    <w:rsid w:val="8D389DCF"/>
    <w:rsid w:val="8D7BC87D"/>
    <w:rsid w:val="8E7F258A"/>
    <w:rsid w:val="8F8FA395"/>
    <w:rsid w:val="8FBFE5DB"/>
    <w:rsid w:val="8FE23320"/>
    <w:rsid w:val="8FFB5FE8"/>
    <w:rsid w:val="8FFF2E7B"/>
    <w:rsid w:val="91FE6101"/>
    <w:rsid w:val="9346BFB7"/>
    <w:rsid w:val="935FFD9A"/>
    <w:rsid w:val="937F18FD"/>
    <w:rsid w:val="93EBDD38"/>
    <w:rsid w:val="95B9C797"/>
    <w:rsid w:val="95D26E2A"/>
    <w:rsid w:val="95FF2349"/>
    <w:rsid w:val="97DF1702"/>
    <w:rsid w:val="97FF767B"/>
    <w:rsid w:val="993D6512"/>
    <w:rsid w:val="9B5324A8"/>
    <w:rsid w:val="9B7D5B95"/>
    <w:rsid w:val="9BDFD176"/>
    <w:rsid w:val="9BFFA5AF"/>
    <w:rsid w:val="9D7DBE7B"/>
    <w:rsid w:val="9DE6BB5C"/>
    <w:rsid w:val="9DEEA930"/>
    <w:rsid w:val="9E86AEA0"/>
    <w:rsid w:val="9FAFFADC"/>
    <w:rsid w:val="9FBF177F"/>
    <w:rsid w:val="9FBF3EEA"/>
    <w:rsid w:val="9FDBFA67"/>
    <w:rsid w:val="9FF7CE95"/>
    <w:rsid w:val="9FFF239F"/>
    <w:rsid w:val="A3F795E7"/>
    <w:rsid w:val="A522F507"/>
    <w:rsid w:val="A56B58BC"/>
    <w:rsid w:val="A5FFA7E1"/>
    <w:rsid w:val="AB8C883A"/>
    <w:rsid w:val="ACBD1D7B"/>
    <w:rsid w:val="AD7FAE10"/>
    <w:rsid w:val="ADBDAB2F"/>
    <w:rsid w:val="ADF62821"/>
    <w:rsid w:val="ADFF1102"/>
    <w:rsid w:val="ADFFD75B"/>
    <w:rsid w:val="AE7F6AA5"/>
    <w:rsid w:val="AEB97FC6"/>
    <w:rsid w:val="AEE7F59F"/>
    <w:rsid w:val="AEEF788A"/>
    <w:rsid w:val="AFBD9E67"/>
    <w:rsid w:val="AFCDFA02"/>
    <w:rsid w:val="AFDF2F23"/>
    <w:rsid w:val="AFE32D89"/>
    <w:rsid w:val="AFE72680"/>
    <w:rsid w:val="AFFBF1DC"/>
    <w:rsid w:val="AFFFA5C7"/>
    <w:rsid w:val="B1B309F8"/>
    <w:rsid w:val="B1FC3C29"/>
    <w:rsid w:val="B2DBC69E"/>
    <w:rsid w:val="B5B57F68"/>
    <w:rsid w:val="B5B98A3D"/>
    <w:rsid w:val="B5EF7906"/>
    <w:rsid w:val="B6737035"/>
    <w:rsid w:val="B6AEBCAF"/>
    <w:rsid w:val="B6FFF192"/>
    <w:rsid w:val="B7B330E7"/>
    <w:rsid w:val="B7BC283C"/>
    <w:rsid w:val="B7D6C1E8"/>
    <w:rsid w:val="B7DFF803"/>
    <w:rsid w:val="B7F00D27"/>
    <w:rsid w:val="B7F20113"/>
    <w:rsid w:val="B7FBBCFD"/>
    <w:rsid w:val="B7FF3281"/>
    <w:rsid w:val="B7FF581C"/>
    <w:rsid w:val="B9D29282"/>
    <w:rsid w:val="B9E310CB"/>
    <w:rsid w:val="B9EB770C"/>
    <w:rsid w:val="BA6B4849"/>
    <w:rsid w:val="BA7FF1C0"/>
    <w:rsid w:val="BA9D1934"/>
    <w:rsid w:val="BAFA6FD7"/>
    <w:rsid w:val="BB6F6845"/>
    <w:rsid w:val="BB8F5497"/>
    <w:rsid w:val="BBEA33E0"/>
    <w:rsid w:val="BBFD37ED"/>
    <w:rsid w:val="BBFE4401"/>
    <w:rsid w:val="BBFF5BEB"/>
    <w:rsid w:val="BBFF9247"/>
    <w:rsid w:val="BBFFD73C"/>
    <w:rsid w:val="BCDEE392"/>
    <w:rsid w:val="BD6CAA59"/>
    <w:rsid w:val="BDBF2F88"/>
    <w:rsid w:val="BDEFC820"/>
    <w:rsid w:val="BE3E0B21"/>
    <w:rsid w:val="BEBBE9BA"/>
    <w:rsid w:val="BEF7FA7F"/>
    <w:rsid w:val="BEFB8CB0"/>
    <w:rsid w:val="BEFD15BB"/>
    <w:rsid w:val="BEFFE72E"/>
    <w:rsid w:val="BF334904"/>
    <w:rsid w:val="BF530A3A"/>
    <w:rsid w:val="BF5DEB5F"/>
    <w:rsid w:val="BF73910C"/>
    <w:rsid w:val="BF7F02B0"/>
    <w:rsid w:val="BF8EE063"/>
    <w:rsid w:val="BFA6C871"/>
    <w:rsid w:val="BFAB2E6C"/>
    <w:rsid w:val="BFAFB998"/>
    <w:rsid w:val="BFB2A940"/>
    <w:rsid w:val="BFCDF1FB"/>
    <w:rsid w:val="BFDEE87E"/>
    <w:rsid w:val="BFDF6E94"/>
    <w:rsid w:val="BFEF4FDB"/>
    <w:rsid w:val="BFEF82CE"/>
    <w:rsid w:val="BFEFF2BA"/>
    <w:rsid w:val="BFF5943F"/>
    <w:rsid w:val="BFF672F3"/>
    <w:rsid w:val="BFF7C2FA"/>
    <w:rsid w:val="BFFA3D16"/>
    <w:rsid w:val="BFFD97C7"/>
    <w:rsid w:val="BFFDDA05"/>
    <w:rsid w:val="BFFDDD63"/>
    <w:rsid w:val="BFFE2ECD"/>
    <w:rsid w:val="BFFE9632"/>
    <w:rsid w:val="BFFF07A0"/>
    <w:rsid w:val="BFFF5B24"/>
    <w:rsid w:val="BFFF8ECB"/>
    <w:rsid w:val="C2C95F8B"/>
    <w:rsid w:val="C3DF8342"/>
    <w:rsid w:val="C3ED876C"/>
    <w:rsid w:val="C61FEB81"/>
    <w:rsid w:val="C6724BBD"/>
    <w:rsid w:val="C6BE25E8"/>
    <w:rsid w:val="C8EBE89D"/>
    <w:rsid w:val="C8FF0AA8"/>
    <w:rsid w:val="C94D6574"/>
    <w:rsid w:val="CABEC2F6"/>
    <w:rsid w:val="CAD5AA4D"/>
    <w:rsid w:val="CBF5D351"/>
    <w:rsid w:val="CD4A323B"/>
    <w:rsid w:val="CDCBDF43"/>
    <w:rsid w:val="CDEFC843"/>
    <w:rsid w:val="CDF6F702"/>
    <w:rsid w:val="CDFD7B66"/>
    <w:rsid w:val="CE5E298C"/>
    <w:rsid w:val="CF3E2BFB"/>
    <w:rsid w:val="CF7FE8D8"/>
    <w:rsid w:val="CFF79784"/>
    <w:rsid w:val="CFF7A5EA"/>
    <w:rsid w:val="CFFF455F"/>
    <w:rsid w:val="D08FB6F6"/>
    <w:rsid w:val="D17CCE6E"/>
    <w:rsid w:val="D31B9BD1"/>
    <w:rsid w:val="D3B92F03"/>
    <w:rsid w:val="D3DBE4BA"/>
    <w:rsid w:val="D3E8FA49"/>
    <w:rsid w:val="D3FEE25F"/>
    <w:rsid w:val="D3FFE1A6"/>
    <w:rsid w:val="D5A8FA87"/>
    <w:rsid w:val="D5B3D9C6"/>
    <w:rsid w:val="D5FF36BC"/>
    <w:rsid w:val="D645EDB8"/>
    <w:rsid w:val="D677EE06"/>
    <w:rsid w:val="D68F1197"/>
    <w:rsid w:val="D6FFEA6C"/>
    <w:rsid w:val="D7AFD04A"/>
    <w:rsid w:val="D7EF7C07"/>
    <w:rsid w:val="D9DD63EB"/>
    <w:rsid w:val="DAE824CC"/>
    <w:rsid w:val="DAF96610"/>
    <w:rsid w:val="DB57359C"/>
    <w:rsid w:val="DB96991A"/>
    <w:rsid w:val="DB9D32AC"/>
    <w:rsid w:val="DBDF473F"/>
    <w:rsid w:val="DBE7112D"/>
    <w:rsid w:val="DBEF7BAD"/>
    <w:rsid w:val="DBF164A6"/>
    <w:rsid w:val="DBF7CFE5"/>
    <w:rsid w:val="DBFCEF36"/>
    <w:rsid w:val="DBFD0118"/>
    <w:rsid w:val="DBFE3C6C"/>
    <w:rsid w:val="DC6BF30C"/>
    <w:rsid w:val="DCDF5175"/>
    <w:rsid w:val="DCF92E35"/>
    <w:rsid w:val="DCFDCD4A"/>
    <w:rsid w:val="DD774D21"/>
    <w:rsid w:val="DD9F4B2A"/>
    <w:rsid w:val="DD9F80DE"/>
    <w:rsid w:val="DDAFE2F3"/>
    <w:rsid w:val="DDBF121A"/>
    <w:rsid w:val="DDBF3308"/>
    <w:rsid w:val="DDD3F0E7"/>
    <w:rsid w:val="DDDE9B58"/>
    <w:rsid w:val="DDDEC9F8"/>
    <w:rsid w:val="DDDFC0E3"/>
    <w:rsid w:val="DDF94E7C"/>
    <w:rsid w:val="DDFD19EC"/>
    <w:rsid w:val="DDFED0DA"/>
    <w:rsid w:val="DDFFB5D8"/>
    <w:rsid w:val="DE4D8BF2"/>
    <w:rsid w:val="DE5DE437"/>
    <w:rsid w:val="DE5F1D9E"/>
    <w:rsid w:val="DE773717"/>
    <w:rsid w:val="DE7CDECA"/>
    <w:rsid w:val="DE7F0931"/>
    <w:rsid w:val="DEA74410"/>
    <w:rsid w:val="DEAB3CBC"/>
    <w:rsid w:val="DEBEB4B1"/>
    <w:rsid w:val="DEEE9074"/>
    <w:rsid w:val="DEFF4CA7"/>
    <w:rsid w:val="DF3FF2BE"/>
    <w:rsid w:val="DF5F9BBE"/>
    <w:rsid w:val="DF67F1F0"/>
    <w:rsid w:val="DF6B462A"/>
    <w:rsid w:val="DF7F37C2"/>
    <w:rsid w:val="DF7FA1C2"/>
    <w:rsid w:val="DF7FB612"/>
    <w:rsid w:val="DF83F38D"/>
    <w:rsid w:val="DFADC6DD"/>
    <w:rsid w:val="DFAF0CF1"/>
    <w:rsid w:val="DFB3D5AB"/>
    <w:rsid w:val="DFCE86C3"/>
    <w:rsid w:val="DFDF5468"/>
    <w:rsid w:val="DFEB1D2A"/>
    <w:rsid w:val="DFEE9219"/>
    <w:rsid w:val="DFEF00B6"/>
    <w:rsid w:val="DFF7A606"/>
    <w:rsid w:val="DFF80C61"/>
    <w:rsid w:val="DFF9FF96"/>
    <w:rsid w:val="DFFC30C4"/>
    <w:rsid w:val="DFFFF00C"/>
    <w:rsid w:val="E2989819"/>
    <w:rsid w:val="E2EB514A"/>
    <w:rsid w:val="E3DD06FF"/>
    <w:rsid w:val="E3FBB87A"/>
    <w:rsid w:val="E53F7FF5"/>
    <w:rsid w:val="E5EE640E"/>
    <w:rsid w:val="E5FB54FD"/>
    <w:rsid w:val="E5FE06E2"/>
    <w:rsid w:val="E5FFE567"/>
    <w:rsid w:val="E6B7357E"/>
    <w:rsid w:val="E6B98493"/>
    <w:rsid w:val="E6BB62E2"/>
    <w:rsid w:val="E6F52650"/>
    <w:rsid w:val="E6FBED33"/>
    <w:rsid w:val="E6FCE62E"/>
    <w:rsid w:val="E7DE01CA"/>
    <w:rsid w:val="E7DEA898"/>
    <w:rsid w:val="E9728793"/>
    <w:rsid w:val="E99A35A5"/>
    <w:rsid w:val="E9BE76E5"/>
    <w:rsid w:val="E9CFE12E"/>
    <w:rsid w:val="EB9B2B7C"/>
    <w:rsid w:val="EBAF035D"/>
    <w:rsid w:val="EBFD6B8F"/>
    <w:rsid w:val="EBFE0B41"/>
    <w:rsid w:val="EBFF7AB7"/>
    <w:rsid w:val="ED7BECC5"/>
    <w:rsid w:val="ED8F33A0"/>
    <w:rsid w:val="EDEE5382"/>
    <w:rsid w:val="EEBBF244"/>
    <w:rsid w:val="EED51A12"/>
    <w:rsid w:val="EEF63700"/>
    <w:rsid w:val="EEFE1FEF"/>
    <w:rsid w:val="EEFEE4FC"/>
    <w:rsid w:val="EF1E9D7D"/>
    <w:rsid w:val="EF2E5C48"/>
    <w:rsid w:val="EF555442"/>
    <w:rsid w:val="EF55D343"/>
    <w:rsid w:val="EF7BBEDC"/>
    <w:rsid w:val="EF7C127C"/>
    <w:rsid w:val="EF7FC132"/>
    <w:rsid w:val="EF937ABF"/>
    <w:rsid w:val="EFB7763C"/>
    <w:rsid w:val="EFBFB097"/>
    <w:rsid w:val="EFCEF1FE"/>
    <w:rsid w:val="EFD7A5CE"/>
    <w:rsid w:val="EFDBD2D1"/>
    <w:rsid w:val="EFDDF956"/>
    <w:rsid w:val="EFDF90D6"/>
    <w:rsid w:val="EFEF0F52"/>
    <w:rsid w:val="EFF7D6AC"/>
    <w:rsid w:val="EFF7DFFA"/>
    <w:rsid w:val="EFFA2491"/>
    <w:rsid w:val="EFFE494A"/>
    <w:rsid w:val="EFFEA8C4"/>
    <w:rsid w:val="EFFF10A8"/>
    <w:rsid w:val="EFFF29D7"/>
    <w:rsid w:val="EFFF4932"/>
    <w:rsid w:val="EFFF78C8"/>
    <w:rsid w:val="EFFF91F9"/>
    <w:rsid w:val="F0BE6F5B"/>
    <w:rsid w:val="F1FF23BF"/>
    <w:rsid w:val="F1FF9EEB"/>
    <w:rsid w:val="F2777B76"/>
    <w:rsid w:val="F2BFC6AC"/>
    <w:rsid w:val="F2CBD30C"/>
    <w:rsid w:val="F2F6859E"/>
    <w:rsid w:val="F2F7CA9C"/>
    <w:rsid w:val="F36F2858"/>
    <w:rsid w:val="F37EE358"/>
    <w:rsid w:val="F3A1AD33"/>
    <w:rsid w:val="F3BFA33B"/>
    <w:rsid w:val="F3CD0F2F"/>
    <w:rsid w:val="F3DE50DB"/>
    <w:rsid w:val="F3FFE872"/>
    <w:rsid w:val="F439D9CA"/>
    <w:rsid w:val="F46FDC34"/>
    <w:rsid w:val="F4D7EB21"/>
    <w:rsid w:val="F577D4FA"/>
    <w:rsid w:val="F5B12ED0"/>
    <w:rsid w:val="F5B70A4D"/>
    <w:rsid w:val="F5BF5F17"/>
    <w:rsid w:val="F5D63673"/>
    <w:rsid w:val="F5EFE4A4"/>
    <w:rsid w:val="F5FFDEDA"/>
    <w:rsid w:val="F61F313E"/>
    <w:rsid w:val="F66D3715"/>
    <w:rsid w:val="F67D993E"/>
    <w:rsid w:val="F6BC0772"/>
    <w:rsid w:val="F6BCF7F8"/>
    <w:rsid w:val="F6CF7BEC"/>
    <w:rsid w:val="F6E7EC1D"/>
    <w:rsid w:val="F6EFD689"/>
    <w:rsid w:val="F6F97A5A"/>
    <w:rsid w:val="F6FBC9F5"/>
    <w:rsid w:val="F75BF0FE"/>
    <w:rsid w:val="F77B1B8C"/>
    <w:rsid w:val="F77ED9C0"/>
    <w:rsid w:val="F77F1B3A"/>
    <w:rsid w:val="F799195A"/>
    <w:rsid w:val="F79FF265"/>
    <w:rsid w:val="F7AB7540"/>
    <w:rsid w:val="F7AE927A"/>
    <w:rsid w:val="F7D11085"/>
    <w:rsid w:val="F7DE51FD"/>
    <w:rsid w:val="F7DF1977"/>
    <w:rsid w:val="F7DF2D85"/>
    <w:rsid w:val="F7DF4617"/>
    <w:rsid w:val="F7EDF411"/>
    <w:rsid w:val="F7F76CF7"/>
    <w:rsid w:val="F7F92E2A"/>
    <w:rsid w:val="F7FDAA61"/>
    <w:rsid w:val="F7FE5038"/>
    <w:rsid w:val="F7FFFC9C"/>
    <w:rsid w:val="F89DD45C"/>
    <w:rsid w:val="F8E53CD0"/>
    <w:rsid w:val="F8F75009"/>
    <w:rsid w:val="F8F7AEA1"/>
    <w:rsid w:val="F92FA197"/>
    <w:rsid w:val="F97F988F"/>
    <w:rsid w:val="F99B889F"/>
    <w:rsid w:val="F9A7D5D5"/>
    <w:rsid w:val="F9DFEBC8"/>
    <w:rsid w:val="F9EF1AE5"/>
    <w:rsid w:val="F9F72385"/>
    <w:rsid w:val="F9FB0C0A"/>
    <w:rsid w:val="F9FD6452"/>
    <w:rsid w:val="F9FFE506"/>
    <w:rsid w:val="FA553F3D"/>
    <w:rsid w:val="FA77D028"/>
    <w:rsid w:val="FA7D6DAA"/>
    <w:rsid w:val="FA9F7E7F"/>
    <w:rsid w:val="FAA6ABBB"/>
    <w:rsid w:val="FABF1CAC"/>
    <w:rsid w:val="FABF3501"/>
    <w:rsid w:val="FAF1A200"/>
    <w:rsid w:val="FAFEA23A"/>
    <w:rsid w:val="FB272DD5"/>
    <w:rsid w:val="FB3FA3D1"/>
    <w:rsid w:val="FB5DB352"/>
    <w:rsid w:val="FB5FA625"/>
    <w:rsid w:val="FB6FA29C"/>
    <w:rsid w:val="FB6FD045"/>
    <w:rsid w:val="FB7785FE"/>
    <w:rsid w:val="FB7D92C4"/>
    <w:rsid w:val="FB9D45B1"/>
    <w:rsid w:val="FB9EFE74"/>
    <w:rsid w:val="FBAF51CE"/>
    <w:rsid w:val="FBBEE6BE"/>
    <w:rsid w:val="FBC32627"/>
    <w:rsid w:val="FBCF276B"/>
    <w:rsid w:val="FBDD94FB"/>
    <w:rsid w:val="FBE35A23"/>
    <w:rsid w:val="FBE82075"/>
    <w:rsid w:val="FBEDAE24"/>
    <w:rsid w:val="FBEF664F"/>
    <w:rsid w:val="FBF245DA"/>
    <w:rsid w:val="FBF300B2"/>
    <w:rsid w:val="FBF7ED85"/>
    <w:rsid w:val="FBFBD07D"/>
    <w:rsid w:val="FBFDD8EC"/>
    <w:rsid w:val="FBFE530A"/>
    <w:rsid w:val="FC679EED"/>
    <w:rsid w:val="FC6F55C4"/>
    <w:rsid w:val="FC9F0248"/>
    <w:rsid w:val="FCBD125D"/>
    <w:rsid w:val="FCFD72D7"/>
    <w:rsid w:val="FCFF02B9"/>
    <w:rsid w:val="FD178401"/>
    <w:rsid w:val="FD2FB3AB"/>
    <w:rsid w:val="FD3E0276"/>
    <w:rsid w:val="FD3FD88A"/>
    <w:rsid w:val="FD4EC24F"/>
    <w:rsid w:val="FD5F6517"/>
    <w:rsid w:val="FD7152C3"/>
    <w:rsid w:val="FD7B469B"/>
    <w:rsid w:val="FD7F5427"/>
    <w:rsid w:val="FDB20C62"/>
    <w:rsid w:val="FDB3FB2D"/>
    <w:rsid w:val="FDB58CC0"/>
    <w:rsid w:val="FDBFFB3E"/>
    <w:rsid w:val="FDC1817F"/>
    <w:rsid w:val="FDC20F36"/>
    <w:rsid w:val="FDDC43D6"/>
    <w:rsid w:val="FDDD5DC7"/>
    <w:rsid w:val="FDDEA106"/>
    <w:rsid w:val="FDE783A0"/>
    <w:rsid w:val="FDEC5E21"/>
    <w:rsid w:val="FDED7B48"/>
    <w:rsid w:val="FDEFDA06"/>
    <w:rsid w:val="FDF42FDB"/>
    <w:rsid w:val="FDF72975"/>
    <w:rsid w:val="FDF86401"/>
    <w:rsid w:val="FDF974EA"/>
    <w:rsid w:val="FDFABE02"/>
    <w:rsid w:val="FDFBED65"/>
    <w:rsid w:val="FDFCB9F9"/>
    <w:rsid w:val="FDFF05FA"/>
    <w:rsid w:val="FE3BB763"/>
    <w:rsid w:val="FE57F615"/>
    <w:rsid w:val="FE5D2747"/>
    <w:rsid w:val="FE7B6C48"/>
    <w:rsid w:val="FE7F31AE"/>
    <w:rsid w:val="FE7F78D3"/>
    <w:rsid w:val="FE8F954D"/>
    <w:rsid w:val="FE9F7A4A"/>
    <w:rsid w:val="FEA7453C"/>
    <w:rsid w:val="FEAF4284"/>
    <w:rsid w:val="FEB9EDF1"/>
    <w:rsid w:val="FED6FB32"/>
    <w:rsid w:val="FEDF3673"/>
    <w:rsid w:val="FEED9C26"/>
    <w:rsid w:val="FEEF3B66"/>
    <w:rsid w:val="FEEF969E"/>
    <w:rsid w:val="FEEFA99E"/>
    <w:rsid w:val="FEF2E050"/>
    <w:rsid w:val="FEF66F8E"/>
    <w:rsid w:val="FEF6B1A5"/>
    <w:rsid w:val="FEFB914B"/>
    <w:rsid w:val="FEFCFEA4"/>
    <w:rsid w:val="FEFD64DC"/>
    <w:rsid w:val="FEFFA78C"/>
    <w:rsid w:val="FF0F51D2"/>
    <w:rsid w:val="FF139F27"/>
    <w:rsid w:val="FF1E2C55"/>
    <w:rsid w:val="FF3F239C"/>
    <w:rsid w:val="FF4B2B29"/>
    <w:rsid w:val="FF553E09"/>
    <w:rsid w:val="FF5F1853"/>
    <w:rsid w:val="FF5F75C7"/>
    <w:rsid w:val="FF671CC0"/>
    <w:rsid w:val="FF6ED6FA"/>
    <w:rsid w:val="FF71A6C0"/>
    <w:rsid w:val="FF7719E8"/>
    <w:rsid w:val="FF773393"/>
    <w:rsid w:val="FF776E61"/>
    <w:rsid w:val="FF7D39D0"/>
    <w:rsid w:val="FF7E2560"/>
    <w:rsid w:val="FF7EBFEE"/>
    <w:rsid w:val="FF7FBCBB"/>
    <w:rsid w:val="FF8F3F7B"/>
    <w:rsid w:val="FF9DFCE7"/>
    <w:rsid w:val="FF9F001E"/>
    <w:rsid w:val="FF9F54E6"/>
    <w:rsid w:val="FFA514D2"/>
    <w:rsid w:val="FFA6F268"/>
    <w:rsid w:val="FFABB302"/>
    <w:rsid w:val="FFAFBDE7"/>
    <w:rsid w:val="FFAFEFF8"/>
    <w:rsid w:val="FFB37809"/>
    <w:rsid w:val="FFB56232"/>
    <w:rsid w:val="FFB71C02"/>
    <w:rsid w:val="FFB7554C"/>
    <w:rsid w:val="FFB79515"/>
    <w:rsid w:val="FFB7BA08"/>
    <w:rsid w:val="FFB8373A"/>
    <w:rsid w:val="FFB8EB21"/>
    <w:rsid w:val="FFBB0C2D"/>
    <w:rsid w:val="FFBB549B"/>
    <w:rsid w:val="FFBF8C4C"/>
    <w:rsid w:val="FFBFAADA"/>
    <w:rsid w:val="FFC71780"/>
    <w:rsid w:val="FFCC5FD0"/>
    <w:rsid w:val="FFCE4743"/>
    <w:rsid w:val="FFCF973E"/>
    <w:rsid w:val="FFCFA25E"/>
    <w:rsid w:val="FFD35988"/>
    <w:rsid w:val="FFD3BA2F"/>
    <w:rsid w:val="FFD7DDC4"/>
    <w:rsid w:val="FFD8B71D"/>
    <w:rsid w:val="FFDCE459"/>
    <w:rsid w:val="FFDE233D"/>
    <w:rsid w:val="FFDEA2B3"/>
    <w:rsid w:val="FFDF64AA"/>
    <w:rsid w:val="FFDFC5A4"/>
    <w:rsid w:val="FFDFF13C"/>
    <w:rsid w:val="FFE54F9D"/>
    <w:rsid w:val="FFE799FD"/>
    <w:rsid w:val="FFEA0B01"/>
    <w:rsid w:val="FFEB786F"/>
    <w:rsid w:val="FFEF0D13"/>
    <w:rsid w:val="FFEF8A3C"/>
    <w:rsid w:val="FFEFEEC5"/>
    <w:rsid w:val="FFF39EF8"/>
    <w:rsid w:val="FFF6C3D9"/>
    <w:rsid w:val="FFF6D06A"/>
    <w:rsid w:val="FFF72A10"/>
    <w:rsid w:val="FFF77C1E"/>
    <w:rsid w:val="FFF88634"/>
    <w:rsid w:val="FFFB40E3"/>
    <w:rsid w:val="FFFC81F7"/>
    <w:rsid w:val="FFFCE040"/>
    <w:rsid w:val="FFFD0C8B"/>
    <w:rsid w:val="FFFD0E80"/>
    <w:rsid w:val="FFFDCFE5"/>
    <w:rsid w:val="FFFE1461"/>
    <w:rsid w:val="FFFF0838"/>
    <w:rsid w:val="FFFF10FB"/>
    <w:rsid w:val="FFFF2390"/>
    <w:rsid w:val="FFFF2AEB"/>
    <w:rsid w:val="FFFF463B"/>
    <w:rsid w:val="FFFF4719"/>
    <w:rsid w:val="FFFF50CB"/>
    <w:rsid w:val="FFFF6C2F"/>
    <w:rsid w:val="FFFF7110"/>
    <w:rsid w:val="FFFFCD45"/>
    <w:rsid w:val="FFFFEEFE"/>
    <w:rsid w:val="FFFFFA5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560" w:lineRule="exact"/>
      <w:ind w:firstLine="632" w:firstLineChars="200"/>
      <w:jc w:val="both"/>
    </w:pPr>
    <w:rPr>
      <w:rFonts w:ascii="仿宋_GB2312" w:hAnsi="仿宋" w:eastAsia="仿宋_GB2312" w:cs="仿宋"/>
      <w:kern w:val="2"/>
      <w:sz w:val="28"/>
      <w:szCs w:val="28"/>
      <w:lang w:val="en-US" w:eastAsia="zh-CN" w:bidi="ar-SA"/>
    </w:rPr>
  </w:style>
  <w:style w:type="paragraph" w:styleId="3">
    <w:name w:val="heading 1"/>
    <w:basedOn w:val="1"/>
    <w:next w:val="1"/>
    <w:link w:val="38"/>
    <w:qFormat/>
    <w:uiPriority w:val="0"/>
    <w:pPr>
      <w:keepNext/>
      <w:keepLines/>
      <w:spacing w:before="340" w:after="330" w:line="578" w:lineRule="auto"/>
      <w:outlineLvl w:val="0"/>
    </w:pPr>
    <w:rPr>
      <w:rFonts w:ascii="Times New Roman" w:hAnsi="Times New Roman" w:cs="Times New Roman"/>
      <w:b/>
      <w:bCs/>
      <w:kern w:val="44"/>
      <w:sz w:val="44"/>
      <w:szCs w:val="44"/>
    </w:rPr>
  </w:style>
  <w:style w:type="paragraph" w:styleId="4">
    <w:name w:val="heading 2"/>
    <w:basedOn w:val="1"/>
    <w:next w:val="1"/>
    <w:link w:val="39"/>
    <w:unhideWhenUsed/>
    <w:qFormat/>
    <w:uiPriority w:val="0"/>
    <w:pPr>
      <w:keepNext/>
      <w:keepLines/>
      <w:spacing w:before="260" w:after="260" w:line="416" w:lineRule="auto"/>
      <w:outlineLvl w:val="1"/>
    </w:pPr>
    <w:rPr>
      <w:rFonts w:ascii="Cambria" w:hAnsi="Cambria" w:eastAsia="宋体" w:cs="Times New Roman"/>
      <w:b/>
      <w:bCs/>
      <w:sz w:val="32"/>
      <w:szCs w:val="32"/>
    </w:rPr>
  </w:style>
  <w:style w:type="paragraph" w:styleId="5">
    <w:name w:val="heading 3"/>
    <w:basedOn w:val="1"/>
    <w:next w:val="1"/>
    <w:link w:val="37"/>
    <w:unhideWhenUsed/>
    <w:qFormat/>
    <w:uiPriority w:val="0"/>
    <w:pPr>
      <w:keepNext/>
      <w:keepLines/>
      <w:spacing w:before="260" w:after="260" w:line="416" w:lineRule="auto"/>
      <w:outlineLvl w:val="2"/>
    </w:pPr>
    <w:rPr>
      <w:b/>
      <w:bCs/>
      <w:sz w:val="32"/>
      <w:szCs w:val="32"/>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unhideWhenUsed/>
    <w:qFormat/>
    <w:uiPriority w:val="99"/>
    <w:pPr>
      <w:spacing w:line="580" w:lineRule="exact"/>
      <w:ind w:firstLine="640"/>
    </w:pPr>
  </w:style>
  <w:style w:type="paragraph" w:styleId="6">
    <w:name w:val="caption"/>
    <w:basedOn w:val="1"/>
    <w:next w:val="1"/>
    <w:qFormat/>
    <w:uiPriority w:val="0"/>
    <w:rPr>
      <w:rFonts w:ascii="Arial" w:hAnsi="Arial" w:eastAsia="黑体" w:cs="Arial"/>
      <w:sz w:val="20"/>
      <w:szCs w:val="20"/>
    </w:rPr>
  </w:style>
  <w:style w:type="paragraph" w:styleId="7">
    <w:name w:val="Document Map"/>
    <w:basedOn w:val="1"/>
    <w:link w:val="42"/>
    <w:qFormat/>
    <w:uiPriority w:val="0"/>
    <w:rPr>
      <w:rFonts w:ascii="宋体" w:hAnsi="Times New Roman" w:eastAsia="宋体" w:cs="Times New Roman"/>
      <w:sz w:val="18"/>
      <w:szCs w:val="18"/>
    </w:rPr>
  </w:style>
  <w:style w:type="paragraph" w:styleId="8">
    <w:name w:val="annotation text"/>
    <w:basedOn w:val="1"/>
    <w:link w:val="45"/>
    <w:qFormat/>
    <w:uiPriority w:val="0"/>
    <w:pPr>
      <w:jc w:val="left"/>
    </w:pPr>
    <w:rPr>
      <w:rFonts w:ascii="Times New Roman" w:hAnsi="Times New Roman" w:cs="Times New Roman"/>
      <w:sz w:val="32"/>
      <w:szCs w:val="24"/>
    </w:rPr>
  </w:style>
  <w:style w:type="paragraph" w:styleId="9">
    <w:name w:val="Body Text Indent"/>
    <w:basedOn w:val="1"/>
    <w:link w:val="51"/>
    <w:qFormat/>
    <w:uiPriority w:val="0"/>
    <w:pPr>
      <w:ind w:firstLine="720"/>
    </w:pPr>
    <w:rPr>
      <w:rFonts w:ascii="Times New Roman" w:hAnsi="Times New Roman" w:cs="Times New Roman"/>
      <w:b/>
      <w:bCs/>
      <w:sz w:val="32"/>
      <w:szCs w:val="24"/>
    </w:rPr>
  </w:style>
  <w:style w:type="paragraph" w:styleId="10">
    <w:name w:val="toc 3"/>
    <w:basedOn w:val="1"/>
    <w:next w:val="1"/>
    <w:qFormat/>
    <w:uiPriority w:val="0"/>
    <w:pPr>
      <w:widowControl/>
      <w:overflowPunct w:val="0"/>
      <w:autoSpaceDE w:val="0"/>
      <w:autoSpaceDN w:val="0"/>
      <w:adjustRightInd w:val="0"/>
      <w:spacing w:after="240"/>
      <w:ind w:left="840" w:leftChars="400"/>
      <w:textAlignment w:val="baseline"/>
    </w:pPr>
    <w:rPr>
      <w:rFonts w:ascii="Times New Roman" w:hAnsi="Times New Roman" w:cs="Times New Roman"/>
      <w:kern w:val="0"/>
      <w:sz w:val="24"/>
      <w:szCs w:val="20"/>
    </w:rPr>
  </w:style>
  <w:style w:type="paragraph" w:styleId="11">
    <w:name w:val="Plain Text"/>
    <w:basedOn w:val="1"/>
    <w:link w:val="40"/>
    <w:qFormat/>
    <w:uiPriority w:val="0"/>
    <w:rPr>
      <w:rFonts w:ascii="宋体" w:hAnsi="Courier New" w:eastAsia="宋体" w:cs="Times New Roman"/>
      <w:szCs w:val="21"/>
    </w:rPr>
  </w:style>
  <w:style w:type="paragraph" w:styleId="12">
    <w:name w:val="Date"/>
    <w:basedOn w:val="1"/>
    <w:next w:val="1"/>
    <w:link w:val="53"/>
    <w:qFormat/>
    <w:uiPriority w:val="0"/>
    <w:pPr>
      <w:ind w:left="100" w:leftChars="2500"/>
    </w:pPr>
    <w:rPr>
      <w:rFonts w:hAnsi="Times New Roman" w:cs="Times New Roman"/>
      <w:sz w:val="32"/>
      <w:szCs w:val="24"/>
    </w:rPr>
  </w:style>
  <w:style w:type="paragraph" w:styleId="13">
    <w:name w:val="Body Text Indent 2"/>
    <w:basedOn w:val="1"/>
    <w:link w:val="52"/>
    <w:qFormat/>
    <w:uiPriority w:val="0"/>
    <w:pPr>
      <w:spacing w:line="640" w:lineRule="exact"/>
      <w:ind w:firstLine="720"/>
    </w:pPr>
    <w:rPr>
      <w:rFonts w:hAnsi="Times New Roman" w:cs="Times New Roman"/>
      <w:b/>
      <w:bCs/>
      <w:sz w:val="36"/>
      <w:szCs w:val="24"/>
    </w:rPr>
  </w:style>
  <w:style w:type="paragraph" w:styleId="14">
    <w:name w:val="Balloon Text"/>
    <w:basedOn w:val="1"/>
    <w:link w:val="35"/>
    <w:semiHidden/>
    <w:unhideWhenUsed/>
    <w:qFormat/>
    <w:uiPriority w:val="0"/>
    <w:rPr>
      <w:sz w:val="18"/>
      <w:szCs w:val="18"/>
    </w:rPr>
  </w:style>
  <w:style w:type="paragraph" w:styleId="15">
    <w:name w:val="footer"/>
    <w:basedOn w:val="1"/>
    <w:link w:val="34"/>
    <w:unhideWhenUsed/>
    <w:qFormat/>
    <w:uiPriority w:val="99"/>
    <w:pPr>
      <w:tabs>
        <w:tab w:val="center" w:pos="4153"/>
        <w:tab w:val="right" w:pos="8306"/>
      </w:tabs>
      <w:jc w:val="left"/>
    </w:pPr>
    <w:rPr>
      <w:sz w:val="18"/>
      <w:szCs w:val="18"/>
    </w:rPr>
  </w:style>
  <w:style w:type="paragraph" w:styleId="16">
    <w:name w:val="header"/>
    <w:basedOn w:val="1"/>
    <w:link w:val="33"/>
    <w:unhideWhenUsed/>
    <w:qFormat/>
    <w:uiPriority w:val="0"/>
    <w:pPr>
      <w:pBdr>
        <w:bottom w:val="single" w:color="auto" w:sz="6" w:space="1"/>
      </w:pBdr>
      <w:tabs>
        <w:tab w:val="center" w:pos="4153"/>
        <w:tab w:val="right" w:pos="8306"/>
      </w:tabs>
      <w:jc w:val="center"/>
    </w:pPr>
    <w:rPr>
      <w:sz w:val="18"/>
      <w:szCs w:val="18"/>
    </w:rPr>
  </w:style>
  <w:style w:type="paragraph" w:styleId="17">
    <w:name w:val="toc 1"/>
    <w:basedOn w:val="1"/>
    <w:next w:val="1"/>
    <w:qFormat/>
    <w:uiPriority w:val="39"/>
    <w:pPr>
      <w:widowControl/>
      <w:overflowPunct w:val="0"/>
      <w:autoSpaceDE w:val="0"/>
      <w:autoSpaceDN w:val="0"/>
      <w:adjustRightInd w:val="0"/>
      <w:spacing w:after="240"/>
      <w:textAlignment w:val="baseline"/>
    </w:pPr>
    <w:rPr>
      <w:rFonts w:ascii="Times New Roman" w:hAnsi="Times New Roman" w:eastAsia="黑体" w:cs="Times New Roman"/>
      <w:kern w:val="0"/>
      <w:sz w:val="24"/>
      <w:szCs w:val="20"/>
    </w:rPr>
  </w:style>
  <w:style w:type="paragraph" w:styleId="18">
    <w:name w:val="footnote text"/>
    <w:basedOn w:val="1"/>
    <w:link w:val="48"/>
    <w:qFormat/>
    <w:uiPriority w:val="0"/>
    <w:pPr>
      <w:overflowPunct w:val="0"/>
      <w:autoSpaceDE w:val="0"/>
      <w:autoSpaceDN w:val="0"/>
      <w:adjustRightInd w:val="0"/>
      <w:jc w:val="left"/>
      <w:textAlignment w:val="baseline"/>
    </w:pPr>
    <w:rPr>
      <w:rFonts w:ascii="CG Times (WN)" w:hAnsi="CG Times (WN)" w:eastAsia="宋体" w:cs="Times New Roman"/>
      <w:kern w:val="0"/>
      <w:sz w:val="20"/>
      <w:szCs w:val="20"/>
    </w:rPr>
  </w:style>
  <w:style w:type="paragraph" w:styleId="19">
    <w:name w:val="Body Text Indent 3"/>
    <w:basedOn w:val="1"/>
    <w:link w:val="50"/>
    <w:qFormat/>
    <w:uiPriority w:val="0"/>
    <w:pPr>
      <w:ind w:firstLine="640"/>
    </w:pPr>
    <w:rPr>
      <w:rFonts w:ascii="Times New Roman" w:hAnsi="Times New Roman" w:cs="Times New Roman"/>
      <w:sz w:val="32"/>
      <w:szCs w:val="24"/>
    </w:rPr>
  </w:style>
  <w:style w:type="paragraph" w:styleId="20">
    <w:name w:val="toc 2"/>
    <w:basedOn w:val="1"/>
    <w:next w:val="1"/>
    <w:qFormat/>
    <w:uiPriority w:val="39"/>
    <w:pPr>
      <w:widowControl/>
      <w:overflowPunct w:val="0"/>
      <w:autoSpaceDE w:val="0"/>
      <w:autoSpaceDN w:val="0"/>
      <w:adjustRightInd w:val="0"/>
      <w:spacing w:after="240"/>
      <w:ind w:left="420" w:leftChars="200"/>
      <w:textAlignment w:val="baseline"/>
    </w:pPr>
    <w:rPr>
      <w:rFonts w:ascii="Times New Roman" w:hAnsi="Times New Roman" w:eastAsia="楷体_GB2312" w:cs="Times New Roman"/>
      <w:kern w:val="0"/>
      <w:sz w:val="24"/>
      <w:szCs w:val="20"/>
    </w:rPr>
  </w:style>
  <w:style w:type="paragraph" w:styleId="21">
    <w:name w:val="Body Text 2"/>
    <w:basedOn w:val="1"/>
    <w:link w:val="49"/>
    <w:qFormat/>
    <w:uiPriority w:val="0"/>
    <w:pPr>
      <w:spacing w:after="120" w:line="480" w:lineRule="auto"/>
    </w:pPr>
    <w:rPr>
      <w:rFonts w:ascii="Times New Roman" w:hAnsi="Times New Roman" w:cs="Times New Roman"/>
      <w:sz w:val="24"/>
      <w:szCs w:val="20"/>
    </w:rPr>
  </w:style>
  <w:style w:type="paragraph" w:styleId="22">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23">
    <w:name w:val="Title"/>
    <w:basedOn w:val="1"/>
    <w:next w:val="1"/>
    <w:link w:val="43"/>
    <w:qFormat/>
    <w:uiPriority w:val="0"/>
    <w:pPr>
      <w:spacing w:before="240" w:after="60"/>
      <w:jc w:val="center"/>
      <w:outlineLvl w:val="0"/>
    </w:pPr>
    <w:rPr>
      <w:rFonts w:ascii="Cambria" w:hAnsi="Cambria" w:eastAsia="宋体" w:cs="Times New Roman"/>
      <w:b/>
      <w:bCs/>
      <w:sz w:val="32"/>
      <w:szCs w:val="32"/>
    </w:rPr>
  </w:style>
  <w:style w:type="paragraph" w:styleId="24">
    <w:name w:val="annotation subject"/>
    <w:basedOn w:val="8"/>
    <w:next w:val="8"/>
    <w:link w:val="47"/>
    <w:qFormat/>
    <w:uiPriority w:val="0"/>
    <w:rPr>
      <w:b/>
      <w:bCs/>
    </w:rPr>
  </w:style>
  <w:style w:type="table" w:styleId="26">
    <w:name w:val="Table Grid"/>
    <w:basedOn w:val="25"/>
    <w:qFormat/>
    <w:uiPriority w:val="0"/>
    <w:pPr>
      <w:tabs>
        <w:tab w:val="left" w:pos="360"/>
        <w:tab w:val="left" w:pos="720"/>
      </w:tabs>
      <w:overflowPunct w:val="0"/>
      <w:autoSpaceDE w:val="0"/>
      <w:autoSpaceDN w:val="0"/>
      <w:adjustRightInd w:val="0"/>
      <w:spacing w:after="240"/>
      <w:jc w:val="both"/>
      <w:textAlignment w:val="baseline"/>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page number"/>
    <w:qFormat/>
    <w:uiPriority w:val="0"/>
  </w:style>
  <w:style w:type="character" w:styleId="30">
    <w:name w:val="Hyperlink"/>
    <w:basedOn w:val="27"/>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basedOn w:val="27"/>
    <w:qFormat/>
    <w:uiPriority w:val="0"/>
    <w:rPr>
      <w:position w:val="6"/>
      <w:sz w:val="16"/>
    </w:rPr>
  </w:style>
  <w:style w:type="character" w:customStyle="1" w:styleId="33">
    <w:name w:val="页眉 字符"/>
    <w:basedOn w:val="27"/>
    <w:link w:val="16"/>
    <w:qFormat/>
    <w:uiPriority w:val="0"/>
    <w:rPr>
      <w:sz w:val="18"/>
      <w:szCs w:val="18"/>
    </w:rPr>
  </w:style>
  <w:style w:type="character" w:customStyle="1" w:styleId="34">
    <w:name w:val="页脚 字符"/>
    <w:basedOn w:val="27"/>
    <w:link w:val="15"/>
    <w:qFormat/>
    <w:uiPriority w:val="99"/>
    <w:rPr>
      <w:sz w:val="18"/>
      <w:szCs w:val="18"/>
    </w:rPr>
  </w:style>
  <w:style w:type="character" w:customStyle="1" w:styleId="35">
    <w:name w:val="批注框文本 字符"/>
    <w:basedOn w:val="27"/>
    <w:link w:val="14"/>
    <w:semiHidden/>
    <w:qFormat/>
    <w:uiPriority w:val="99"/>
    <w:rPr>
      <w:sz w:val="18"/>
      <w:szCs w:val="18"/>
    </w:rPr>
  </w:style>
  <w:style w:type="paragraph" w:customStyle="1" w:styleId="36">
    <w:name w:val="样式3"/>
    <w:basedOn w:val="5"/>
    <w:qFormat/>
    <w:uiPriority w:val="0"/>
    <w:rPr>
      <w:rFonts w:ascii="Times New Roman" w:hAnsi="Times New Roman" w:eastAsia="宋体" w:cs="Times New Roman"/>
    </w:rPr>
  </w:style>
  <w:style w:type="character" w:customStyle="1" w:styleId="37">
    <w:name w:val="标题 3 字符"/>
    <w:basedOn w:val="27"/>
    <w:link w:val="5"/>
    <w:semiHidden/>
    <w:qFormat/>
    <w:uiPriority w:val="0"/>
    <w:rPr>
      <w:b/>
      <w:bCs/>
      <w:sz w:val="32"/>
      <w:szCs w:val="32"/>
    </w:rPr>
  </w:style>
  <w:style w:type="character" w:customStyle="1" w:styleId="38">
    <w:name w:val="标题 1 字符"/>
    <w:basedOn w:val="27"/>
    <w:link w:val="3"/>
    <w:qFormat/>
    <w:uiPriority w:val="0"/>
    <w:rPr>
      <w:rFonts w:ascii="Times New Roman" w:hAnsi="Times New Roman" w:eastAsia="仿宋_GB2312" w:cs="Times New Roman"/>
      <w:b/>
      <w:bCs/>
      <w:kern w:val="44"/>
      <w:sz w:val="44"/>
      <w:szCs w:val="44"/>
    </w:rPr>
  </w:style>
  <w:style w:type="character" w:customStyle="1" w:styleId="39">
    <w:name w:val="标题 2 字符"/>
    <w:basedOn w:val="27"/>
    <w:link w:val="4"/>
    <w:qFormat/>
    <w:uiPriority w:val="0"/>
    <w:rPr>
      <w:rFonts w:ascii="Cambria" w:hAnsi="Cambria" w:eastAsia="宋体" w:cs="Times New Roman"/>
      <w:b/>
      <w:bCs/>
      <w:sz w:val="32"/>
      <w:szCs w:val="32"/>
    </w:rPr>
  </w:style>
  <w:style w:type="character" w:customStyle="1" w:styleId="40">
    <w:name w:val="纯文本 字符"/>
    <w:basedOn w:val="27"/>
    <w:link w:val="11"/>
    <w:qFormat/>
    <w:uiPriority w:val="0"/>
    <w:rPr>
      <w:rFonts w:ascii="宋体" w:hAnsi="Courier New" w:eastAsia="宋体" w:cs="Times New Roman"/>
      <w:szCs w:val="21"/>
    </w:rPr>
  </w:style>
  <w:style w:type="paragraph" w:styleId="41">
    <w:name w:val="List Paragraph"/>
    <w:basedOn w:val="1"/>
    <w:qFormat/>
    <w:uiPriority w:val="34"/>
    <w:pPr>
      <w:ind w:firstLine="420"/>
    </w:pPr>
    <w:rPr>
      <w:rFonts w:ascii="Calibri" w:hAnsi="Calibri" w:eastAsia="宋体" w:cs="Times New Roman"/>
    </w:rPr>
  </w:style>
  <w:style w:type="character" w:customStyle="1" w:styleId="42">
    <w:name w:val="文档结构图 字符"/>
    <w:basedOn w:val="27"/>
    <w:link w:val="7"/>
    <w:qFormat/>
    <w:uiPriority w:val="0"/>
    <w:rPr>
      <w:rFonts w:ascii="宋体" w:hAnsi="Times New Roman" w:eastAsia="宋体" w:cs="Times New Roman"/>
      <w:sz w:val="18"/>
      <w:szCs w:val="18"/>
    </w:rPr>
  </w:style>
  <w:style w:type="character" w:customStyle="1" w:styleId="43">
    <w:name w:val="标题 字符"/>
    <w:basedOn w:val="27"/>
    <w:link w:val="23"/>
    <w:qFormat/>
    <w:uiPriority w:val="0"/>
    <w:rPr>
      <w:rFonts w:ascii="Cambria" w:hAnsi="Cambria" w:eastAsia="宋体" w:cs="Times New Roman"/>
      <w:b/>
      <w:bCs/>
      <w:sz w:val="32"/>
      <w:szCs w:val="32"/>
    </w:rPr>
  </w:style>
  <w:style w:type="paragraph" w:customStyle="1" w:styleId="44">
    <w:name w:val="Char Char Char Char Char Char Char Char Char Char Char Char Char"/>
    <w:basedOn w:val="1"/>
    <w:qFormat/>
    <w:uiPriority w:val="0"/>
    <w:rPr>
      <w:rFonts w:ascii="Tahoma" w:hAnsi="Tahoma" w:eastAsia="宋体" w:cs="Times New Roman"/>
      <w:szCs w:val="24"/>
    </w:rPr>
  </w:style>
  <w:style w:type="character" w:customStyle="1" w:styleId="45">
    <w:name w:val="批注文字 字符"/>
    <w:basedOn w:val="27"/>
    <w:link w:val="8"/>
    <w:qFormat/>
    <w:uiPriority w:val="0"/>
    <w:rPr>
      <w:rFonts w:ascii="Times New Roman" w:hAnsi="Times New Roman" w:eastAsia="仿宋_GB2312" w:cs="Times New Roman"/>
      <w:sz w:val="32"/>
      <w:szCs w:val="24"/>
    </w:rPr>
  </w:style>
  <w:style w:type="character" w:customStyle="1" w:styleId="46">
    <w:name w:val="批注主题 Char"/>
    <w:basedOn w:val="45"/>
    <w:semiHidden/>
    <w:qFormat/>
    <w:uiPriority w:val="99"/>
    <w:rPr>
      <w:rFonts w:ascii="Times New Roman" w:hAnsi="Times New Roman" w:eastAsia="仿宋_GB2312" w:cs="Times New Roman"/>
      <w:b/>
      <w:bCs/>
      <w:sz w:val="32"/>
      <w:szCs w:val="24"/>
    </w:rPr>
  </w:style>
  <w:style w:type="character" w:customStyle="1" w:styleId="47">
    <w:name w:val="批注主题 字符"/>
    <w:link w:val="24"/>
    <w:qFormat/>
    <w:uiPriority w:val="0"/>
    <w:rPr>
      <w:rFonts w:ascii="Times New Roman" w:hAnsi="Times New Roman" w:eastAsia="仿宋_GB2312" w:cs="Times New Roman"/>
      <w:b/>
      <w:bCs/>
      <w:sz w:val="32"/>
      <w:szCs w:val="24"/>
    </w:rPr>
  </w:style>
  <w:style w:type="character" w:customStyle="1" w:styleId="48">
    <w:name w:val="脚注文本 字符"/>
    <w:basedOn w:val="27"/>
    <w:link w:val="18"/>
    <w:qFormat/>
    <w:uiPriority w:val="0"/>
    <w:rPr>
      <w:rFonts w:ascii="CG Times (WN)" w:hAnsi="CG Times (WN)" w:eastAsia="宋体" w:cs="Times New Roman"/>
      <w:kern w:val="0"/>
      <w:sz w:val="20"/>
      <w:szCs w:val="20"/>
    </w:rPr>
  </w:style>
  <w:style w:type="character" w:customStyle="1" w:styleId="49">
    <w:name w:val="正文文本 2 字符"/>
    <w:basedOn w:val="27"/>
    <w:link w:val="21"/>
    <w:qFormat/>
    <w:uiPriority w:val="0"/>
    <w:rPr>
      <w:rFonts w:ascii="Times New Roman" w:hAnsi="Times New Roman" w:eastAsia="仿宋_GB2312" w:cs="Times New Roman"/>
      <w:sz w:val="24"/>
      <w:szCs w:val="20"/>
    </w:rPr>
  </w:style>
  <w:style w:type="character" w:customStyle="1" w:styleId="50">
    <w:name w:val="正文文本缩进 3 字符"/>
    <w:basedOn w:val="27"/>
    <w:link w:val="19"/>
    <w:qFormat/>
    <w:uiPriority w:val="0"/>
    <w:rPr>
      <w:rFonts w:ascii="Times New Roman" w:hAnsi="Times New Roman" w:eastAsia="仿宋_GB2312" w:cs="Times New Roman"/>
      <w:sz w:val="32"/>
      <w:szCs w:val="24"/>
    </w:rPr>
  </w:style>
  <w:style w:type="character" w:customStyle="1" w:styleId="51">
    <w:name w:val="正文文本缩进 字符"/>
    <w:basedOn w:val="27"/>
    <w:link w:val="9"/>
    <w:qFormat/>
    <w:uiPriority w:val="0"/>
    <w:rPr>
      <w:rFonts w:ascii="Times New Roman" w:hAnsi="Times New Roman" w:eastAsia="仿宋_GB2312" w:cs="Times New Roman"/>
      <w:b/>
      <w:bCs/>
      <w:sz w:val="32"/>
      <w:szCs w:val="24"/>
    </w:rPr>
  </w:style>
  <w:style w:type="character" w:customStyle="1" w:styleId="52">
    <w:name w:val="正文文本缩进 2 字符"/>
    <w:basedOn w:val="27"/>
    <w:link w:val="13"/>
    <w:qFormat/>
    <w:uiPriority w:val="0"/>
    <w:rPr>
      <w:rFonts w:ascii="仿宋_GB2312" w:hAnsi="Times New Roman" w:eastAsia="仿宋_GB2312" w:cs="Times New Roman"/>
      <w:b/>
      <w:bCs/>
      <w:sz w:val="36"/>
      <w:szCs w:val="24"/>
    </w:rPr>
  </w:style>
  <w:style w:type="character" w:customStyle="1" w:styleId="53">
    <w:name w:val="日期 字符"/>
    <w:basedOn w:val="27"/>
    <w:link w:val="12"/>
    <w:qFormat/>
    <w:uiPriority w:val="0"/>
    <w:rPr>
      <w:rFonts w:ascii="仿宋_GB2312" w:hAnsi="Times New Roman" w:eastAsia="仿宋_GB2312" w:cs="Times New Roman"/>
      <w:sz w:val="32"/>
      <w:szCs w:val="24"/>
    </w:rPr>
  </w:style>
  <w:style w:type="paragraph" w:customStyle="1" w:styleId="54">
    <w:name w:val="han"/>
    <w:basedOn w:val="1"/>
    <w:qFormat/>
    <w:uiPriority w:val="0"/>
    <w:rPr>
      <w:rFonts w:ascii="宋体" w:hAnsi="宋体"/>
      <w:sz w:val="24"/>
    </w:rPr>
  </w:style>
  <w:style w:type="paragraph" w:customStyle="1" w:styleId="55">
    <w:name w:val="修订1"/>
    <w:hidden/>
    <w:unhideWhenUsed/>
    <w:uiPriority w:val="99"/>
    <w:rPr>
      <w:rFonts w:ascii="仿宋_GB2312" w:hAnsi="仿宋" w:eastAsia="仿宋_GB2312" w:cs="仿宋"/>
      <w:kern w:val="2"/>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2047</Words>
  <Characters>11674</Characters>
  <Lines>97</Lines>
  <Paragraphs>27</Paragraphs>
  <TotalTime>720</TotalTime>
  <ScaleCrop>false</ScaleCrop>
  <LinksUpToDate>false</LinksUpToDate>
  <CharactersWithSpaces>13694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2025-05-02T00:57:00Z</dcterms:created>
  <dc:creator>Thinkpad</dc:creator>
  <cp:lastModifiedBy>IN</cp:lastModifiedBy>
  <cp:lastPrinted>2021-12-06T01:02:00Z</cp:lastPrinted>
  <dcterms:modified xsi:type="dcterms:W3CDTF">2025-09-14T15:23:32Z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KSOTemplateDocerSaveRecord">
    <vt:lpwstr>eyJoZGlkIjoiZmYzYThhY2Q0ZGQ2ZGM4NzgxOTM0NjUxMzNjODUwYjUiLCJ1c2VySWQiOiIxMjUyOTI5MzYyIn0=</vt:lpwstr>
  </property>
  <property fmtid="{D5CDD505-2E9C-101B-9397-08002B2CF9AE}" pid="4" name="ICV">
    <vt:lpwstr>DEAA97A6B44B4252B5A1D12F65F900F6_12</vt:lpwstr>
  </property>
</Properties>
</file>