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同登制度汇编202602</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上海同登九和私募基金管理有限公司</w:t>
      </w:r>
    </w:p>
    <w:p>
      <w:pPr>
        <w:spacing w:before="120" w:after="120" w:line="288" w:lineRule="auto"/>
        <w:ind w:left="0" w:firstLine="0"/>
        <w:jc w:val="center"/>
      </w:pPr>
      <w:r>
        <w:rPr>
          <w:rFonts w:eastAsia="等线" w:ascii="Arial" w:cs="Arial" w:hAnsi="Arial"/>
          <w:b w:val="true"/>
          <w:sz w:val="22"/>
        </w:rPr>
        <w:t>Tongdeng Jiuhe Private Equity Fund Management CO., Ltd</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制度汇编手册（202</w:t>
      </w:r>
      <w:r>
        <w:rPr>
          <w:rFonts w:eastAsia="等线" w:ascii="Arial" w:cs="Arial" w:hAnsi="Arial"/>
          <w:b w:val="true"/>
          <w:sz w:val="22"/>
        </w:rPr>
        <w:t>6</w:t>
      </w:r>
      <w:r>
        <w:rPr>
          <w:rFonts w:eastAsia="等线" w:ascii="Arial" w:cs="Arial" w:hAnsi="Arial"/>
          <w:b w:val="true"/>
          <w:sz w:val="22"/>
        </w:rPr>
        <w:t>修订）</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二零二</w:t>
      </w:r>
      <w:r>
        <w:rPr>
          <w:rFonts w:eastAsia="等线" w:ascii="Arial" w:cs="Arial" w:hAnsi="Arial"/>
          <w:b w:val="true"/>
          <w:sz w:val="22"/>
        </w:rPr>
        <w:t>六</w:t>
      </w:r>
      <w:r>
        <w:rPr>
          <w:rFonts w:eastAsia="等线" w:ascii="Arial" w:cs="Arial" w:hAnsi="Arial"/>
          <w:b w:val="true"/>
          <w:sz w:val="22"/>
        </w:rPr>
        <w:t>年</w:t>
      </w:r>
      <w:r>
        <w:rPr>
          <w:rFonts w:eastAsia="等线" w:ascii="Arial" w:cs="Arial" w:hAnsi="Arial"/>
          <w:b w:val="true"/>
          <w:sz w:val="22"/>
        </w:rPr>
        <w:t>二</w:t>
      </w:r>
      <w:r>
        <w:rPr>
          <w:rFonts w:eastAsia="等线" w:ascii="Arial" w:cs="Arial" w:hAnsi="Arial"/>
          <w:b w:val="true"/>
          <w:sz w:val="22"/>
        </w:rPr>
        <w:t>月</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第一编 治理制度5</w:t>
      </w:r>
    </w:p>
    <w:p>
      <w:pPr>
        <w:spacing w:before="120" w:after="120" w:line="288" w:lineRule="auto"/>
        <w:ind w:left="0" w:firstLine="0"/>
        <w:jc w:val="left"/>
      </w:pPr>
      <w:r>
        <w:rPr>
          <w:rFonts w:eastAsia="等线" w:ascii="Arial" w:cs="Arial" w:hAnsi="Arial"/>
          <w:sz w:val="22"/>
        </w:rPr>
        <w:t>第一章 企业文化5</w:t>
      </w:r>
    </w:p>
    <w:p>
      <w:pPr>
        <w:spacing w:before="120" w:after="120" w:line="288" w:lineRule="auto"/>
        <w:ind w:left="0" w:firstLine="0"/>
        <w:jc w:val="left"/>
      </w:pPr>
      <w:r>
        <w:rPr>
          <w:rFonts w:eastAsia="等线" w:ascii="Arial" w:cs="Arial" w:hAnsi="Arial"/>
          <w:sz w:val="22"/>
        </w:rPr>
        <w:t>第一节 公司简介5</w:t>
      </w:r>
    </w:p>
    <w:p>
      <w:pPr>
        <w:spacing w:before="120" w:after="120" w:line="288" w:lineRule="auto"/>
        <w:ind w:left="0" w:firstLine="0"/>
        <w:jc w:val="left"/>
      </w:pPr>
      <w:r>
        <w:rPr>
          <w:rFonts w:eastAsia="等线" w:ascii="Arial" w:cs="Arial" w:hAnsi="Arial"/>
          <w:sz w:val="22"/>
        </w:rPr>
        <w:t>第二节 管理理念6</w:t>
      </w:r>
    </w:p>
    <w:p>
      <w:pPr>
        <w:spacing w:before="120" w:after="120" w:line="288" w:lineRule="auto"/>
        <w:ind w:left="0" w:firstLine="0"/>
        <w:jc w:val="left"/>
      </w:pPr>
      <w:r>
        <w:rPr>
          <w:rFonts w:eastAsia="等线" w:ascii="Arial" w:cs="Arial" w:hAnsi="Arial"/>
          <w:sz w:val="22"/>
        </w:rPr>
        <w:t>第三节 经营理念7</w:t>
      </w:r>
    </w:p>
    <w:p>
      <w:pPr>
        <w:spacing w:before="120" w:after="120" w:line="288" w:lineRule="auto"/>
        <w:ind w:left="0" w:firstLine="0"/>
        <w:jc w:val="left"/>
      </w:pPr>
      <w:r>
        <w:rPr>
          <w:rFonts w:eastAsia="等线" w:ascii="Arial" w:cs="Arial" w:hAnsi="Arial"/>
          <w:sz w:val="22"/>
        </w:rPr>
        <w:t>第二编 经营制度9</w:t>
      </w:r>
    </w:p>
    <w:p>
      <w:pPr>
        <w:spacing w:before="120" w:after="120" w:line="288" w:lineRule="auto"/>
        <w:ind w:left="0" w:firstLine="0"/>
        <w:jc w:val="left"/>
      </w:pPr>
      <w:r>
        <w:rPr>
          <w:rFonts w:eastAsia="等线" w:ascii="Arial" w:cs="Arial" w:hAnsi="Arial"/>
          <w:sz w:val="22"/>
        </w:rPr>
        <w:t>第一章 基金管理人合规制度9</w:t>
      </w:r>
    </w:p>
    <w:p>
      <w:pPr>
        <w:spacing w:before="120" w:after="120" w:line="288" w:lineRule="auto"/>
        <w:ind w:left="0" w:firstLine="0"/>
        <w:jc w:val="left"/>
      </w:pPr>
      <w:r>
        <w:rPr>
          <w:rFonts w:eastAsia="等线" w:ascii="Arial" w:cs="Arial" w:hAnsi="Arial"/>
          <w:sz w:val="22"/>
        </w:rPr>
        <w:t>第一节 风险控制管理制度9</w:t>
      </w:r>
    </w:p>
    <w:p>
      <w:pPr>
        <w:spacing w:before="120" w:after="120" w:line="288" w:lineRule="auto"/>
        <w:ind w:left="0" w:firstLine="0"/>
        <w:jc w:val="left"/>
      </w:pPr>
      <w:r>
        <w:rPr>
          <w:rFonts w:eastAsia="等线" w:ascii="Arial" w:cs="Arial" w:hAnsi="Arial"/>
          <w:sz w:val="22"/>
        </w:rPr>
        <w:t>第二节 信息披露管理制度17</w:t>
      </w:r>
    </w:p>
    <w:p>
      <w:pPr>
        <w:spacing w:before="120" w:after="120" w:line="288" w:lineRule="auto"/>
        <w:ind w:left="0" w:firstLine="0"/>
        <w:jc w:val="left"/>
      </w:pPr>
      <w:r>
        <w:rPr>
          <w:rFonts w:eastAsia="等线" w:ascii="Arial" w:cs="Arial" w:hAnsi="Arial"/>
          <w:sz w:val="22"/>
        </w:rPr>
        <w:t>第三节 内部交易记录制度22</w:t>
      </w:r>
    </w:p>
    <w:p>
      <w:pPr>
        <w:spacing w:before="120" w:after="120" w:line="288" w:lineRule="auto"/>
        <w:ind w:left="0" w:firstLine="0"/>
        <w:jc w:val="left"/>
      </w:pPr>
      <w:r>
        <w:rPr>
          <w:rFonts w:eastAsia="等线" w:ascii="Arial" w:cs="Arial" w:hAnsi="Arial"/>
          <w:sz w:val="22"/>
        </w:rPr>
        <w:t>第四节 防范内幕交易及利益冲突的投资交易制度24</w:t>
      </w:r>
    </w:p>
    <w:p>
      <w:pPr>
        <w:spacing w:before="120" w:after="120" w:line="288" w:lineRule="auto"/>
        <w:ind w:left="0" w:firstLine="0"/>
        <w:jc w:val="left"/>
      </w:pPr>
      <w:r>
        <w:rPr>
          <w:rFonts w:eastAsia="等线" w:ascii="Arial" w:cs="Arial" w:hAnsi="Arial"/>
          <w:sz w:val="22"/>
        </w:rPr>
        <w:t>第五节 合格投资者风险揭示制度30</w:t>
      </w:r>
    </w:p>
    <w:p>
      <w:pPr>
        <w:spacing w:before="120" w:after="120" w:line="288" w:lineRule="auto"/>
        <w:ind w:left="0" w:firstLine="0"/>
        <w:jc w:val="left"/>
      </w:pPr>
      <w:r>
        <w:rPr>
          <w:rFonts w:eastAsia="等线" w:ascii="Arial" w:cs="Arial" w:hAnsi="Arial"/>
          <w:sz w:val="22"/>
        </w:rPr>
        <w:t>第六节 合格投资者内部审核流程及相关制度33</w:t>
      </w:r>
    </w:p>
    <w:p>
      <w:pPr>
        <w:spacing w:before="120" w:after="120" w:line="288" w:lineRule="auto"/>
        <w:ind w:left="0" w:firstLine="0"/>
        <w:jc w:val="left"/>
      </w:pPr>
      <w:r>
        <w:rPr>
          <w:rFonts w:eastAsia="等线" w:ascii="Arial" w:cs="Arial" w:hAnsi="Arial"/>
          <w:sz w:val="22"/>
        </w:rPr>
        <w:t>第七节 私募基金宣传推介、募集相关规范制度37</w:t>
      </w:r>
    </w:p>
    <w:p>
      <w:pPr>
        <w:spacing w:before="120" w:after="120" w:line="288" w:lineRule="auto"/>
        <w:ind w:left="0" w:firstLine="0"/>
        <w:jc w:val="left"/>
      </w:pPr>
      <w:r>
        <w:rPr>
          <w:rFonts w:eastAsia="等线" w:ascii="Arial" w:cs="Arial" w:hAnsi="Arial"/>
          <w:sz w:val="22"/>
        </w:rPr>
        <w:t>第八节 基金托管与外包业务管理制度46</w:t>
      </w:r>
    </w:p>
    <w:p>
      <w:pPr>
        <w:spacing w:before="120" w:after="120" w:line="288" w:lineRule="auto"/>
        <w:ind w:left="0" w:firstLine="0"/>
        <w:jc w:val="left"/>
      </w:pPr>
      <w:r>
        <w:rPr>
          <w:rFonts w:eastAsia="等线" w:ascii="Arial" w:cs="Arial" w:hAnsi="Arial"/>
          <w:sz w:val="22"/>
        </w:rPr>
        <w:t>第九节 项目尽职调查以及估值制度52</w:t>
      </w:r>
    </w:p>
    <w:p>
      <w:pPr>
        <w:spacing w:before="120" w:after="120" w:line="288" w:lineRule="auto"/>
        <w:ind w:left="0" w:firstLine="0"/>
        <w:jc w:val="left"/>
      </w:pPr>
      <w:r>
        <w:rPr>
          <w:rFonts w:eastAsia="等线" w:ascii="Arial" w:cs="Arial" w:hAnsi="Arial"/>
          <w:sz w:val="22"/>
        </w:rPr>
        <w:t>第十节 关联交易管理制度56</w:t>
      </w:r>
    </w:p>
    <w:p>
      <w:pPr>
        <w:spacing w:before="120" w:after="120" w:line="288" w:lineRule="auto"/>
        <w:ind w:left="0" w:firstLine="0"/>
        <w:jc w:val="left"/>
      </w:pPr>
      <w:r>
        <w:rPr>
          <w:rFonts w:eastAsia="等线" w:ascii="Arial" w:cs="Arial" w:hAnsi="Arial"/>
          <w:sz w:val="22"/>
        </w:rPr>
        <w:t>第十一节 私募基金产品风险评级制度61</w:t>
      </w:r>
    </w:p>
    <w:p>
      <w:pPr>
        <w:spacing w:before="120" w:after="120" w:line="288" w:lineRule="auto"/>
        <w:ind w:left="0" w:firstLine="0"/>
        <w:jc w:val="left"/>
      </w:pPr>
      <w:r>
        <w:rPr>
          <w:rFonts w:eastAsia="等线" w:ascii="Arial" w:cs="Arial" w:hAnsi="Arial"/>
          <w:sz w:val="22"/>
        </w:rPr>
        <w:t>第十二节 非居民金融账户涉税信息（CRS)尽职调查、报送制度65</w:t>
      </w:r>
    </w:p>
    <w:p>
      <w:pPr>
        <w:spacing w:before="120" w:after="120" w:line="288" w:lineRule="auto"/>
        <w:ind w:left="0" w:firstLine="0"/>
        <w:jc w:val="left"/>
      </w:pPr>
      <w:r>
        <w:rPr>
          <w:rFonts w:eastAsia="等线" w:ascii="Arial" w:cs="Arial" w:hAnsi="Arial"/>
          <w:sz w:val="22"/>
        </w:rPr>
        <w:t>第十三节 从业人员管理制度72</w:t>
      </w:r>
    </w:p>
    <w:p>
      <w:pPr>
        <w:spacing w:before="120" w:after="120" w:line="288" w:lineRule="auto"/>
        <w:ind w:left="0" w:firstLine="0"/>
        <w:jc w:val="left"/>
      </w:pPr>
      <w:r>
        <w:rPr>
          <w:rFonts w:eastAsia="等线" w:ascii="Arial" w:cs="Arial" w:hAnsi="Arial"/>
          <w:sz w:val="22"/>
        </w:rPr>
        <w:t>第二章 投资管理78</w:t>
      </w:r>
    </w:p>
    <w:p>
      <w:pPr>
        <w:spacing w:before="120" w:after="120" w:line="288" w:lineRule="auto"/>
        <w:ind w:left="0" w:firstLine="0"/>
        <w:jc w:val="left"/>
      </w:pPr>
      <w:r>
        <w:rPr>
          <w:rFonts w:eastAsia="等线" w:ascii="Arial" w:cs="Arial" w:hAnsi="Arial"/>
          <w:sz w:val="22"/>
        </w:rPr>
        <w:t>第一节 投资理念与方法论78</w:t>
      </w:r>
    </w:p>
    <w:p>
      <w:pPr>
        <w:spacing w:before="120" w:after="120" w:line="288" w:lineRule="auto"/>
        <w:ind w:left="0" w:firstLine="0"/>
        <w:jc w:val="left"/>
      </w:pPr>
      <w:r>
        <w:rPr>
          <w:rFonts w:eastAsia="等线" w:ascii="Arial" w:cs="Arial" w:hAnsi="Arial"/>
          <w:sz w:val="22"/>
        </w:rPr>
        <w:t>第二节 投资管理规定85</w:t>
      </w:r>
    </w:p>
    <w:p>
      <w:pPr>
        <w:spacing w:before="120" w:after="120" w:line="288" w:lineRule="auto"/>
        <w:ind w:left="0" w:firstLine="0"/>
        <w:jc w:val="left"/>
      </w:pPr>
      <w:r>
        <w:rPr>
          <w:rFonts w:eastAsia="等线" w:ascii="Arial" w:cs="Arial" w:hAnsi="Arial"/>
          <w:sz w:val="22"/>
        </w:rPr>
        <w:t>第三节 项目库管理制度91</w:t>
      </w:r>
    </w:p>
    <w:p>
      <w:pPr>
        <w:spacing w:before="120" w:after="120" w:line="288" w:lineRule="auto"/>
        <w:ind w:left="0" w:firstLine="0"/>
        <w:jc w:val="left"/>
      </w:pPr>
      <w:r>
        <w:rPr>
          <w:rFonts w:eastAsia="等线" w:ascii="Arial" w:cs="Arial" w:hAnsi="Arial"/>
          <w:sz w:val="22"/>
        </w:rPr>
        <w:t>第四节 资源库管理制度93</w:t>
      </w:r>
    </w:p>
    <w:p>
      <w:pPr>
        <w:spacing w:before="120" w:after="120" w:line="288" w:lineRule="auto"/>
        <w:ind w:left="0" w:firstLine="0"/>
        <w:jc w:val="left"/>
      </w:pPr>
      <w:r>
        <w:rPr>
          <w:rFonts w:eastAsia="等线" w:ascii="Arial" w:cs="Arial" w:hAnsi="Arial"/>
          <w:sz w:val="22"/>
        </w:rPr>
        <w:t>第五节 投资流程管理制度95</w:t>
      </w:r>
    </w:p>
    <w:p>
      <w:pPr>
        <w:spacing w:before="120" w:after="120" w:line="288" w:lineRule="auto"/>
        <w:ind w:left="0" w:firstLine="0"/>
        <w:jc w:val="left"/>
      </w:pPr>
      <w:r>
        <w:rPr>
          <w:rFonts w:eastAsia="等线" w:ascii="Arial" w:cs="Arial" w:hAnsi="Arial"/>
          <w:sz w:val="22"/>
        </w:rPr>
        <w:t>第六节 种子期项目投资管理制度103</w:t>
      </w:r>
    </w:p>
    <w:p>
      <w:pPr>
        <w:spacing w:before="120" w:after="120" w:line="288" w:lineRule="auto"/>
        <w:ind w:left="0" w:firstLine="0"/>
        <w:jc w:val="left"/>
      </w:pPr>
      <w:r>
        <w:rPr>
          <w:rFonts w:eastAsia="等线" w:ascii="Arial" w:cs="Arial" w:hAnsi="Arial"/>
          <w:sz w:val="22"/>
        </w:rPr>
        <w:t>第七节 负面清单、调研要点及调研报告制度104</w:t>
      </w:r>
    </w:p>
    <w:p>
      <w:pPr>
        <w:spacing w:before="120" w:after="120" w:line="288" w:lineRule="auto"/>
        <w:ind w:left="0" w:firstLine="0"/>
        <w:jc w:val="left"/>
      </w:pPr>
      <w:r>
        <w:rPr>
          <w:rFonts w:eastAsia="等线" w:ascii="Arial" w:cs="Arial" w:hAnsi="Arial"/>
          <w:sz w:val="22"/>
        </w:rPr>
        <w:t>第八节 投资协议制度107</w:t>
      </w:r>
    </w:p>
    <w:p>
      <w:pPr>
        <w:spacing w:before="120" w:after="120" w:line="288" w:lineRule="auto"/>
        <w:ind w:left="0" w:firstLine="0"/>
        <w:jc w:val="left"/>
      </w:pPr>
      <w:r>
        <w:rPr>
          <w:rFonts w:eastAsia="等线" w:ascii="Arial" w:cs="Arial" w:hAnsi="Arial"/>
          <w:sz w:val="22"/>
        </w:rPr>
        <w:t>第九节 保密协议制度109</w:t>
      </w:r>
    </w:p>
    <w:p>
      <w:pPr>
        <w:spacing w:before="120" w:after="120" w:line="288" w:lineRule="auto"/>
        <w:ind w:left="0" w:firstLine="0"/>
        <w:jc w:val="left"/>
      </w:pPr>
      <w:r>
        <w:rPr>
          <w:rFonts w:eastAsia="等线" w:ascii="Arial" w:cs="Arial" w:hAnsi="Arial"/>
          <w:sz w:val="22"/>
        </w:rPr>
        <w:t>第三章 基金与投资决策管理制度110</w:t>
      </w:r>
    </w:p>
    <w:p>
      <w:pPr>
        <w:spacing w:before="120" w:after="120" w:line="288" w:lineRule="auto"/>
        <w:ind w:left="0" w:firstLine="0"/>
        <w:jc w:val="left"/>
      </w:pPr>
      <w:r>
        <w:rPr>
          <w:rFonts w:eastAsia="等线" w:ascii="Arial" w:cs="Arial" w:hAnsi="Arial"/>
          <w:sz w:val="22"/>
        </w:rPr>
        <w:t>第一节 基金管理制度110</w:t>
      </w:r>
    </w:p>
    <w:p>
      <w:pPr>
        <w:spacing w:before="120" w:after="120" w:line="288" w:lineRule="auto"/>
        <w:ind w:left="0" w:firstLine="0"/>
        <w:jc w:val="left"/>
      </w:pPr>
      <w:r>
        <w:rPr>
          <w:rFonts w:eastAsia="等线" w:ascii="Arial" w:cs="Arial" w:hAnsi="Arial"/>
          <w:sz w:val="22"/>
        </w:rPr>
        <w:t>第二节 投资决策委员会制度总则112</w:t>
      </w:r>
    </w:p>
    <w:p>
      <w:pPr>
        <w:spacing w:before="120" w:after="120" w:line="288" w:lineRule="auto"/>
        <w:ind w:left="0" w:firstLine="0"/>
        <w:jc w:val="left"/>
      </w:pPr>
      <w:r>
        <w:rPr>
          <w:rFonts w:eastAsia="等线" w:ascii="Arial" w:cs="Arial" w:hAnsi="Arial"/>
          <w:sz w:val="22"/>
        </w:rPr>
        <w:t>第四章 投后管理制度115</w:t>
      </w:r>
    </w:p>
    <w:p>
      <w:pPr>
        <w:spacing w:before="120" w:after="120" w:line="288" w:lineRule="auto"/>
        <w:ind w:left="0" w:firstLine="0"/>
        <w:jc w:val="left"/>
      </w:pPr>
      <w:r>
        <w:rPr>
          <w:rFonts w:eastAsia="等线" w:ascii="Arial" w:cs="Arial" w:hAnsi="Arial"/>
          <w:sz w:val="22"/>
        </w:rPr>
        <w:t>第一节 投后管理理念与方法论115</w:t>
      </w:r>
    </w:p>
    <w:p>
      <w:pPr>
        <w:spacing w:before="120" w:after="120" w:line="288" w:lineRule="auto"/>
        <w:ind w:left="0" w:firstLine="0"/>
        <w:jc w:val="left"/>
      </w:pPr>
      <w:r>
        <w:rPr>
          <w:rFonts w:eastAsia="等线" w:ascii="Arial" w:cs="Arial" w:hAnsi="Arial"/>
          <w:sz w:val="22"/>
        </w:rPr>
        <w:t>第二节 投后管理的主体及职责118</w:t>
      </w:r>
    </w:p>
    <w:p>
      <w:pPr>
        <w:spacing w:before="120" w:after="120" w:line="288" w:lineRule="auto"/>
        <w:ind w:left="0" w:firstLine="0"/>
        <w:jc w:val="left"/>
      </w:pPr>
      <w:r>
        <w:rPr>
          <w:rFonts w:eastAsia="等线" w:ascii="Arial" w:cs="Arial" w:hAnsi="Arial"/>
          <w:sz w:val="22"/>
        </w:rPr>
        <w:t>第三节 投后管理流程120</w:t>
      </w:r>
    </w:p>
    <w:p>
      <w:pPr>
        <w:spacing w:before="120" w:after="120" w:line="288" w:lineRule="auto"/>
        <w:ind w:left="0" w:firstLine="0"/>
        <w:jc w:val="left"/>
      </w:pPr>
      <w:r>
        <w:rPr>
          <w:rFonts w:eastAsia="等线" w:ascii="Arial" w:cs="Arial" w:hAnsi="Arial"/>
          <w:sz w:val="22"/>
        </w:rPr>
        <w:t>第四节 投后管理内容122</w:t>
      </w:r>
    </w:p>
    <w:p>
      <w:pPr>
        <w:spacing w:before="120" w:after="120" w:line="288" w:lineRule="auto"/>
        <w:ind w:left="0" w:firstLine="0"/>
        <w:jc w:val="left"/>
      </w:pPr>
      <w:r>
        <w:rPr>
          <w:rFonts w:eastAsia="等线" w:ascii="Arial" w:cs="Arial" w:hAnsi="Arial"/>
          <w:sz w:val="22"/>
        </w:rPr>
        <w:t>第五节 决策机制125</w:t>
      </w:r>
    </w:p>
    <w:p>
      <w:pPr>
        <w:spacing w:before="120" w:after="120" w:line="288" w:lineRule="auto"/>
        <w:ind w:left="0" w:firstLine="0"/>
        <w:jc w:val="left"/>
      </w:pPr>
      <w:r>
        <w:rPr>
          <w:rFonts w:eastAsia="等线" w:ascii="Arial" w:cs="Arial" w:hAnsi="Arial"/>
          <w:sz w:val="22"/>
        </w:rPr>
        <w:t>第六节 投后项目档案管理126</w:t>
      </w:r>
    </w:p>
    <w:p>
      <w:pPr>
        <w:spacing w:before="120" w:after="120" w:line="288" w:lineRule="auto"/>
        <w:ind w:left="0" w:firstLine="0"/>
        <w:jc w:val="left"/>
      </w:pPr>
      <w:r>
        <w:rPr>
          <w:rFonts w:eastAsia="等线" w:ascii="Arial" w:cs="Arial" w:hAnsi="Arial"/>
          <w:sz w:val="22"/>
        </w:rPr>
        <w:t>第五章 TBS（tongrun business system）127</w:t>
      </w:r>
    </w:p>
    <w:p>
      <w:pPr>
        <w:spacing w:before="120" w:after="120" w:line="288" w:lineRule="auto"/>
        <w:ind w:left="0" w:firstLine="0"/>
        <w:jc w:val="left"/>
      </w:pPr>
      <w:r>
        <w:rPr>
          <w:rFonts w:eastAsia="等线" w:ascii="Arial" w:cs="Arial" w:hAnsi="Arial"/>
          <w:sz w:val="22"/>
        </w:rPr>
        <w:t>第一节 综述127</w:t>
      </w:r>
    </w:p>
    <w:p>
      <w:pPr>
        <w:spacing w:before="120" w:after="120" w:line="288" w:lineRule="auto"/>
        <w:ind w:left="0" w:firstLine="0"/>
        <w:jc w:val="left"/>
      </w:pPr>
      <w:r>
        <w:rPr>
          <w:rFonts w:eastAsia="等线" w:ascii="Arial" w:cs="Arial" w:hAnsi="Arial"/>
          <w:sz w:val="22"/>
        </w:rPr>
        <w:t>第二节 价值销售制度130</w:t>
      </w:r>
    </w:p>
    <w:p>
      <w:pPr>
        <w:spacing w:before="120" w:after="120" w:line="288" w:lineRule="auto"/>
        <w:ind w:left="0" w:firstLine="0"/>
        <w:jc w:val="left"/>
      </w:pPr>
      <w:r>
        <w:rPr>
          <w:rFonts w:eastAsia="等线" w:ascii="Arial" w:cs="Arial" w:hAnsi="Arial"/>
          <w:sz w:val="22"/>
        </w:rPr>
        <w:t>第三节 制造类工业企业经营管理基础知识学习与实践132</w:t>
      </w:r>
    </w:p>
    <w:p>
      <w:pPr>
        <w:spacing w:before="120" w:after="120" w:line="288" w:lineRule="auto"/>
        <w:ind w:left="0" w:firstLine="0"/>
        <w:jc w:val="left"/>
      </w:pPr>
      <w:r>
        <w:rPr>
          <w:rFonts w:eastAsia="等线" w:ascii="Arial" w:cs="Arial" w:hAnsi="Arial"/>
          <w:sz w:val="22"/>
        </w:rPr>
        <w:t>第六章 退出管理制度134</w:t>
      </w:r>
    </w:p>
    <w:p>
      <w:pPr>
        <w:spacing w:before="120" w:after="120" w:line="288" w:lineRule="auto"/>
        <w:ind w:left="0" w:firstLine="0"/>
        <w:jc w:val="left"/>
      </w:pPr>
      <w:r>
        <w:rPr>
          <w:rFonts w:eastAsia="等线" w:ascii="Arial" w:cs="Arial" w:hAnsi="Arial"/>
          <w:sz w:val="22"/>
        </w:rPr>
        <w:t>第一节 退出策略134</w:t>
      </w:r>
    </w:p>
    <w:p>
      <w:pPr>
        <w:spacing w:before="120" w:after="120" w:line="288" w:lineRule="auto"/>
        <w:ind w:left="0" w:firstLine="0"/>
        <w:jc w:val="left"/>
      </w:pPr>
      <w:r>
        <w:rPr>
          <w:rFonts w:eastAsia="等线" w:ascii="Arial" w:cs="Arial" w:hAnsi="Arial"/>
          <w:sz w:val="22"/>
        </w:rPr>
        <w:t>第二节 退出流程135</w:t>
      </w:r>
    </w:p>
    <w:p>
      <w:pPr>
        <w:spacing w:before="120" w:after="120" w:line="288" w:lineRule="auto"/>
        <w:ind w:left="0" w:firstLine="0"/>
        <w:jc w:val="left"/>
      </w:pPr>
      <w:r>
        <w:rPr>
          <w:rFonts w:eastAsia="等线" w:ascii="Arial" w:cs="Arial" w:hAnsi="Arial"/>
          <w:sz w:val="22"/>
        </w:rPr>
        <w:t>第三节 退出定价机制136</w:t>
      </w:r>
    </w:p>
    <w:p>
      <w:pPr>
        <w:spacing w:before="120" w:after="120" w:line="288" w:lineRule="auto"/>
        <w:ind w:left="0" w:firstLine="0"/>
        <w:jc w:val="left"/>
      </w:pPr>
      <w:r>
        <w:rPr>
          <w:rFonts w:eastAsia="等线" w:ascii="Arial" w:cs="Arial" w:hAnsi="Arial"/>
          <w:sz w:val="22"/>
        </w:rPr>
        <w:t>第三编 风险控制管理制度137</w:t>
      </w:r>
    </w:p>
    <w:p>
      <w:pPr>
        <w:spacing w:before="120" w:after="120" w:line="288" w:lineRule="auto"/>
        <w:ind w:left="0" w:firstLine="0"/>
        <w:jc w:val="left"/>
      </w:pPr>
      <w:r>
        <w:rPr>
          <w:rFonts w:eastAsia="等线" w:ascii="Arial" w:cs="Arial" w:hAnsi="Arial"/>
          <w:sz w:val="22"/>
        </w:rPr>
        <w:t>第一章 风险控制的主体与职责137</w:t>
      </w:r>
    </w:p>
    <w:p>
      <w:pPr>
        <w:spacing w:before="120" w:after="120" w:line="288" w:lineRule="auto"/>
        <w:ind w:left="0" w:firstLine="0"/>
        <w:jc w:val="left"/>
      </w:pPr>
      <w:r>
        <w:rPr>
          <w:rFonts w:eastAsia="等线" w:ascii="Arial" w:cs="Arial" w:hAnsi="Arial"/>
          <w:sz w:val="22"/>
        </w:rPr>
        <w:t>第二章 基金管理人与基金的风险控制139</w:t>
      </w:r>
    </w:p>
    <w:p>
      <w:pPr>
        <w:spacing w:before="120" w:after="120" w:line="288" w:lineRule="auto"/>
        <w:ind w:left="0" w:firstLine="0"/>
        <w:jc w:val="left"/>
      </w:pPr>
      <w:r>
        <w:rPr>
          <w:rFonts w:eastAsia="等线" w:ascii="Arial" w:cs="Arial" w:hAnsi="Arial"/>
          <w:sz w:val="22"/>
        </w:rPr>
        <w:t>第三章 投资管理的风险控制140</w:t>
      </w:r>
    </w:p>
    <w:p>
      <w:pPr>
        <w:spacing w:before="120" w:after="120" w:line="288" w:lineRule="auto"/>
        <w:ind w:left="0" w:firstLine="0"/>
        <w:jc w:val="left"/>
      </w:pPr>
      <w:r>
        <w:rPr>
          <w:rFonts w:eastAsia="等线" w:ascii="Arial" w:cs="Arial" w:hAnsi="Arial"/>
          <w:sz w:val="22"/>
        </w:rPr>
        <w:t>第一节 投资阶段风险控制140</w:t>
      </w:r>
    </w:p>
    <w:p>
      <w:pPr>
        <w:spacing w:before="120" w:after="120" w:line="288" w:lineRule="auto"/>
        <w:ind w:left="0" w:firstLine="0"/>
        <w:jc w:val="left"/>
      </w:pPr>
      <w:r>
        <w:rPr>
          <w:rFonts w:eastAsia="等线" w:ascii="Arial" w:cs="Arial" w:hAnsi="Arial"/>
          <w:sz w:val="22"/>
        </w:rPr>
        <w:t>第二节 投后管理阶段风险控制142</w:t>
      </w:r>
    </w:p>
    <w:p>
      <w:pPr>
        <w:spacing w:before="120" w:after="120" w:line="288" w:lineRule="auto"/>
        <w:ind w:left="0" w:firstLine="0"/>
        <w:jc w:val="left"/>
      </w:pPr>
      <w:r>
        <w:rPr>
          <w:rFonts w:eastAsia="等线" w:ascii="Arial" w:cs="Arial" w:hAnsi="Arial"/>
          <w:sz w:val="22"/>
        </w:rPr>
        <w:t>第三节 退出阶段风险控制144</w:t>
      </w:r>
    </w:p>
    <w:p>
      <w:pPr>
        <w:spacing w:before="120" w:after="120" w:line="288" w:lineRule="auto"/>
        <w:ind w:left="0" w:firstLine="0"/>
        <w:jc w:val="left"/>
      </w:pPr>
      <w:r>
        <w:rPr>
          <w:rFonts w:eastAsia="等线" w:ascii="Arial" w:cs="Arial" w:hAnsi="Arial"/>
          <w:sz w:val="22"/>
        </w:rPr>
        <w:t>第四章 风控会议制度145</w:t>
      </w:r>
    </w:p>
    <w:p>
      <w:pPr>
        <w:spacing w:before="120" w:after="120" w:line="288" w:lineRule="auto"/>
        <w:ind w:left="0" w:firstLine="0"/>
        <w:jc w:val="left"/>
      </w:pPr>
      <w:r>
        <w:rPr>
          <w:rFonts w:eastAsia="等线" w:ascii="Arial" w:cs="Arial" w:hAnsi="Arial"/>
          <w:sz w:val="22"/>
        </w:rPr>
        <w:t>第一节 风险控制委员会决策会议制度146</w:t>
      </w:r>
    </w:p>
    <w:p>
      <w:pPr>
        <w:spacing w:before="120" w:after="120" w:line="288" w:lineRule="auto"/>
        <w:ind w:left="0" w:firstLine="0"/>
        <w:jc w:val="left"/>
      </w:pPr>
      <w:r>
        <w:rPr>
          <w:rFonts w:eastAsia="等线" w:ascii="Arial" w:cs="Arial" w:hAnsi="Arial"/>
          <w:sz w:val="22"/>
        </w:rPr>
        <w:t>第二节 投后管理沟通会149</w:t>
      </w:r>
    </w:p>
    <w:p>
      <w:pPr>
        <w:spacing w:before="120" w:after="120" w:line="288" w:lineRule="auto"/>
        <w:ind w:left="0" w:firstLine="0"/>
        <w:jc w:val="left"/>
      </w:pPr>
      <w:r>
        <w:rPr>
          <w:rFonts w:eastAsia="等线" w:ascii="Arial" w:cs="Arial" w:hAnsi="Arial"/>
          <w:sz w:val="22"/>
        </w:rPr>
        <w:t>第四编 管理制度150</w:t>
      </w:r>
    </w:p>
    <w:p>
      <w:pPr>
        <w:spacing w:before="120" w:after="120" w:line="288" w:lineRule="auto"/>
        <w:ind w:left="0" w:firstLine="0"/>
        <w:jc w:val="left"/>
      </w:pPr>
      <w:r>
        <w:rPr>
          <w:rFonts w:eastAsia="等线" w:ascii="Arial" w:cs="Arial" w:hAnsi="Arial"/>
          <w:sz w:val="22"/>
        </w:rPr>
        <w:t>第一章 制度建设监督执行管理办法150</w:t>
      </w:r>
    </w:p>
    <w:p>
      <w:pPr>
        <w:spacing w:before="120" w:after="120" w:line="288" w:lineRule="auto"/>
        <w:ind w:left="0" w:firstLine="0"/>
        <w:jc w:val="left"/>
      </w:pPr>
      <w:r>
        <w:rPr>
          <w:rFonts w:eastAsia="等线" w:ascii="Arial" w:cs="Arial" w:hAnsi="Arial"/>
          <w:sz w:val="22"/>
        </w:rPr>
        <w:t>第一节 制度分类与制度效力150</w:t>
      </w:r>
    </w:p>
    <w:p>
      <w:pPr>
        <w:spacing w:before="120" w:after="120" w:line="288" w:lineRule="auto"/>
        <w:ind w:left="0" w:firstLine="0"/>
        <w:jc w:val="left"/>
      </w:pPr>
      <w:r>
        <w:rPr>
          <w:rFonts w:eastAsia="等线" w:ascii="Arial" w:cs="Arial" w:hAnsi="Arial"/>
          <w:sz w:val="22"/>
        </w:rPr>
        <w:t>第二节 制度建设154</w:t>
      </w:r>
    </w:p>
    <w:p>
      <w:pPr>
        <w:spacing w:before="120" w:after="120" w:line="288" w:lineRule="auto"/>
        <w:ind w:left="0" w:firstLine="0"/>
        <w:jc w:val="left"/>
      </w:pPr>
      <w:r>
        <w:rPr>
          <w:rFonts w:eastAsia="等线" w:ascii="Arial" w:cs="Arial" w:hAnsi="Arial"/>
          <w:sz w:val="22"/>
        </w:rPr>
        <w:t>第三节 制度监督159</w:t>
      </w:r>
    </w:p>
    <w:p>
      <w:pPr>
        <w:spacing w:before="120" w:after="120" w:line="288" w:lineRule="auto"/>
        <w:ind w:left="0" w:firstLine="0"/>
        <w:jc w:val="left"/>
      </w:pPr>
      <w:r>
        <w:rPr>
          <w:rFonts w:eastAsia="等线" w:ascii="Arial" w:cs="Arial" w:hAnsi="Arial"/>
          <w:sz w:val="22"/>
        </w:rPr>
        <w:t>第四节 制度执行162</w:t>
      </w:r>
    </w:p>
    <w:p>
      <w:pPr>
        <w:spacing w:before="120" w:after="120" w:line="288" w:lineRule="auto"/>
        <w:ind w:left="0" w:firstLine="0"/>
        <w:jc w:val="left"/>
      </w:pPr>
      <w:r>
        <w:rPr>
          <w:rFonts w:eastAsia="等线" w:ascii="Arial" w:cs="Arial" w:hAnsi="Arial"/>
          <w:sz w:val="22"/>
        </w:rPr>
        <w:t>第二章 管理团队建设制度164</w:t>
      </w:r>
    </w:p>
    <w:p>
      <w:pPr>
        <w:spacing w:before="120" w:after="120" w:line="288" w:lineRule="auto"/>
        <w:ind w:left="0" w:firstLine="0"/>
        <w:jc w:val="left"/>
      </w:pPr>
      <w:r>
        <w:rPr>
          <w:rFonts w:eastAsia="等线" w:ascii="Arial" w:cs="Arial" w:hAnsi="Arial"/>
          <w:sz w:val="22"/>
        </w:rPr>
        <w:t>第三章 会议合作管理制度168</w:t>
      </w:r>
    </w:p>
    <w:p>
      <w:pPr>
        <w:spacing w:before="120" w:after="120" w:line="288" w:lineRule="auto"/>
        <w:ind w:left="0" w:firstLine="0"/>
        <w:jc w:val="left"/>
      </w:pPr>
      <w:r>
        <w:rPr>
          <w:rFonts w:eastAsia="等线" w:ascii="Arial" w:cs="Arial" w:hAnsi="Arial"/>
          <w:sz w:val="22"/>
        </w:rPr>
        <w:t>第一节 部门例会168</w:t>
      </w:r>
    </w:p>
    <w:p>
      <w:pPr>
        <w:spacing w:before="120" w:after="120" w:line="288" w:lineRule="auto"/>
        <w:ind w:left="0" w:firstLine="0"/>
        <w:jc w:val="left"/>
      </w:pPr>
      <w:r>
        <w:rPr>
          <w:rFonts w:eastAsia="等线" w:ascii="Arial" w:cs="Arial" w:hAnsi="Arial"/>
          <w:sz w:val="22"/>
        </w:rPr>
        <w:t>第二节 投后管理讨论会170</w:t>
      </w:r>
    </w:p>
    <w:p>
      <w:pPr>
        <w:spacing w:before="120" w:after="120" w:line="288" w:lineRule="auto"/>
        <w:ind w:left="0" w:firstLine="0"/>
        <w:jc w:val="left"/>
      </w:pPr>
      <w:r>
        <w:rPr>
          <w:rFonts w:eastAsia="等线" w:ascii="Arial" w:cs="Arial" w:hAnsi="Arial"/>
          <w:sz w:val="22"/>
        </w:rPr>
        <w:t>第三节 项目立项预备会171</w:t>
      </w:r>
    </w:p>
    <w:p>
      <w:pPr>
        <w:spacing w:before="120" w:after="120" w:line="288" w:lineRule="auto"/>
        <w:ind w:left="0" w:firstLine="0"/>
        <w:jc w:val="left"/>
      </w:pPr>
      <w:r>
        <w:rPr>
          <w:rFonts w:eastAsia="等线" w:ascii="Arial" w:cs="Arial" w:hAnsi="Arial"/>
          <w:sz w:val="22"/>
        </w:rPr>
        <w:t>第四节 项目立项会173</w:t>
      </w:r>
    </w:p>
    <w:p>
      <w:pPr>
        <w:spacing w:before="120" w:after="120" w:line="288" w:lineRule="auto"/>
        <w:ind w:left="0" w:firstLine="0"/>
        <w:jc w:val="left"/>
      </w:pPr>
      <w:r>
        <w:rPr>
          <w:rFonts w:eastAsia="等线" w:ascii="Arial" w:cs="Arial" w:hAnsi="Arial"/>
          <w:sz w:val="22"/>
        </w:rPr>
        <w:t>第五节 项目讨论会175</w:t>
      </w:r>
    </w:p>
    <w:p>
      <w:pPr>
        <w:spacing w:before="120" w:after="120" w:line="288" w:lineRule="auto"/>
        <w:ind w:left="0" w:firstLine="0"/>
        <w:jc w:val="left"/>
      </w:pPr>
      <w:r>
        <w:rPr>
          <w:rFonts w:eastAsia="等线" w:ascii="Arial" w:cs="Arial" w:hAnsi="Arial"/>
          <w:sz w:val="22"/>
        </w:rPr>
        <w:t>第六节 职工大会177</w:t>
      </w:r>
    </w:p>
    <w:p>
      <w:pPr>
        <w:spacing w:before="120" w:after="120" w:line="288" w:lineRule="auto"/>
        <w:ind w:left="0" w:firstLine="0"/>
        <w:jc w:val="left"/>
      </w:pPr>
      <w:r>
        <w:rPr>
          <w:rFonts w:eastAsia="等线" w:ascii="Arial" w:cs="Arial" w:hAnsi="Arial"/>
          <w:sz w:val="22"/>
        </w:rPr>
        <w:t>第七节 募资、退出调度会179</w:t>
      </w:r>
    </w:p>
    <w:p>
      <w:pPr>
        <w:spacing w:before="120" w:after="120" w:line="288" w:lineRule="auto"/>
        <w:ind w:left="0" w:firstLine="0"/>
        <w:jc w:val="left"/>
      </w:pPr>
      <w:r>
        <w:rPr>
          <w:rFonts w:eastAsia="等线" w:ascii="Arial" w:cs="Arial" w:hAnsi="Arial"/>
          <w:sz w:val="22"/>
        </w:rPr>
        <w:t>第四章 行政与法务180</w:t>
      </w:r>
    </w:p>
    <w:p>
      <w:pPr>
        <w:spacing w:before="120" w:after="120" w:line="288" w:lineRule="auto"/>
        <w:ind w:left="0" w:firstLine="0"/>
        <w:jc w:val="left"/>
      </w:pPr>
      <w:r>
        <w:rPr>
          <w:rFonts w:eastAsia="等线" w:ascii="Arial" w:cs="Arial" w:hAnsi="Arial"/>
          <w:sz w:val="22"/>
        </w:rPr>
        <w:t>第一节 档案管理制度180</w:t>
      </w:r>
    </w:p>
    <w:p>
      <w:pPr>
        <w:spacing w:before="120" w:after="120" w:line="288" w:lineRule="auto"/>
        <w:ind w:left="0" w:firstLine="0"/>
        <w:jc w:val="left"/>
      </w:pPr>
      <w:r>
        <w:rPr>
          <w:rFonts w:eastAsia="等线" w:ascii="Arial" w:cs="Arial" w:hAnsi="Arial"/>
          <w:sz w:val="22"/>
        </w:rPr>
        <w:t>第二节 合同管理制度184</w:t>
      </w:r>
    </w:p>
    <w:p>
      <w:pPr>
        <w:spacing w:before="120" w:after="120" w:line="288" w:lineRule="auto"/>
        <w:ind w:left="0" w:firstLine="0"/>
        <w:jc w:val="left"/>
      </w:pPr>
      <w:r>
        <w:rPr>
          <w:rFonts w:eastAsia="等线" w:ascii="Arial" w:cs="Arial" w:hAnsi="Arial"/>
          <w:sz w:val="22"/>
        </w:rPr>
        <w:t>第五章 分配制度188</w:t>
      </w:r>
    </w:p>
    <w:p>
      <w:pPr>
        <w:spacing w:before="120" w:after="120" w:line="288" w:lineRule="auto"/>
        <w:ind w:left="0" w:firstLine="0"/>
        <w:jc w:val="left"/>
      </w:pPr>
      <w:r>
        <w:rPr>
          <w:rFonts w:eastAsia="等线" w:ascii="Arial" w:cs="Arial" w:hAnsi="Arial"/>
          <w:sz w:val="22"/>
        </w:rPr>
        <w:t>第一节 股权激励办法188</w:t>
      </w:r>
    </w:p>
    <w:p>
      <w:pPr>
        <w:spacing w:before="120" w:after="120" w:line="288" w:lineRule="auto"/>
        <w:ind w:left="0" w:firstLine="0"/>
        <w:jc w:val="left"/>
      </w:pPr>
      <w:r>
        <w:rPr>
          <w:rFonts w:eastAsia="等线" w:ascii="Arial" w:cs="Arial" w:hAnsi="Arial"/>
          <w:sz w:val="22"/>
        </w:rPr>
        <w:t>第二节 同润科投股权期权激励办法189</w:t>
      </w:r>
    </w:p>
    <w:p>
      <w:pPr>
        <w:spacing w:before="120" w:after="120" w:line="288" w:lineRule="auto"/>
        <w:ind w:left="0" w:firstLine="0"/>
        <w:jc w:val="left"/>
      </w:pPr>
      <w:r>
        <w:rPr>
          <w:rFonts w:eastAsia="等线" w:ascii="Arial" w:cs="Arial" w:hAnsi="Arial"/>
          <w:sz w:val="22"/>
        </w:rPr>
        <w:t>第三节 新设基金股权激励办法参考192</w:t>
      </w:r>
    </w:p>
    <w:p>
      <w:pPr>
        <w:spacing w:before="120" w:after="120" w:line="288" w:lineRule="auto"/>
        <w:ind w:left="0" w:firstLine="0"/>
        <w:jc w:val="left"/>
      </w:pPr>
      <w:r>
        <w:rPr>
          <w:rFonts w:eastAsia="等线" w:ascii="Arial" w:cs="Arial" w:hAnsi="Arial"/>
          <w:sz w:val="22"/>
        </w:rPr>
        <w:t>第四节 公司股权及基金份额转让平台制度194</w:t>
      </w:r>
    </w:p>
    <w:p>
      <w:pPr>
        <w:spacing w:before="120" w:after="120" w:line="288" w:lineRule="auto"/>
        <w:ind w:left="0" w:firstLine="0"/>
        <w:jc w:val="left"/>
      </w:pPr>
      <w:r>
        <w:rPr>
          <w:rFonts w:eastAsia="等线" w:ascii="Arial" w:cs="Arial" w:hAnsi="Arial"/>
          <w:sz w:val="22"/>
        </w:rPr>
        <w:t>第六章 人力资源管理196</w:t>
      </w:r>
    </w:p>
    <w:p>
      <w:pPr>
        <w:spacing w:before="120" w:after="120" w:line="288" w:lineRule="auto"/>
        <w:ind w:left="0" w:firstLine="0"/>
        <w:jc w:val="left"/>
      </w:pPr>
      <w:r>
        <w:rPr>
          <w:rFonts w:eastAsia="等线" w:ascii="Arial" w:cs="Arial" w:hAnsi="Arial"/>
          <w:sz w:val="22"/>
        </w:rPr>
        <w:t>第一节 薪酬福利管理规定196</w:t>
      </w:r>
    </w:p>
    <w:p>
      <w:pPr>
        <w:spacing w:before="120" w:after="120" w:line="288" w:lineRule="auto"/>
        <w:ind w:left="0" w:firstLine="0"/>
        <w:jc w:val="left"/>
      </w:pPr>
      <w:r>
        <w:rPr>
          <w:rFonts w:eastAsia="等线" w:ascii="Arial" w:cs="Arial" w:hAnsi="Arial"/>
          <w:sz w:val="22"/>
        </w:rPr>
        <w:t>第二节 绩效考核管理规定200</w:t>
      </w:r>
    </w:p>
    <w:p>
      <w:pPr>
        <w:spacing w:before="120" w:after="120" w:line="288" w:lineRule="auto"/>
        <w:ind w:left="0" w:firstLine="0"/>
        <w:jc w:val="left"/>
      </w:pPr>
      <w:r>
        <w:rPr>
          <w:rFonts w:eastAsia="等线" w:ascii="Arial" w:cs="Arial" w:hAnsi="Arial"/>
          <w:sz w:val="22"/>
        </w:rPr>
        <w:t>第三节 培训管理制度207</w:t>
      </w:r>
    </w:p>
    <w:p>
      <w:pPr>
        <w:spacing w:before="120" w:after="120" w:line="288" w:lineRule="auto"/>
        <w:ind w:left="0" w:firstLine="0"/>
        <w:jc w:val="left"/>
      </w:pPr>
      <w:r>
        <w:rPr>
          <w:rFonts w:eastAsia="等线" w:ascii="Arial" w:cs="Arial" w:hAnsi="Arial"/>
          <w:sz w:val="22"/>
        </w:rPr>
        <w:t>第七章 财务管理制度210</w:t>
      </w:r>
    </w:p>
    <w:p>
      <w:pPr>
        <w:spacing w:before="120" w:after="120" w:line="288" w:lineRule="auto"/>
        <w:ind w:left="0" w:firstLine="0"/>
        <w:jc w:val="left"/>
      </w:pPr>
      <w:r>
        <w:rPr>
          <w:rFonts w:eastAsia="等线" w:ascii="Arial" w:cs="Arial" w:hAnsi="Arial"/>
          <w:sz w:val="22"/>
        </w:rPr>
        <w:t>第一节 预决算管理制度210</w:t>
      </w:r>
    </w:p>
    <w:p>
      <w:pPr>
        <w:spacing w:before="120" w:after="120" w:line="288" w:lineRule="auto"/>
        <w:ind w:left="0" w:firstLine="0"/>
        <w:jc w:val="left"/>
      </w:pPr>
      <w:r>
        <w:rPr>
          <w:rFonts w:eastAsia="等线" w:ascii="Arial" w:cs="Arial" w:hAnsi="Arial"/>
          <w:sz w:val="22"/>
        </w:rPr>
        <w:t>第二节 货币资金管理制度212</w:t>
      </w:r>
    </w:p>
    <w:p>
      <w:pPr>
        <w:spacing w:before="120" w:after="120" w:line="288" w:lineRule="auto"/>
        <w:ind w:left="0" w:firstLine="0"/>
        <w:jc w:val="left"/>
      </w:pPr>
      <w:r>
        <w:rPr>
          <w:rFonts w:eastAsia="等线" w:ascii="Arial" w:cs="Arial" w:hAnsi="Arial"/>
          <w:sz w:val="22"/>
        </w:rPr>
        <w:t>第三节 固定资产管理制度214</w:t>
      </w:r>
    </w:p>
    <w:p>
      <w:pPr>
        <w:spacing w:before="120" w:after="120" w:line="288" w:lineRule="auto"/>
        <w:ind w:left="0" w:firstLine="0"/>
        <w:jc w:val="left"/>
      </w:pPr>
      <w:r>
        <w:rPr>
          <w:rFonts w:eastAsia="等线" w:ascii="Arial" w:cs="Arial" w:hAnsi="Arial"/>
          <w:sz w:val="22"/>
        </w:rPr>
        <w:t>第四节 因公借款管理和发票报销制度216</w:t>
      </w:r>
    </w:p>
    <w:p>
      <w:pPr>
        <w:spacing w:before="120" w:after="120" w:line="288" w:lineRule="auto"/>
        <w:ind w:left="0" w:firstLine="0"/>
        <w:jc w:val="left"/>
      </w:pPr>
      <w:r>
        <w:rPr>
          <w:rFonts w:eastAsia="等线" w:ascii="Arial" w:cs="Arial" w:hAnsi="Arial"/>
          <w:sz w:val="22"/>
        </w:rPr>
        <w:t>第五节 财务工作交接制度220</w:t>
      </w:r>
    </w:p>
    <w:p>
      <w:pPr>
        <w:spacing w:before="120" w:after="120" w:line="288" w:lineRule="auto"/>
        <w:ind w:left="0" w:firstLine="0"/>
        <w:jc w:val="left"/>
      </w:pPr>
      <w:r>
        <w:rPr>
          <w:rFonts w:eastAsia="等线" w:ascii="Arial" w:cs="Arial" w:hAnsi="Arial"/>
          <w:sz w:val="22"/>
        </w:rPr>
        <w:t>第六节 税务管理制度222</w:t>
      </w:r>
    </w:p>
    <w:p>
      <w:pPr>
        <w:spacing w:before="120" w:after="120" w:line="288" w:lineRule="auto"/>
        <w:ind w:left="0" w:firstLine="0"/>
        <w:jc w:val="left"/>
      </w:pPr>
      <w:r>
        <w:rPr>
          <w:rFonts w:eastAsia="等线" w:ascii="Arial" w:cs="Arial" w:hAnsi="Arial"/>
          <w:sz w:val="22"/>
        </w:rPr>
        <w:t>第七节 资金借贷和担保管理办法224</w:t>
      </w:r>
    </w:p>
    <w:p>
      <w:pPr>
        <w:spacing w:before="120" w:after="120" w:line="288" w:lineRule="auto"/>
        <w:ind w:left="0" w:firstLine="0"/>
        <w:jc w:val="left"/>
      </w:pPr>
      <w:r>
        <w:rPr>
          <w:rFonts w:eastAsia="等线" w:ascii="Arial" w:cs="Arial" w:hAnsi="Arial"/>
          <w:sz w:val="22"/>
        </w:rPr>
        <w:t>第八节 财务档案管理制度225</w:t>
      </w:r>
    </w:p>
    <w:p>
      <w:pPr>
        <w:spacing w:before="120" w:after="120" w:line="288" w:lineRule="auto"/>
        <w:ind w:left="0" w:firstLine="0"/>
        <w:jc w:val="left"/>
      </w:pPr>
      <w:r>
        <w:rPr>
          <w:rFonts w:eastAsia="等线" w:ascii="Arial" w:cs="Arial" w:hAnsi="Arial"/>
          <w:sz w:val="22"/>
        </w:rPr>
        <w:t>第九节 财务凭证管理制度227</w:t>
      </w:r>
    </w:p>
    <w:p>
      <w:pPr>
        <w:spacing w:before="120" w:after="120" w:line="288" w:lineRule="auto"/>
        <w:ind w:left="0" w:firstLine="0"/>
        <w:jc w:val="left"/>
      </w:pPr>
      <w:r>
        <w:rPr>
          <w:rFonts w:eastAsia="等线" w:ascii="Arial" w:cs="Arial" w:hAnsi="Arial"/>
          <w:sz w:val="22"/>
        </w:rPr>
        <w:t>第十节 审计管理制度228</w:t>
      </w:r>
    </w:p>
    <w:p>
      <w:pPr>
        <w:pBdr>
          <w:bottom w:val="single" w:color="dee0e3"/>
          <w:between w:val="single" w:color="dee0e3"/>
        </w:pBdr>
        <w:spacing w:before="120" w:after="120" w:line="288" w:lineRule="auto"/>
        <w:ind w:left="0"/>
      </w:pP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30"/>
        <w:gridCol w:w="585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释义</w:t>
            </w:r>
          </w:p>
        </w:tc>
        <w:tc>
          <w:tcPr>
            <w:tcW w:w="58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除非本制度汇编上下文另有所指或另有定义，本制度汇编中使用的下列术语应具有以下含义：</w:t>
            </w:r>
          </w:p>
        </w:tc>
        <w:tc>
          <w:tcPr>
            <w:tcW w:w="5850" w:type="dxa"/>
            <w:hMerge w:val="continue"/>
            <w:tcMar>
              <w:top w:type="dxa" w:w="60"/>
              <w:left w:type="dxa" w:w="120"/>
              <w:bottom w:type="dxa" w:w="30"/>
              <w:right w:type="dxa" w:w="120"/>
            </w:tcMar>
          </w:tcPr>
          <w:p>
            <w:pPr>
              <w:spacing w:before="120" w:after="120" w:line="288" w:lineRule="auto"/>
              <w:ind w:left="0"/>
              <w:jc w:val="left"/>
            </w:pP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扩大会</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指常务董事扩大会。</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总经办</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指总经办办公会。</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投委会</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指投资决策委员会。</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风控委</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指风险控制委员会。</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风决会</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指风险控制委员会决策会议。</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风控部</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指合规与风险控制部</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投后小组</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指投后管理小组。</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项目方</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指创业方，统称项目方。</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立项预备会</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指预立项会、项目立项预备会，简称立项预备会。</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自然日</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提前n天</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管理类制度：维持现状</w:t>
            </w:r>
          </w:p>
          <w:p>
            <w:pPr>
              <w:spacing w:before="120" w:after="120" w:line="288" w:lineRule="auto"/>
              <w:ind w:left="0"/>
              <w:jc w:val="left"/>
            </w:pPr>
            <w:r>
              <w:rPr>
                <w:rFonts w:eastAsia="等线" w:ascii="Arial" w:cs="Arial" w:hAnsi="Arial"/>
                <w:sz w:val="22"/>
              </w:rPr>
              <w:t>经营类制度：根据具体时间（例如预立项会安排在14：30），提前24*n-6小时。</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海外项目</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项目方具有独立法人资格，且境外市场不受股东性质影响的海外融资主体（同登/同美拟投资的主体）</w:t>
            </w:r>
          </w:p>
        </w:tc>
      </w:tr>
    </w:tbl>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1"/>
        <w:spacing w:before="380" w:after="140" w:line="288" w:lineRule="auto"/>
        <w:ind w:left="0"/>
        <w:jc w:val="center"/>
        <w:outlineLvl w:val="0"/>
      </w:pPr>
      <w:bookmarkStart w:name="heading_0" w:id="0"/>
      <w:r>
        <w:rPr>
          <w:rFonts w:eastAsia="等线" w:ascii="Arial" w:cs="Arial" w:hAnsi="Arial"/>
          <w:b w:val="true"/>
          <w:sz w:val="36"/>
        </w:rPr>
        <w:t>第一编 治理制度</w:t>
      </w:r>
      <w:bookmarkEnd w:id="0"/>
    </w:p>
    <w:p>
      <w:pPr>
        <w:pStyle w:val="2"/>
        <w:spacing w:before="320" w:after="120" w:line="288" w:lineRule="auto"/>
        <w:ind w:left="0"/>
        <w:jc w:val="center"/>
        <w:outlineLvl w:val="1"/>
      </w:pPr>
      <w:bookmarkStart w:name="heading_1" w:id="1"/>
      <w:r>
        <w:rPr>
          <w:rFonts w:eastAsia="等线" w:ascii="Arial" w:cs="Arial" w:hAnsi="Arial"/>
          <w:b w:val="true"/>
          <w:sz w:val="32"/>
        </w:rPr>
        <w:t>第一章 企业文化</w:t>
      </w:r>
      <w:r>
        <w:rPr>
          <w:rFonts w:eastAsia="等线" w:ascii="Arial" w:cs="Arial" w:hAnsi="Arial"/>
          <w:b w:val="true"/>
          <w:sz w:val="32"/>
        </w:rPr>
        <w:t>（</w:t>
      </w:r>
      <w:r>
        <w:rPr>
          <w:rFonts w:eastAsia="等线" w:ascii="Arial" w:cs="Arial" w:hAnsi="Arial"/>
          <w:b w:val="true"/>
          <w:color w:val="3370ff"/>
          <w:sz w:val="32"/>
        </w:rPr>
        <w:t>@马衍金</w:t>
      </w:r>
      <w:r>
        <w:rPr>
          <w:rFonts w:eastAsia="等线" w:ascii="Arial" w:cs="Arial" w:hAnsi="Arial"/>
          <w:b w:val="true"/>
          <w:sz w:val="32"/>
        </w:rPr>
        <w:t>）（扩大会）</w:t>
      </w:r>
      <w:bookmarkEnd w:id="1"/>
    </w:p>
    <w:p>
      <w:pPr>
        <w:pStyle w:val="3"/>
        <w:spacing w:before="300" w:after="120" w:line="288" w:lineRule="auto"/>
        <w:ind w:left="0"/>
        <w:jc w:val="center"/>
        <w:outlineLvl w:val="2"/>
      </w:pPr>
      <w:bookmarkStart w:name="heading_2" w:id="2"/>
      <w:r>
        <w:rPr>
          <w:rFonts w:eastAsia="等线" w:ascii="Arial" w:cs="Arial" w:hAnsi="Arial"/>
          <w:b w:val="true"/>
          <w:sz w:val="30"/>
        </w:rPr>
        <w:t>第一节 公司简介</w:t>
      </w:r>
      <w:bookmarkEnd w:id="2"/>
    </w:p>
    <w:p>
      <w:pPr>
        <w:spacing w:before="120" w:after="120" w:line="288" w:lineRule="auto"/>
        <w:ind w:left="0" w:firstLine="420"/>
        <w:jc w:val="left"/>
      </w:pPr>
      <w:r>
        <w:rPr>
          <w:rFonts w:eastAsia="等线" w:ascii="Arial" w:cs="Arial" w:hAnsi="Arial"/>
          <w:sz w:val="22"/>
        </w:rPr>
        <w:t>同登九和私募基金管理有限公司专注于智能制造、医疗健康领域科创企业投资，以助力科技产业化成就科技创业者为使命，以成为国际知名科创投资机构为愿景，以民主制度保障全员业务自由和分配公平为价值观，建立了覆盖所投领域相关学科的研究型专业投资管理团队，持续打造TBS系统帮助所投企业做好经营管理。</w:t>
      </w:r>
      <w:r>
        <w:rPr>
          <w:rFonts w:eastAsia="等线" w:ascii="Arial" w:cs="Arial" w:hAnsi="Arial"/>
          <w:color w:val="d83931"/>
          <w:sz w:val="22"/>
        </w:rPr>
        <w:t xml:space="preserve"> </w:t>
      </w:r>
    </w:p>
    <w:p>
      <w:pPr>
        <w:spacing w:before="120" w:after="120" w:line="288" w:lineRule="auto"/>
        <w:ind w:left="0" w:firstLine="0"/>
        <w:jc w:val="left"/>
      </w:pPr>
      <w:r>
        <w:rPr>
          <w:rFonts w:eastAsia="等线" w:ascii="Arial" w:cs="Arial" w:hAnsi="Arial"/>
          <w:color w:val="d83931"/>
          <w:sz w:val="22"/>
        </w:rPr>
        <w:t xml:space="preserve">    </w:t>
      </w:r>
      <w:r>
        <w:rPr>
          <w:rFonts w:eastAsia="等线" w:ascii="Arial" w:cs="Arial" w:hAnsi="Arial"/>
          <w:sz w:val="22"/>
        </w:rPr>
        <w:t>同登九和所投企业标准明确，其产品应具有技术国内唯一且国际先进或国内先进且属于头部项目的特征，并具有较高的成熟度和壁垒,产品以细分市场垄断地位为目标，市场趋势明显或市场占有率领先,所投企业创业团队搭配合理并应具有较强的牺牲精神和商业推动能力。</w:t>
      </w:r>
    </w:p>
    <w:p>
      <w:pPr>
        <w:spacing w:before="120" w:after="120" w:line="288" w:lineRule="auto"/>
        <w:ind w:left="0" w:firstLine="420"/>
        <w:jc w:val="left"/>
      </w:pPr>
      <w:r>
        <w:rPr>
          <w:rFonts w:eastAsia="等线" w:ascii="Arial" w:cs="Arial" w:hAnsi="Arial"/>
          <w:sz w:val="22"/>
        </w:rPr>
        <w:t>使  命：助力科技产业化 成就科技创业者</w:t>
      </w:r>
    </w:p>
    <w:p>
      <w:pPr>
        <w:spacing w:before="120" w:after="120" w:line="288" w:lineRule="auto"/>
        <w:ind w:left="0" w:firstLine="420"/>
        <w:jc w:val="left"/>
      </w:pPr>
      <w:r>
        <w:rPr>
          <w:rFonts w:eastAsia="等线" w:ascii="Arial" w:cs="Arial" w:hAnsi="Arial"/>
          <w:sz w:val="22"/>
        </w:rPr>
        <w:t>愿  景：成为知名国际科创投资机构</w:t>
      </w:r>
    </w:p>
    <w:p>
      <w:pPr>
        <w:spacing w:before="120" w:after="120" w:line="288" w:lineRule="auto"/>
        <w:ind w:left="0" w:firstLine="420"/>
        <w:jc w:val="left"/>
      </w:pPr>
      <w:r>
        <w:rPr>
          <w:rFonts w:eastAsia="等线" w:ascii="Arial" w:cs="Arial" w:hAnsi="Arial"/>
          <w:sz w:val="22"/>
        </w:rPr>
        <w:t>价值观：以民主化制度化管理保障业务自由和分配公平</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3" w:id="3"/>
      <w:r>
        <w:rPr>
          <w:rFonts w:eastAsia="等线" w:ascii="Arial" w:cs="Arial" w:hAnsi="Arial"/>
          <w:b w:val="true"/>
          <w:sz w:val="30"/>
        </w:rPr>
        <w:t>第二节 管理理念</w:t>
      </w:r>
      <w:bookmarkEnd w:id="3"/>
    </w:p>
    <w:p>
      <w:pPr>
        <w:spacing w:before="120" w:after="120" w:line="288" w:lineRule="auto"/>
        <w:ind w:left="0" w:firstLine="420"/>
        <w:jc w:val="center"/>
      </w:pPr>
      <w:r>
        <w:rPr>
          <w:rFonts w:eastAsia="等线" w:ascii="Arial" w:cs="Arial" w:hAnsi="Arial"/>
          <w:sz w:val="22"/>
        </w:rPr>
        <w:t xml:space="preserve">（与同润通用 内容见同润制度汇编）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4" w:id="4"/>
      <w:r>
        <w:rPr>
          <w:rFonts w:eastAsia="等线" w:ascii="Arial" w:cs="Arial" w:hAnsi="Arial"/>
          <w:b w:val="true"/>
          <w:sz w:val="30"/>
        </w:rPr>
        <w:t>第三节 经营理念</w:t>
      </w:r>
      <w:bookmarkEnd w:id="4"/>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经营主体</w:t>
      </w:r>
    </w:p>
    <w:p>
      <w:pPr>
        <w:spacing w:before="120" w:after="120" w:line="288" w:lineRule="auto"/>
        <w:ind w:left="0" w:firstLine="420"/>
        <w:jc w:val="left"/>
      </w:pPr>
      <w:r>
        <w:rPr>
          <w:rFonts w:eastAsia="等线" w:ascii="Arial" w:cs="Arial" w:hAnsi="Arial"/>
          <w:sz w:val="22"/>
        </w:rPr>
        <w:t>（一） 项目部作为“项目基金管理人”是公司经营活动的主体，项目部依照制度自主寻找筛选标的、推动调研</w:t>
      </w:r>
      <w:r>
        <w:rPr>
          <w:rFonts w:eastAsia="等线" w:ascii="Arial" w:cs="Arial" w:hAnsi="Arial"/>
          <w:color w:val="d83931"/>
          <w:sz w:val="22"/>
        </w:rPr>
        <w:t>、</w:t>
      </w:r>
      <w:r>
        <w:rPr>
          <w:rFonts w:eastAsia="等线" w:ascii="Arial" w:cs="Arial" w:hAnsi="Arial"/>
          <w:sz w:val="22"/>
        </w:rPr>
        <w:t>实施投后管理和准备退出方案。</w:t>
      </w:r>
    </w:p>
    <w:p>
      <w:pPr>
        <w:spacing w:before="120" w:after="120" w:line="288" w:lineRule="auto"/>
        <w:ind w:left="0" w:firstLine="0"/>
        <w:jc w:val="left"/>
      </w:pPr>
      <w:r>
        <w:rPr>
          <w:rFonts w:eastAsia="等线" w:ascii="Arial" w:cs="Arial" w:hAnsi="Arial"/>
          <w:sz w:val="22"/>
        </w:rPr>
        <w:t xml:space="preserve"> （二）投前深度解析和投后深度管理是项目部的核心能力，项目部需要有全球化视野，重视所投项目全球化的发展。</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平台职责</w:t>
      </w:r>
    </w:p>
    <w:p>
      <w:pPr>
        <w:spacing w:before="120" w:after="120" w:line="288" w:lineRule="auto"/>
        <w:ind w:left="0" w:firstLine="0"/>
        <w:jc w:val="left"/>
      </w:pPr>
      <w:r>
        <w:rPr>
          <w:rFonts w:eastAsia="等线" w:ascii="Arial" w:cs="Arial" w:hAnsi="Arial"/>
          <w:sz w:val="22"/>
        </w:rPr>
        <w:t xml:space="preserve">     （一） 公司树立正确的经营理念，组织经营制度的建设监督和执行，建立公平的分配体系，保障公司投资和运营资金的充足，汇聚经营活动所需的各类资源，为项目部的工作创造有利条件。</w:t>
      </w:r>
    </w:p>
    <w:p>
      <w:pPr>
        <w:spacing w:before="120" w:after="120" w:line="288" w:lineRule="auto"/>
        <w:ind w:left="453"/>
        <w:jc w:val="left"/>
      </w:pPr>
      <w:r>
        <w:rPr>
          <w:rFonts w:eastAsia="等线" w:ascii="Arial" w:cs="Arial" w:hAnsi="Arial"/>
          <w:sz w:val="22"/>
        </w:rPr>
        <w:t>（二） 风控部依据制度给予项目部提示性监督；全体员工依据自身专业为项目部提供咨询服务。</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募集</w:t>
      </w:r>
    </w:p>
    <w:p>
      <w:pPr>
        <w:spacing w:before="120" w:after="120" w:line="288" w:lineRule="auto"/>
        <w:ind w:left="0" w:firstLine="420"/>
        <w:jc w:val="left"/>
      </w:pPr>
      <w:r>
        <w:rPr>
          <w:rFonts w:eastAsia="等线" w:ascii="Arial" w:cs="Arial" w:hAnsi="Arial"/>
          <w:sz w:val="22"/>
        </w:rPr>
        <w:t>全员负有基金募集的职责，公司将基金募集纳入公司常态化重点工作。</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投资</w:t>
      </w:r>
    </w:p>
    <w:p>
      <w:pPr>
        <w:spacing w:before="120" w:after="120" w:line="288" w:lineRule="auto"/>
        <w:ind w:left="0" w:firstLine="420"/>
        <w:jc w:val="left"/>
      </w:pPr>
      <w:r>
        <w:rPr>
          <w:rFonts w:eastAsia="等线" w:ascii="Arial" w:cs="Arial" w:hAnsi="Arial"/>
          <w:sz w:val="22"/>
        </w:rPr>
        <w:t>（一） 坚持以科学的态度、实证的方法、自由的精神、独立的思想作为投资的指导思想，逐步形成学术型、研究型的投资风格；严谨性、真实性与全面性是项目调研工作的基本要求。</w:t>
      </w:r>
    </w:p>
    <w:p>
      <w:pPr>
        <w:spacing w:before="120" w:after="120" w:line="288" w:lineRule="auto"/>
        <w:ind w:left="0" w:firstLine="420"/>
        <w:jc w:val="left"/>
      </w:pPr>
      <w:r>
        <w:rPr>
          <w:rFonts w:eastAsia="等线" w:ascii="Arial" w:cs="Arial" w:hAnsi="Arial"/>
          <w:sz w:val="22"/>
        </w:rPr>
        <w:t>（二） 全员充分参与拟投资项目的讨论并多角度的反馈意见是投委会作出表决所参考的重要依据，是我公司民主科学决策的重要组成部分。</w:t>
      </w:r>
    </w:p>
    <w:p>
      <w:pPr>
        <w:spacing w:before="120" w:after="120" w:line="288" w:lineRule="auto"/>
        <w:ind w:left="0" w:firstLine="420"/>
        <w:jc w:val="left"/>
      </w:pPr>
      <w:r>
        <w:rPr>
          <w:rFonts w:eastAsia="等线" w:ascii="Arial" w:cs="Arial" w:hAnsi="Arial"/>
          <w:sz w:val="22"/>
        </w:rPr>
        <w:t>（三） 在项目调研过程中市场（关注项目海外市场的开拓)团队、技术同样重要，技术注重先进性、成熟度、壁垒和知识产权所属，技术对比关注功能性、质量性、便利性和成本性优势，团队注重学术背景、团队匹配、牺牲精神和全职情况以及公司治理管理能力，市场注重需求痛点、市场趋势、市场资源和市场推广能力；方法上要依照读书顺序调研法层次推进。</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投后管理</w:t>
      </w:r>
    </w:p>
    <w:p>
      <w:pPr>
        <w:spacing w:before="120" w:after="120" w:line="288" w:lineRule="auto"/>
        <w:ind w:left="0" w:firstLine="420"/>
        <w:jc w:val="left"/>
      </w:pPr>
      <w:r>
        <w:rPr>
          <w:rFonts w:eastAsia="等线" w:ascii="Arial" w:cs="Arial" w:hAnsi="Arial"/>
          <w:sz w:val="22"/>
        </w:rPr>
        <w:t>（一） 公司把投后管理作为经营工作枢纽来促进募资、投资和退出水平的提高；</w:t>
      </w:r>
    </w:p>
    <w:p>
      <w:pPr>
        <w:spacing w:before="120" w:after="120" w:line="288" w:lineRule="auto"/>
        <w:ind w:left="0" w:firstLine="420"/>
        <w:jc w:val="left"/>
      </w:pPr>
      <w:r>
        <w:rPr>
          <w:rFonts w:eastAsia="等线" w:ascii="Arial" w:cs="Arial" w:hAnsi="Arial"/>
          <w:sz w:val="22"/>
        </w:rPr>
        <w:t>（二） 投后管理通常包括对所投企业的监督、规范和帮助；</w:t>
      </w:r>
    </w:p>
    <w:p>
      <w:pPr>
        <w:spacing w:before="120" w:after="120" w:line="288" w:lineRule="auto"/>
        <w:ind w:left="0" w:firstLine="420"/>
        <w:jc w:val="left"/>
      </w:pPr>
      <w:r>
        <w:rPr>
          <w:rFonts w:eastAsia="等线" w:ascii="Arial" w:cs="Arial" w:hAnsi="Arial"/>
          <w:sz w:val="22"/>
        </w:rPr>
        <w:t>（三） TBS系统是深度投后管理的依据。</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退出</w:t>
      </w:r>
    </w:p>
    <w:p>
      <w:pPr>
        <w:spacing w:before="120" w:after="120" w:line="288" w:lineRule="auto"/>
        <w:ind w:left="0" w:firstLine="420"/>
        <w:jc w:val="left"/>
      </w:pPr>
      <w:r>
        <w:rPr>
          <w:rFonts w:eastAsia="等线" w:ascii="Arial" w:cs="Arial" w:hAnsi="Arial"/>
          <w:sz w:val="22"/>
        </w:rPr>
        <w:t>根据公司和基金需要，分析所投企业行业政策、市场波动、项目发展状态等情况评估退出机会确定退出方式，公司视所投项目上市为优秀表现、并购为良好表现、回购为及格表现；重点关注所投细分领域的S基金、并购市场和科创板市场。</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合作</w:t>
      </w:r>
    </w:p>
    <w:p>
      <w:pPr>
        <w:spacing w:before="120" w:after="120" w:line="288" w:lineRule="auto"/>
        <w:ind w:left="0" w:firstLine="420"/>
        <w:jc w:val="left"/>
      </w:pPr>
      <w:r>
        <w:rPr>
          <w:rFonts w:eastAsia="等线" w:ascii="Arial" w:cs="Arial" w:hAnsi="Arial"/>
          <w:sz w:val="22"/>
        </w:rPr>
        <w:t>公司设置多种形式的内部合作机制来解决个人知识结构不够全面、认识角度单一等问题，最大限度的集合同事的智慧、资源和力量；例如不同专业合作机制（如项目部组合）、同专业合作机制（如例会沟通）、多专业合作机制（如投后管理讨论）、全专业合作机制（如上会前项目讨论、专题讨论会）。</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第八条</w:t>
      </w:r>
      <w:r>
        <w:rPr>
          <w:rFonts w:eastAsia="等线" w:ascii="Arial" w:cs="Arial" w:hAnsi="Arial"/>
          <w:sz w:val="22"/>
        </w:rPr>
        <w:t xml:space="preserve"> 科创投资与工业企业经营管理</w:t>
      </w:r>
    </w:p>
    <w:p>
      <w:pPr>
        <w:spacing w:before="120" w:after="120" w:line="288" w:lineRule="auto"/>
        <w:ind w:left="0" w:firstLine="420"/>
        <w:jc w:val="left"/>
      </w:pPr>
      <w:r>
        <w:rPr>
          <w:rFonts w:eastAsia="等线" w:ascii="Arial" w:cs="Arial" w:hAnsi="Arial"/>
          <w:sz w:val="22"/>
        </w:rPr>
        <w:t>工业企业作为科创投资机构的投资标的，从知己知彼的角度来讲熟悉工业企业经营管理对投资机构的投前投后和退出均意义重大，公司将重点关注有工业企业产业背景人才的招聘并通过组织学习和实践活动帮助投资经理获得相关知识积累相关经验。</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第九条</w:t>
      </w:r>
      <w:r>
        <w:rPr>
          <w:rFonts w:eastAsia="等线" w:ascii="Arial" w:cs="Arial" w:hAnsi="Arial"/>
          <w:sz w:val="22"/>
        </w:rPr>
        <w:t xml:space="preserve"> 股权投资机构的客户是基金LP所投企业后续投资人和所持股权受让方，科创投资机构的价值在于利用自身专业知识和经验通过对股权标的的选择与管理为客户提供有增值空间的优质股权。</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附件：</w:t>
      </w:r>
      <w:hyperlink r:id="rId4">
        <w:r>
          <w:rPr>
            <w:rFonts w:eastAsia="等线" w:ascii="Arial" w:cs="Arial" w:hAnsi="Arial"/>
            <w:color w:val="3370ff"/>
            <w:sz w:val="22"/>
          </w:rPr>
          <w:t xml:space="preserve">附件1131-同登九和宣传介绍 </w:t>
        </w:r>
      </w:hyperlink>
    </w:p>
    <w:p>
      <w:pPr>
        <w:spacing w:before="120" w:after="120" w:line="288" w:lineRule="auto"/>
        <w:ind w:left="0"/>
        <w:jc w:val="left"/>
      </w:pPr>
      <w:r>
        <w:rPr>
          <w:rFonts w:eastAsia="等线" w:ascii="Arial" w:cs="Arial" w:hAnsi="Arial"/>
          <w:sz w:val="22"/>
        </w:rPr>
        <w:t xml:space="preserve">               1132 制度讨论：思维导图</w:t>
      </w:r>
    </w:p>
    <w:p>
      <w:pPr>
        <w:pBdr>
          <w:bottom w:val="single" w:color="dee0e3"/>
          <w:between w:val="single" w:color="dee0e3"/>
        </w:pBdr>
        <w:spacing w:before="120" w:after="120" w:line="288" w:lineRule="auto"/>
        <w:ind w:left="0"/>
      </w:pPr>
    </w:p>
    <w:p>
      <w:pPr>
        <w:pStyle w:val="1"/>
        <w:spacing w:before="380" w:after="140" w:line="288" w:lineRule="auto"/>
        <w:ind w:left="0"/>
        <w:jc w:val="center"/>
        <w:outlineLvl w:val="0"/>
      </w:pPr>
      <w:bookmarkStart w:name="heading_5" w:id="5"/>
      <w:r>
        <w:rPr>
          <w:rFonts w:eastAsia="等线" w:ascii="Arial" w:cs="Arial" w:hAnsi="Arial"/>
          <w:b w:val="true"/>
          <w:sz w:val="36"/>
        </w:rPr>
        <w:t>第二编 经营制度</w:t>
      </w:r>
      <w:bookmarkEnd w:id="5"/>
    </w:p>
    <w:p>
      <w:pPr>
        <w:pStyle w:val="2"/>
        <w:spacing w:before="320" w:after="120" w:line="288" w:lineRule="auto"/>
        <w:ind w:left="0"/>
        <w:jc w:val="center"/>
        <w:outlineLvl w:val="1"/>
      </w:pPr>
      <w:bookmarkStart w:name="heading_6" w:id="6"/>
      <w:r>
        <w:rPr>
          <w:rFonts w:eastAsia="等线" w:ascii="Arial" w:cs="Arial" w:hAnsi="Arial"/>
          <w:b w:val="true"/>
          <w:sz w:val="32"/>
        </w:rPr>
        <w:t>第一章</w:t>
      </w:r>
      <w:r>
        <w:rPr>
          <w:rFonts w:eastAsia="等线" w:ascii="Arial" w:cs="Arial" w:hAnsi="Arial"/>
          <w:b w:val="true"/>
          <w:sz w:val="32"/>
        </w:rPr>
        <w:t xml:space="preserve"> 基金管理人合规制度</w:t>
      </w:r>
      <w:r>
        <w:rPr>
          <w:rFonts w:eastAsia="等线" w:ascii="Arial" w:cs="Arial" w:hAnsi="Arial"/>
          <w:b w:val="true"/>
          <w:sz w:val="32"/>
        </w:rPr>
        <w:t>（</w:t>
      </w:r>
      <w:r>
        <w:rPr>
          <w:rFonts w:eastAsia="等线" w:ascii="Arial" w:cs="Arial" w:hAnsi="Arial"/>
          <w:b w:val="true"/>
          <w:color w:val="3370ff"/>
          <w:sz w:val="32"/>
        </w:rPr>
        <w:t>@赵栋</w:t>
      </w:r>
      <w:r>
        <w:rPr>
          <w:rFonts w:eastAsia="等线" w:ascii="Arial" w:cs="Arial" w:hAnsi="Arial"/>
          <w:b w:val="true"/>
          <w:sz w:val="32"/>
        </w:rPr>
        <w:t>）（风控部）</w:t>
      </w:r>
      <w:bookmarkEnd w:id="6"/>
    </w:p>
    <w:p>
      <w:pPr>
        <w:pStyle w:val="3"/>
        <w:spacing w:before="300" w:after="120" w:line="288" w:lineRule="auto"/>
        <w:ind w:left="0"/>
        <w:jc w:val="center"/>
        <w:outlineLvl w:val="2"/>
      </w:pPr>
      <w:bookmarkStart w:name="heading_7" w:id="7"/>
      <w:r>
        <w:rPr>
          <w:rFonts w:eastAsia="等线" w:ascii="Arial" w:cs="Arial" w:hAnsi="Arial"/>
          <w:b w:val="true"/>
          <w:sz w:val="30"/>
        </w:rPr>
        <w:t>第一节 风险控制管理制度</w:t>
      </w:r>
      <w:bookmarkEnd w:id="7"/>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保障公司基金运营和投资业务的安全运作和管理，加强公司及所管理基金的内部风险管理，规范基金运营和投资行为，增强自我约束能力，提高风险防范能力，实现持续规范发展，有效防范与控制基金运营和投资项目运作风险，保障公司依法合规经营， 根据《私募投资基金监督管理条例》、《私募投资基金监督管理暂行办法》、《私募投资基金管理人内部控制指引》等法律法规、自律规则以及公司章程，并结合公司实际情况，特制定本制度。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本制度所称风险控制，是指公司及其工作人员对公司经营、基金运营和项目投资中的各种投资风险进行识别、评估，并在基金运营、项目管理、项目退出中实施动态风险监控，保障公司经营管理和执业行为符合法律、法规、规章及其他规范性文件、行业规范和自律规则、公司内部规章制度以及行业公认并普遍遵守的职业道德和行为准则。</w:t>
      </w:r>
    </w:p>
    <w:p>
      <w:pPr>
        <w:spacing w:before="120" w:after="120" w:line="288" w:lineRule="auto"/>
        <w:ind w:left="0" w:firstLine="420"/>
        <w:jc w:val="left"/>
      </w:pPr>
      <w:r>
        <w:rPr>
          <w:rFonts w:eastAsia="等线" w:ascii="Arial" w:cs="Arial" w:hAnsi="Arial"/>
          <w:sz w:val="22"/>
        </w:rPr>
        <w:t>风险控制与业务发展具有同等重要的地位，健全的风险控制机制和完善的风险控制制度是规范公司行为、有效防范风险的主要措施，也是衡量公司经营管理水平的重要标志。公司应建立高效运行、控制严密的风险控制机制，制定科学合理、切实有效的风险控制制度。</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第三条</w:t>
      </w:r>
      <w:r>
        <w:rPr>
          <w:rFonts w:eastAsia="等线" w:ascii="Arial" w:cs="Arial" w:hAnsi="Arial"/>
          <w:sz w:val="22"/>
        </w:rPr>
        <w:t xml:space="preserve"> 风险控制的目标是通过建立健全风控管理框架和制度，实现对风控风险的有效识别和管理，培育全员主动风控文化、增强自我约束能力、保障公司及其工作人员经营管理和执业行为等符合法律、法规和准则，切实防范风控风险，力求在公司形成内部约束到位、相互制衡有效、内部约束与外部监管有机联系的长效机制，为公司持续规范发展奠定坚实基础。</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风险控制的原则：</w:t>
      </w:r>
    </w:p>
    <w:p>
      <w:pPr>
        <w:spacing w:before="120" w:after="120" w:line="288" w:lineRule="auto"/>
        <w:ind w:left="0" w:firstLine="420"/>
        <w:jc w:val="left"/>
      </w:pPr>
      <w:r>
        <w:rPr>
          <w:rFonts w:eastAsia="等线" w:ascii="Arial" w:cs="Arial" w:hAnsi="Arial"/>
          <w:sz w:val="22"/>
        </w:rPr>
        <w:t>（一）全面性原则：风险控制制度应当覆盖公司各项业务、各个部门和各级人员，并涵盖资金募集、投资研究、投资运作、运营保障和信息披露等各个环节；</w:t>
      </w:r>
    </w:p>
    <w:p>
      <w:pPr>
        <w:spacing w:before="120" w:after="120" w:line="288" w:lineRule="auto"/>
        <w:ind w:left="0" w:firstLine="420"/>
        <w:jc w:val="left"/>
      </w:pPr>
      <w:r>
        <w:rPr>
          <w:rFonts w:eastAsia="等线" w:ascii="Arial" w:cs="Arial" w:hAnsi="Arial"/>
          <w:sz w:val="22"/>
        </w:rPr>
        <w:t>（二）审慎性原则：风险控制的核心是有效防范各种风险，公司部门组织的构成、内部管理制度的建立要以防范风险、审慎经营为出发点；</w:t>
      </w:r>
    </w:p>
    <w:p>
      <w:pPr>
        <w:spacing w:before="120" w:after="120" w:line="288" w:lineRule="auto"/>
        <w:ind w:left="0" w:firstLine="420"/>
        <w:jc w:val="left"/>
      </w:pPr>
      <w:r>
        <w:rPr>
          <w:rFonts w:eastAsia="等线" w:ascii="Arial" w:cs="Arial" w:hAnsi="Arial"/>
          <w:sz w:val="22"/>
        </w:rPr>
        <w:t>（三）独立性原则：风险控制工作应保持高度的独立性和权威性，并贯彻到业务的各具体环节；</w:t>
      </w:r>
    </w:p>
    <w:p>
      <w:pPr>
        <w:spacing w:before="120" w:after="120" w:line="288" w:lineRule="auto"/>
        <w:ind w:left="0" w:firstLine="420"/>
        <w:jc w:val="left"/>
      </w:pPr>
      <w:r>
        <w:rPr>
          <w:rFonts w:eastAsia="等线" w:ascii="Arial" w:cs="Arial" w:hAnsi="Arial"/>
          <w:sz w:val="22"/>
        </w:rPr>
        <w:t>（四）有效性原则：风险控制制度应当符合国家法律法规和监管部门的规章，具有高度的权威性，成为所有员工严格遵守的行动指南；执行风险管理制度不能存在任何例外，任何员工不得拥有超越制度或违反规章的权力；</w:t>
      </w:r>
    </w:p>
    <w:p>
      <w:pPr>
        <w:spacing w:before="120" w:after="120" w:line="288" w:lineRule="auto"/>
        <w:ind w:left="0" w:firstLine="420"/>
        <w:jc w:val="left"/>
      </w:pPr>
      <w:r>
        <w:rPr>
          <w:rFonts w:eastAsia="等线" w:ascii="Arial" w:cs="Arial" w:hAnsi="Arial"/>
          <w:sz w:val="22"/>
        </w:rPr>
        <w:t xml:space="preserve">（五）适时性原则：应随着国家法律法规、政策制度的变化，公司经营战略、经营方针、风险管理理念等内部环境的改变，以及公司业务的发展，及时对风险控制制度进行相应修改和完善； </w:t>
      </w:r>
    </w:p>
    <w:p>
      <w:pPr>
        <w:spacing w:before="120" w:after="120" w:line="288" w:lineRule="auto"/>
        <w:ind w:left="0" w:firstLine="420"/>
        <w:jc w:val="left"/>
      </w:pPr>
      <w:r>
        <w:rPr>
          <w:rFonts w:eastAsia="等线" w:ascii="Arial" w:cs="Arial" w:hAnsi="Arial"/>
          <w:sz w:val="22"/>
        </w:rPr>
        <w:t>（六）防火墙原则：公司应当建立必要的防火墙制度和科学、严格的业务隔离、财产隔离和岗位分离制度，明确划分各岗位职责。基金财产、管理人固有财产、其他财产的运作应当分离及重要业务部门和岗位应当在物理和制度上均进行隔离。</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公司应根据基金运营、投资业务流程和风险特征，将风险控制工作纳入公司的风险控制体系之中。公司建立与自身经营范围、组织结构和业务规模相适应的风控管理组织体系。</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 xml:space="preserve">公司各层级的风险控制职责如下： </w:t>
      </w:r>
    </w:p>
    <w:p>
      <w:pPr>
        <w:spacing w:before="120" w:after="120" w:line="288" w:lineRule="auto"/>
        <w:ind w:left="0" w:firstLine="420"/>
        <w:jc w:val="left"/>
      </w:pPr>
      <w:r>
        <w:rPr>
          <w:rFonts w:eastAsia="等线" w:ascii="Arial" w:cs="Arial" w:hAnsi="Arial"/>
          <w:sz w:val="22"/>
        </w:rPr>
        <w:t>总经理职责为：（一）确定公司风险控制的总体目标、风险偏好、风险承受度等，决定公司内部风险控制的组织架构设置以及人员组成，审议批准公司风险控制的基本制度；（二）听取合规风控部的报告；（三）法律法规或公司章程规定的其它职权。</w:t>
      </w:r>
    </w:p>
    <w:p>
      <w:pPr>
        <w:spacing w:before="120" w:after="120" w:line="288" w:lineRule="auto"/>
        <w:ind w:left="0" w:firstLine="420"/>
        <w:jc w:val="left"/>
      </w:pPr>
      <w:r>
        <w:rPr>
          <w:rFonts w:eastAsia="等线" w:ascii="Arial" w:cs="Arial" w:hAnsi="Arial"/>
          <w:sz w:val="22"/>
        </w:rPr>
        <w:t>合规风控部职责为：（一）组织拟订公司风险控制的基本制度和业务流程，落实各项风险控制措施；（二）在投资项目决策过程中出具风控、合规意见；（三） 对投资业务的相关合同、协议进行审核；（四）独立于投资业务部门开展风险控制、合规检查、监督评价等工作，监督和评估风险控制制度的执行情况，在出现重大问题时及时向总经理报送相关情况，提出完善建议并督促执行。</w:t>
      </w:r>
    </w:p>
    <w:p>
      <w:pPr>
        <w:spacing w:before="120" w:after="120" w:line="288" w:lineRule="auto"/>
        <w:ind w:left="0" w:firstLine="420"/>
        <w:jc w:val="left"/>
      </w:pPr>
      <w:r>
        <w:rPr>
          <w:rFonts w:eastAsia="等线" w:ascii="Arial" w:cs="Arial" w:hAnsi="Arial"/>
          <w:sz w:val="22"/>
        </w:rPr>
        <w:t>投资管理部职责为：负责并具体执行投资项目开发、执行和退出过程中的风险控制工作，并负有及时报告、反馈项目投资过程中发现的风险隐患和风险问题的职责。</w:t>
      </w:r>
    </w:p>
    <w:p>
      <w:pPr>
        <w:spacing w:before="120" w:after="120" w:line="288" w:lineRule="auto"/>
        <w:ind w:left="0" w:firstLine="420"/>
        <w:jc w:val="left"/>
      </w:pPr>
      <w:r>
        <w:rPr>
          <w:rFonts w:eastAsia="等线" w:ascii="Arial" w:cs="Arial" w:hAnsi="Arial"/>
          <w:sz w:val="22"/>
        </w:rPr>
        <w:t>总经理及其下各部门负责人应遵照本制度，在董事的督导下，制定和传达具体的风控政策并监督执行，确保风控政策和程序得以遵守。</w:t>
      </w:r>
    </w:p>
    <w:p>
      <w:pPr>
        <w:spacing w:before="120" w:after="120" w:line="288" w:lineRule="auto"/>
        <w:ind w:left="0" w:firstLine="420"/>
        <w:jc w:val="left"/>
      </w:pPr>
      <w:r>
        <w:rPr>
          <w:rFonts w:eastAsia="等线" w:ascii="Arial" w:cs="Arial" w:hAnsi="Arial"/>
          <w:sz w:val="22"/>
        </w:rPr>
        <w:t>公司全体工作人员负责遵守并具体执行公司的风控管理政策和程序。</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风险控制管理的内容与流程由风险识别、风险评估、风险分析和风险控制四个步骤组成，是制定风险管理战略及防范措施的重要基础。</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风险识别是指对经营活动中存在的内部及外部风险的来源进行辨别。</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风险评估是指对风险的严重程度及发生概率进行科学合理的量化。</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风险分析是指对风险的驱动因素进行归因分析，并评估其影响，提出避险建议和措施。</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风险控制是指对业务流程的各个环节制定风险防范和处理措施。</w:t>
      </w:r>
    </w:p>
    <w:p>
      <w:pPr>
        <w:spacing w:before="120" w:after="120" w:line="288" w:lineRule="auto"/>
        <w:ind w:left="0" w:firstLine="420"/>
        <w:jc w:val="left"/>
      </w:pPr>
      <w:r>
        <w:rPr>
          <w:rFonts w:eastAsia="等线" w:ascii="Arial" w:cs="Arial" w:hAnsi="Arial"/>
          <w:b w:val="true"/>
          <w:sz w:val="22"/>
        </w:rPr>
        <w:t>第十二条</w:t>
      </w:r>
      <w:r>
        <w:rPr>
          <w:rFonts w:eastAsia="等线" w:ascii="Arial" w:cs="Arial" w:hAnsi="Arial"/>
          <w:sz w:val="22"/>
        </w:rPr>
        <w:t xml:space="preserve"> 公司在基金运营和投资业务开展过程中面临的内外部风险包括但不限于政策风险、市场风险、合规性风险、法律风险、操作风险、流动性风险、职业道德风险等。公司运营过程中，相关部门应当在职责范围内对各种风险进行必要的识别、评估及分析，履行相关的风险控制职责。</w:t>
      </w:r>
    </w:p>
    <w:p>
      <w:pPr>
        <w:spacing w:before="120" w:after="120" w:line="288" w:lineRule="auto"/>
        <w:ind w:left="0" w:firstLine="420"/>
        <w:jc w:val="left"/>
      </w:pPr>
      <w:r>
        <w:rPr>
          <w:rFonts w:eastAsia="等线" w:ascii="Arial" w:cs="Arial" w:hAnsi="Arial"/>
          <w:b w:val="true"/>
          <w:sz w:val="22"/>
        </w:rPr>
        <w:t xml:space="preserve">第十三条 </w:t>
      </w:r>
      <w:r>
        <w:rPr>
          <w:rFonts w:eastAsia="等线" w:ascii="Arial" w:cs="Arial" w:hAnsi="Arial"/>
          <w:sz w:val="22"/>
        </w:rPr>
        <w:t xml:space="preserve">政策风险 </w:t>
      </w:r>
    </w:p>
    <w:p>
      <w:pPr>
        <w:spacing w:before="120" w:after="120" w:line="288" w:lineRule="auto"/>
        <w:ind w:left="0" w:firstLine="420"/>
        <w:jc w:val="left"/>
      </w:pPr>
      <w:r>
        <w:rPr>
          <w:rFonts w:eastAsia="等线" w:ascii="Arial" w:cs="Arial" w:hAnsi="Arial"/>
          <w:sz w:val="22"/>
        </w:rPr>
        <w:t xml:space="preserve">因国家法律法规的变化、宏观政策（如货币政策、财政政策、产业政策、地区发展政策等）的变化，以及政府对金融等相关市场宏观调控和监管政策的调整，都可能影响公司基金投资项目的经营业绩，从而影响基金财产安全及收益。由于目前中国私募基金的发展还未完善，给私募基金造成了一些潜在的法律适用偏差、不合规的风险，因此基金的运作会面临监管政策的不确定性。 </w:t>
      </w:r>
    </w:p>
    <w:p>
      <w:pPr>
        <w:spacing w:before="120" w:after="120" w:line="288" w:lineRule="auto"/>
        <w:ind w:left="0" w:firstLine="420"/>
        <w:jc w:val="left"/>
      </w:pPr>
      <w:r>
        <w:rPr>
          <w:rFonts w:eastAsia="等线" w:ascii="Arial" w:cs="Arial" w:hAnsi="Arial"/>
          <w:b w:val="true"/>
          <w:sz w:val="22"/>
        </w:rPr>
        <w:t xml:space="preserve">第十四条 </w:t>
      </w:r>
      <w:r>
        <w:rPr>
          <w:rFonts w:eastAsia="等线" w:ascii="Arial" w:cs="Arial" w:hAnsi="Arial"/>
          <w:sz w:val="22"/>
        </w:rPr>
        <w:t xml:space="preserve">市场风险 </w:t>
      </w:r>
    </w:p>
    <w:p>
      <w:pPr>
        <w:spacing w:before="120" w:after="120" w:line="288" w:lineRule="auto"/>
        <w:ind w:left="0" w:firstLine="420"/>
        <w:jc w:val="left"/>
      </w:pPr>
      <w:r>
        <w:rPr>
          <w:rFonts w:eastAsia="等线" w:ascii="Arial" w:cs="Arial" w:hAnsi="Arial"/>
          <w:sz w:val="22"/>
        </w:rPr>
        <w:t>由于投资业务从项目投资到投资退出往往要经历宏观经济、项目所属行业、产品市场、证券市场等的波动，导致项目公司估值、项目退出的市场环境发生变化，从而造成退出方案无法实施或投资目标无法实现的风险。其中，对以上市为退出方式的项目，证券市场整体下行的系统性风险是难以控制的。</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 xml:space="preserve">合规性风险 </w:t>
      </w:r>
    </w:p>
    <w:p>
      <w:pPr>
        <w:spacing w:before="120" w:after="120" w:line="288" w:lineRule="auto"/>
        <w:ind w:left="0" w:firstLine="420"/>
        <w:jc w:val="left"/>
      </w:pPr>
      <w:r>
        <w:rPr>
          <w:rFonts w:eastAsia="等线" w:ascii="Arial" w:cs="Arial" w:hAnsi="Arial"/>
          <w:sz w:val="22"/>
        </w:rPr>
        <w:t>公司及基金的运作必须符合法律法规和证监会、基金业协会的监管要求，对法律法规等理解有误、故意违反则将出现合规风险。出现此类风险，有可能导致监管部门的处罚，关系到公司运营资质和公司声誉，是公司必须加以严格控制的风险。</w:t>
      </w:r>
    </w:p>
    <w:p>
      <w:pPr>
        <w:spacing w:before="120" w:after="120" w:line="288" w:lineRule="auto"/>
        <w:ind w:left="0" w:firstLine="420"/>
        <w:jc w:val="left"/>
      </w:pPr>
      <w:r>
        <w:rPr>
          <w:rFonts w:eastAsia="等线" w:ascii="Arial" w:cs="Arial" w:hAnsi="Arial"/>
          <w:b w:val="true"/>
          <w:sz w:val="22"/>
        </w:rPr>
        <w:t xml:space="preserve">第十六条  </w:t>
      </w:r>
      <w:r>
        <w:rPr>
          <w:rFonts w:eastAsia="等线" w:ascii="Arial" w:cs="Arial" w:hAnsi="Arial"/>
          <w:sz w:val="22"/>
        </w:rPr>
        <w:t>法律风险</w:t>
      </w:r>
    </w:p>
    <w:p>
      <w:pPr>
        <w:spacing w:before="120" w:after="120" w:line="288" w:lineRule="auto"/>
        <w:ind w:left="0" w:firstLine="420"/>
        <w:jc w:val="left"/>
      </w:pPr>
      <w:r>
        <w:rPr>
          <w:rFonts w:eastAsia="等线" w:ascii="Arial" w:cs="Arial" w:hAnsi="Arial"/>
          <w:sz w:val="22"/>
        </w:rPr>
        <w:t xml:space="preserve">公司及基金投资运营过程中与他方签订的合同、协议等法律文书存在风险而引发法律争议及纠纷。 </w:t>
      </w:r>
    </w:p>
    <w:p>
      <w:pPr>
        <w:spacing w:before="120" w:after="120" w:line="288" w:lineRule="auto"/>
        <w:ind w:left="0" w:firstLine="420"/>
        <w:jc w:val="left"/>
      </w:pPr>
      <w:r>
        <w:rPr>
          <w:rFonts w:eastAsia="等线" w:ascii="Arial" w:cs="Arial" w:hAnsi="Arial"/>
          <w:b w:val="true"/>
          <w:sz w:val="22"/>
        </w:rPr>
        <w:t xml:space="preserve">第十七条  </w:t>
      </w:r>
      <w:r>
        <w:rPr>
          <w:rFonts w:eastAsia="等线" w:ascii="Arial" w:cs="Arial" w:hAnsi="Arial"/>
          <w:sz w:val="22"/>
        </w:rPr>
        <w:t>操作风险</w:t>
      </w:r>
    </w:p>
    <w:p>
      <w:pPr>
        <w:spacing w:before="120" w:after="120" w:line="288" w:lineRule="auto"/>
        <w:ind w:left="0" w:firstLine="420"/>
        <w:jc w:val="left"/>
      </w:pPr>
      <w:r>
        <w:rPr>
          <w:rFonts w:eastAsia="等线" w:ascii="Arial" w:cs="Arial" w:hAnsi="Arial"/>
          <w:sz w:val="22"/>
        </w:rPr>
        <w:t xml:space="preserve">公司各部门或业务各个环节在操作过程中，因人为因素造成操作失误或违反操作规程而引致的风险。投资业务包括投资项目的选择（即项目开发、初步审查、项目立项、尽职调查、投资决策、项目实施）、投资项目的管理和项目退出等业务环节，在上述每个环节均存在操作风险。主要可以归纳为决策失误、投资失控、员工内部欺诈、被投资方和合作方的外部欺诈、尽职调查存在缺失、资金划拨差错、项目公司经营管理不善、项目跟踪缺失、项目公司报告不畅等风险，其中，决策失误、投资失控是重大风险。 </w:t>
      </w:r>
    </w:p>
    <w:p>
      <w:pPr>
        <w:spacing w:before="120" w:after="120" w:line="288" w:lineRule="auto"/>
        <w:ind w:left="0" w:firstLine="420"/>
        <w:jc w:val="left"/>
      </w:pPr>
      <w:r>
        <w:rPr>
          <w:rFonts w:eastAsia="等线" w:ascii="Arial" w:cs="Arial" w:hAnsi="Arial"/>
          <w:b w:val="true"/>
          <w:sz w:val="22"/>
        </w:rPr>
        <w:t xml:space="preserve">第十八条  </w:t>
      </w:r>
      <w:r>
        <w:rPr>
          <w:rFonts w:eastAsia="等线" w:ascii="Arial" w:cs="Arial" w:hAnsi="Arial"/>
          <w:sz w:val="22"/>
        </w:rPr>
        <w:t>流动性风险</w:t>
      </w:r>
    </w:p>
    <w:p>
      <w:pPr>
        <w:spacing w:before="120" w:after="120" w:line="288" w:lineRule="auto"/>
        <w:ind w:left="0" w:firstLine="420"/>
        <w:jc w:val="left"/>
      </w:pPr>
      <w:r>
        <w:rPr>
          <w:rFonts w:eastAsia="等线" w:ascii="Arial" w:cs="Arial" w:hAnsi="Arial"/>
          <w:sz w:val="22"/>
        </w:rPr>
        <w:t>在基金存续期间，投资者面临资金不能退出带来的流动性风险。由于基金所投资项目的退出时间无法确定，投资者虽然可以转让基金份额，但也需要一定的转让时间。</w:t>
      </w:r>
    </w:p>
    <w:p>
      <w:pPr>
        <w:spacing w:before="120" w:after="120" w:line="288" w:lineRule="auto"/>
        <w:ind w:left="0" w:firstLine="420"/>
        <w:jc w:val="left"/>
      </w:pPr>
      <w:r>
        <w:rPr>
          <w:rFonts w:eastAsia="等线" w:ascii="Arial" w:cs="Arial" w:hAnsi="Arial"/>
          <w:b w:val="true"/>
          <w:sz w:val="22"/>
        </w:rPr>
        <w:t xml:space="preserve">第十九条 </w:t>
      </w:r>
      <w:r>
        <w:rPr>
          <w:rFonts w:eastAsia="等线" w:ascii="Arial" w:cs="Arial" w:hAnsi="Arial"/>
          <w:sz w:val="22"/>
        </w:rPr>
        <w:t xml:space="preserve"> 职业道德风险</w:t>
      </w:r>
    </w:p>
    <w:p>
      <w:pPr>
        <w:spacing w:before="120" w:after="120" w:line="288" w:lineRule="auto"/>
        <w:ind w:left="0" w:firstLine="420"/>
        <w:jc w:val="left"/>
      </w:pPr>
      <w:r>
        <w:rPr>
          <w:rFonts w:eastAsia="等线" w:ascii="Arial" w:cs="Arial" w:hAnsi="Arial"/>
          <w:sz w:val="22"/>
        </w:rPr>
        <w:t xml:space="preserve">公司员工行为违背国家有关法律、法规和公司相关规章制度，对公司产生不良影响的风险。  </w:t>
      </w:r>
    </w:p>
    <w:p>
      <w:pPr>
        <w:spacing w:before="120" w:after="120" w:line="288" w:lineRule="auto"/>
        <w:ind w:left="0" w:firstLine="420"/>
        <w:jc w:val="left"/>
      </w:pPr>
      <w:r>
        <w:rPr>
          <w:rFonts w:eastAsia="等线" w:ascii="Arial" w:cs="Arial" w:hAnsi="Arial"/>
          <w:b w:val="true"/>
          <w:sz w:val="22"/>
        </w:rPr>
        <w:t>第二十条</w:t>
      </w:r>
      <w:r>
        <w:rPr>
          <w:rFonts w:eastAsia="等线" w:ascii="Arial" w:cs="Arial" w:hAnsi="Arial"/>
          <w:sz w:val="22"/>
        </w:rPr>
        <w:t xml:space="preserve"> 政策风险和市场风险的控制措施主要体现在投资立项环节上。</w:t>
      </w:r>
    </w:p>
    <w:p>
      <w:pPr>
        <w:spacing w:before="120" w:after="120" w:line="288" w:lineRule="auto"/>
        <w:ind w:left="0" w:firstLine="420"/>
        <w:jc w:val="left"/>
      </w:pPr>
      <w:r>
        <w:rPr>
          <w:rFonts w:eastAsia="等线" w:ascii="Arial" w:cs="Arial" w:hAnsi="Arial"/>
          <w:b w:val="true"/>
          <w:sz w:val="22"/>
        </w:rPr>
        <w:t xml:space="preserve">第二十一条 </w:t>
      </w:r>
      <w:r>
        <w:rPr>
          <w:rFonts w:eastAsia="等线" w:ascii="Arial" w:cs="Arial" w:hAnsi="Arial"/>
          <w:sz w:val="22"/>
        </w:rPr>
        <w:t>公司制订项目立项标准。立项标准应符合国家对相关行业市场的法律法规和宏观政策，参照国家产业发展规划，并符合公司关于投资范围的相关规定。</w:t>
      </w:r>
    </w:p>
    <w:p>
      <w:pPr>
        <w:spacing w:before="120" w:after="120" w:line="288" w:lineRule="auto"/>
        <w:ind w:left="0" w:firstLine="420"/>
        <w:jc w:val="left"/>
      </w:pPr>
      <w:r>
        <w:rPr>
          <w:rFonts w:eastAsia="等线" w:ascii="Arial" w:cs="Arial" w:hAnsi="Arial"/>
          <w:b w:val="true"/>
          <w:sz w:val="22"/>
        </w:rPr>
        <w:t>第二十二条</w:t>
      </w:r>
      <w:r>
        <w:rPr>
          <w:rFonts w:eastAsia="等线" w:ascii="Arial" w:cs="Arial" w:hAnsi="Arial"/>
          <w:sz w:val="22"/>
        </w:rPr>
        <w:t xml:space="preserve"> 投资管理部应当根据立项标准和投资范围，对备选企业进行筛选形成项目池。项目人员应当在广泛收集项目方提供的商业计划书及其他相关信息材料的基础上，对入选项目池的项目进行初步评估和风险收益分析。符合立项条件的，根据公司规定申请立项审批。</w:t>
      </w:r>
    </w:p>
    <w:p>
      <w:pPr>
        <w:spacing w:before="120" w:after="120" w:line="288" w:lineRule="auto"/>
        <w:ind w:left="0" w:firstLine="420"/>
        <w:jc w:val="left"/>
      </w:pPr>
      <w:r>
        <w:rPr>
          <w:rFonts w:eastAsia="等线" w:ascii="Arial" w:cs="Arial" w:hAnsi="Arial"/>
          <w:b w:val="true"/>
          <w:sz w:val="22"/>
        </w:rPr>
        <w:t>第二十三条</w:t>
      </w:r>
      <w:r>
        <w:rPr>
          <w:rFonts w:eastAsia="等线" w:ascii="Arial" w:cs="Arial" w:hAnsi="Arial"/>
          <w:sz w:val="22"/>
        </w:rPr>
        <w:t xml:space="preserve"> 公司设立合规风控部，对公司管理和基金运营过程中的遵规守法情况以及公司内部风险控制制度的实施和落实情况进行监督、评价，及时、准确地发现问题并提出警示，最大限度降低公司和基金的违规风险。 </w:t>
      </w:r>
    </w:p>
    <w:p>
      <w:pPr>
        <w:spacing w:before="120" w:after="120" w:line="288" w:lineRule="auto"/>
        <w:ind w:left="0" w:firstLine="420"/>
        <w:jc w:val="left"/>
      </w:pPr>
      <w:r>
        <w:rPr>
          <w:rFonts w:eastAsia="等线" w:ascii="Arial" w:cs="Arial" w:hAnsi="Arial"/>
          <w:b w:val="true"/>
          <w:sz w:val="22"/>
        </w:rPr>
        <w:t xml:space="preserve">第二十四条 </w:t>
      </w:r>
      <w:r>
        <w:rPr>
          <w:rFonts w:eastAsia="等线" w:ascii="Arial" w:cs="Arial" w:hAnsi="Arial"/>
          <w:sz w:val="22"/>
        </w:rPr>
        <w:t>公司对投资项目的合法、合规性进行全面和重点分析和检查，控制投资业务的合规性风险。</w:t>
      </w:r>
    </w:p>
    <w:p>
      <w:pPr>
        <w:spacing w:before="120" w:after="120" w:line="288" w:lineRule="auto"/>
        <w:ind w:left="0" w:firstLine="420"/>
        <w:jc w:val="left"/>
      </w:pPr>
      <w:r>
        <w:rPr>
          <w:rFonts w:eastAsia="等线" w:ascii="Arial" w:cs="Arial" w:hAnsi="Arial"/>
          <w:b w:val="true"/>
          <w:sz w:val="22"/>
        </w:rPr>
        <w:t xml:space="preserve">第二十五条  </w:t>
      </w:r>
      <w:r>
        <w:rPr>
          <w:rFonts w:eastAsia="等线" w:ascii="Arial" w:cs="Arial" w:hAnsi="Arial"/>
          <w:sz w:val="22"/>
        </w:rPr>
        <w:t>公司通过以下手段对投资项目的合规风险进行事前和事中控制：</w:t>
      </w:r>
    </w:p>
    <w:p>
      <w:pPr>
        <w:spacing w:before="120" w:after="120" w:line="288" w:lineRule="auto"/>
        <w:ind w:left="0" w:firstLine="420"/>
        <w:jc w:val="left"/>
      </w:pPr>
      <w:r>
        <w:rPr>
          <w:rFonts w:eastAsia="等线" w:ascii="Arial" w:cs="Arial" w:hAnsi="Arial"/>
          <w:sz w:val="22"/>
        </w:rPr>
        <w:t>（一） 为保证投资业务合法、合规，制定、审查相关的管理制度和业务流程；</w:t>
      </w:r>
    </w:p>
    <w:p>
      <w:pPr>
        <w:spacing w:before="120" w:after="120" w:line="288" w:lineRule="auto"/>
        <w:ind w:left="0" w:firstLine="420"/>
        <w:jc w:val="left"/>
      </w:pPr>
      <w:r>
        <w:rPr>
          <w:rFonts w:eastAsia="等线" w:ascii="Arial" w:cs="Arial" w:hAnsi="Arial"/>
          <w:sz w:val="22"/>
        </w:rPr>
        <w:t>（二） 制订、审阅投资业务的相关合同、协议，确保合同的规范性和合法性；</w:t>
      </w:r>
    </w:p>
    <w:p>
      <w:pPr>
        <w:spacing w:before="120" w:after="120" w:line="288" w:lineRule="auto"/>
        <w:ind w:left="0" w:firstLine="420"/>
        <w:jc w:val="left"/>
      </w:pPr>
      <w:r>
        <w:rPr>
          <w:rFonts w:eastAsia="等线" w:ascii="Arial" w:cs="Arial" w:hAnsi="Arial"/>
          <w:sz w:val="22"/>
        </w:rPr>
        <w:t>（三） 监督投资业务管理制度和业务流程的执行情况，确保国家法律、法规和公司内部风险控制制度有效地执行；</w:t>
      </w:r>
    </w:p>
    <w:p>
      <w:pPr>
        <w:spacing w:before="120" w:after="120" w:line="288" w:lineRule="auto"/>
        <w:ind w:left="0" w:firstLine="420"/>
        <w:jc w:val="left"/>
      </w:pPr>
      <w:r>
        <w:rPr>
          <w:rFonts w:eastAsia="等线" w:ascii="Arial" w:cs="Arial" w:hAnsi="Arial"/>
          <w:sz w:val="22"/>
        </w:rPr>
        <w:t>（四） 确保投资业务投资决策服从国家产业政策，符合国家法律法规。</w:t>
      </w:r>
    </w:p>
    <w:p>
      <w:pPr>
        <w:spacing w:before="120" w:after="120" w:line="288" w:lineRule="auto"/>
        <w:ind w:left="0" w:firstLine="0"/>
        <w:jc w:val="left"/>
      </w:pPr>
      <w:r>
        <w:rPr>
          <w:rFonts w:eastAsia="等线" w:ascii="Arial" w:cs="Arial" w:hAnsi="Arial"/>
          <w:b w:val="true"/>
          <w:sz w:val="22"/>
        </w:rPr>
        <w:t>第二十六条</w:t>
      </w:r>
      <w:r>
        <w:rPr>
          <w:rFonts w:eastAsia="等线" w:ascii="Arial" w:cs="Arial" w:hAnsi="Arial"/>
          <w:sz w:val="22"/>
        </w:rPr>
        <w:t xml:space="preserve"> 公司通过以下手段对投资项目的合规风险进行事后控制：</w:t>
      </w:r>
    </w:p>
    <w:p>
      <w:pPr>
        <w:spacing w:before="120" w:after="120" w:line="288" w:lineRule="auto"/>
        <w:ind w:left="0" w:firstLine="420"/>
        <w:jc w:val="left"/>
      </w:pPr>
      <w:r>
        <w:rPr>
          <w:rFonts w:eastAsia="等线" w:ascii="Arial" w:cs="Arial" w:hAnsi="Arial"/>
          <w:sz w:val="22"/>
        </w:rPr>
        <w:t>（一） 制定投资业务的合规检查制度；</w:t>
      </w:r>
    </w:p>
    <w:p>
      <w:pPr>
        <w:spacing w:before="120" w:after="120" w:line="288" w:lineRule="auto"/>
        <w:ind w:left="0" w:firstLine="420"/>
        <w:jc w:val="left"/>
      </w:pPr>
      <w:r>
        <w:rPr>
          <w:rFonts w:eastAsia="等线" w:ascii="Arial" w:cs="Arial" w:hAnsi="Arial"/>
          <w:sz w:val="22"/>
        </w:rPr>
        <w:t>（二） 对投资业务运作和内部管理的合规性进行检查，并向公司通报；</w:t>
      </w:r>
    </w:p>
    <w:p>
      <w:pPr>
        <w:spacing w:before="120" w:after="120" w:line="288" w:lineRule="auto"/>
        <w:ind w:left="0" w:firstLine="420"/>
        <w:jc w:val="left"/>
      </w:pPr>
      <w:r>
        <w:rPr>
          <w:rFonts w:eastAsia="等线" w:ascii="Arial" w:cs="Arial" w:hAnsi="Arial"/>
          <w:sz w:val="22"/>
        </w:rPr>
        <w:t>（三） 检查相关管理制度和业务流程的执行情况，确保投资业务遵守公司内部制度。</w:t>
      </w:r>
    </w:p>
    <w:p>
      <w:pPr>
        <w:spacing w:before="120" w:after="120" w:line="288" w:lineRule="auto"/>
        <w:ind w:left="0" w:firstLine="420"/>
        <w:jc w:val="left"/>
      </w:pPr>
      <w:r>
        <w:rPr>
          <w:rFonts w:eastAsia="等线" w:ascii="Arial" w:cs="Arial" w:hAnsi="Arial"/>
          <w:b w:val="true"/>
          <w:sz w:val="22"/>
        </w:rPr>
        <w:t>第二十七条</w:t>
      </w:r>
      <w:r>
        <w:rPr>
          <w:rFonts w:eastAsia="等线" w:ascii="Arial" w:cs="Arial" w:hAnsi="Arial"/>
          <w:sz w:val="22"/>
        </w:rPr>
        <w:t xml:space="preserve"> 合规风控部应当对公司业务流程授权范围内的合同、协议等法律文书进行审核，防范法律风险。 </w:t>
      </w:r>
    </w:p>
    <w:p>
      <w:pPr>
        <w:spacing w:before="120" w:after="120" w:line="288" w:lineRule="auto"/>
        <w:ind w:left="0" w:firstLine="420"/>
        <w:jc w:val="left"/>
      </w:pPr>
      <w:r>
        <w:rPr>
          <w:rFonts w:eastAsia="等线" w:ascii="Arial" w:cs="Arial" w:hAnsi="Arial"/>
          <w:b w:val="true"/>
          <w:sz w:val="22"/>
        </w:rPr>
        <w:t xml:space="preserve">第二十八条 </w:t>
      </w:r>
      <w:r>
        <w:rPr>
          <w:rFonts w:eastAsia="等线" w:ascii="Arial" w:cs="Arial" w:hAnsi="Arial"/>
          <w:sz w:val="22"/>
        </w:rPr>
        <w:t xml:space="preserve">在投资项目运作过程中，合规风控部提供法律方面的专业支持。必要时，可申请引入外部中介机构提供法律服务，防范法律风险。 </w:t>
      </w:r>
    </w:p>
    <w:p>
      <w:pPr>
        <w:spacing w:before="120" w:after="120" w:line="288" w:lineRule="auto"/>
        <w:ind w:left="0" w:firstLine="420"/>
        <w:jc w:val="left"/>
      </w:pPr>
      <w:r>
        <w:rPr>
          <w:rFonts w:eastAsia="等线" w:ascii="Arial" w:cs="Arial" w:hAnsi="Arial"/>
          <w:b w:val="true"/>
          <w:sz w:val="22"/>
        </w:rPr>
        <w:t xml:space="preserve">第二十九条 </w:t>
      </w:r>
      <w:r>
        <w:rPr>
          <w:rFonts w:eastAsia="等线" w:ascii="Arial" w:cs="Arial" w:hAnsi="Arial"/>
          <w:sz w:val="22"/>
        </w:rPr>
        <w:t xml:space="preserve">公司制定专门的项目管理和投资决策制度，明确项目投资的业务流程和具体要求。 </w:t>
      </w:r>
    </w:p>
    <w:p>
      <w:pPr>
        <w:spacing w:before="120" w:after="120" w:line="288" w:lineRule="auto"/>
        <w:ind w:left="0" w:firstLine="420"/>
        <w:jc w:val="left"/>
      </w:pPr>
      <w:r>
        <w:rPr>
          <w:rFonts w:eastAsia="等线" w:ascii="Arial" w:cs="Arial" w:hAnsi="Arial"/>
          <w:b w:val="true"/>
          <w:sz w:val="22"/>
        </w:rPr>
        <w:t>第三十条</w:t>
      </w:r>
      <w:r>
        <w:rPr>
          <w:rFonts w:eastAsia="等线" w:ascii="Arial" w:cs="Arial" w:hAnsi="Arial"/>
          <w:sz w:val="22"/>
        </w:rPr>
        <w:t xml:space="preserve"> 项目投资的范围应当符合以下规定：</w:t>
      </w:r>
    </w:p>
    <w:p>
      <w:pPr>
        <w:spacing w:before="120" w:after="120" w:line="288" w:lineRule="auto"/>
        <w:ind w:left="0" w:firstLine="420"/>
        <w:jc w:val="left"/>
      </w:pPr>
      <w:r>
        <w:rPr>
          <w:rFonts w:eastAsia="等线" w:ascii="Arial" w:cs="Arial" w:hAnsi="Arial"/>
          <w:sz w:val="22"/>
        </w:rPr>
        <w:t>（一） 不得将公司资产用于资金拆借、贷款、抵押融资或者对外担保等用途；</w:t>
      </w:r>
    </w:p>
    <w:p>
      <w:pPr>
        <w:spacing w:before="120" w:after="120" w:line="288" w:lineRule="auto"/>
        <w:ind w:left="0" w:firstLine="420"/>
        <w:jc w:val="left"/>
      </w:pPr>
      <w:r>
        <w:rPr>
          <w:rFonts w:eastAsia="等线" w:ascii="Arial" w:cs="Arial" w:hAnsi="Arial"/>
          <w:sz w:val="22"/>
        </w:rPr>
        <w:t>（二） 不得将公司资产用于可能承担无限责任的投资；</w:t>
      </w:r>
    </w:p>
    <w:p>
      <w:pPr>
        <w:spacing w:before="120" w:after="120" w:line="288" w:lineRule="auto"/>
        <w:ind w:left="0" w:firstLine="420"/>
        <w:jc w:val="left"/>
      </w:pPr>
      <w:r>
        <w:rPr>
          <w:rFonts w:eastAsia="等线" w:ascii="Arial" w:cs="Arial" w:hAnsi="Arial"/>
          <w:sz w:val="22"/>
        </w:rPr>
        <w:t>（三） 法律法规以及公司章程约定禁止从事的其他投资；</w:t>
      </w:r>
    </w:p>
    <w:p>
      <w:pPr>
        <w:spacing w:before="120" w:after="120" w:line="288" w:lineRule="auto"/>
        <w:ind w:left="0" w:firstLine="420"/>
        <w:jc w:val="left"/>
      </w:pPr>
      <w:r>
        <w:rPr>
          <w:rFonts w:eastAsia="等线" w:ascii="Arial" w:cs="Arial" w:hAnsi="Arial"/>
          <w:b w:val="true"/>
          <w:sz w:val="22"/>
        </w:rPr>
        <w:t>第三十一条</w:t>
      </w:r>
      <w:r>
        <w:rPr>
          <w:rFonts w:eastAsia="等线" w:ascii="Arial" w:cs="Arial" w:hAnsi="Arial"/>
          <w:sz w:val="22"/>
        </w:rPr>
        <w:t xml:space="preserve"> 尽职调查的风险控制</w:t>
      </w:r>
    </w:p>
    <w:p>
      <w:pPr>
        <w:spacing w:before="120" w:after="120" w:line="288" w:lineRule="auto"/>
        <w:ind w:left="0" w:firstLine="420"/>
        <w:jc w:val="left"/>
      </w:pPr>
      <w:r>
        <w:rPr>
          <w:rFonts w:eastAsia="等线" w:ascii="Arial" w:cs="Arial" w:hAnsi="Arial"/>
          <w:sz w:val="22"/>
        </w:rPr>
        <w:t>（一） 公司建立尽职调查制度，规范尽职调查的工作内容。投资管理部在尽职调查期间应当严格遵守工作程序，记录尽职调查工作底稿，形成相关报告。</w:t>
      </w:r>
    </w:p>
    <w:p>
      <w:pPr>
        <w:spacing w:before="120" w:after="120" w:line="288" w:lineRule="auto"/>
        <w:ind w:left="0" w:firstLine="420"/>
        <w:jc w:val="left"/>
      </w:pPr>
      <w:r>
        <w:rPr>
          <w:rFonts w:eastAsia="等线" w:ascii="Arial" w:cs="Arial" w:hAnsi="Arial"/>
          <w:sz w:val="22"/>
        </w:rPr>
        <w:t>（二） 投资管理部开展尽职调查工作期间，项目负责人必须对拟投资企业进行实地考察。</w:t>
      </w:r>
    </w:p>
    <w:p>
      <w:pPr>
        <w:spacing w:before="120" w:after="120" w:line="288" w:lineRule="auto"/>
        <w:ind w:left="0" w:firstLine="420"/>
        <w:jc w:val="left"/>
      </w:pPr>
      <w:r>
        <w:rPr>
          <w:rFonts w:eastAsia="等线" w:ascii="Arial" w:cs="Arial" w:hAnsi="Arial"/>
          <w:sz w:val="22"/>
        </w:rPr>
        <w:t>（三） 投资管理部应当对尽职调查相关材料的真实性和完备性负责。</w:t>
      </w:r>
    </w:p>
    <w:p>
      <w:pPr>
        <w:spacing w:before="120" w:after="120" w:line="288" w:lineRule="auto"/>
        <w:ind w:left="0" w:firstLine="420"/>
        <w:jc w:val="left"/>
      </w:pPr>
      <w:r>
        <w:rPr>
          <w:rFonts w:eastAsia="等线" w:ascii="Arial" w:cs="Arial" w:hAnsi="Arial"/>
          <w:sz w:val="22"/>
        </w:rPr>
        <w:t>（四） 投资管理部认为必要时，可申请聘请外部中介机构，参与或独立进行调查工作。</w:t>
      </w:r>
    </w:p>
    <w:p>
      <w:pPr>
        <w:spacing w:before="120" w:after="120" w:line="288" w:lineRule="auto"/>
        <w:ind w:left="0" w:firstLine="420"/>
        <w:jc w:val="left"/>
      </w:pPr>
      <w:r>
        <w:rPr>
          <w:rFonts w:eastAsia="等线" w:ascii="Arial" w:cs="Arial" w:hAnsi="Arial"/>
          <w:b w:val="true"/>
          <w:sz w:val="22"/>
        </w:rPr>
        <w:t>第三十二条</w:t>
      </w:r>
      <w:r>
        <w:rPr>
          <w:rFonts w:eastAsia="等线" w:ascii="Arial" w:cs="Arial" w:hAnsi="Arial"/>
          <w:sz w:val="22"/>
        </w:rPr>
        <w:t xml:space="preserve">  投资决策的风险控制</w:t>
      </w:r>
    </w:p>
    <w:p>
      <w:pPr>
        <w:spacing w:before="120" w:after="120" w:line="288" w:lineRule="auto"/>
        <w:ind w:left="0" w:firstLine="420"/>
        <w:jc w:val="left"/>
      </w:pPr>
      <w:r>
        <w:rPr>
          <w:rFonts w:eastAsia="等线" w:ascii="Arial" w:cs="Arial" w:hAnsi="Arial"/>
          <w:sz w:val="22"/>
        </w:rPr>
        <w:t>（一） 合规风控部对项目投资或退出的相关材料进行审核，独立发表审核意见；</w:t>
      </w:r>
    </w:p>
    <w:p>
      <w:pPr>
        <w:spacing w:before="120" w:after="120" w:line="288" w:lineRule="auto"/>
        <w:ind w:left="0" w:firstLine="420"/>
        <w:jc w:val="left"/>
      </w:pPr>
      <w:r>
        <w:rPr>
          <w:rFonts w:eastAsia="等线" w:ascii="Arial" w:cs="Arial" w:hAnsi="Arial"/>
          <w:sz w:val="22"/>
        </w:rPr>
        <w:t xml:space="preserve">（二） 公司可以根据需要委派专人或聘请外部专业机构进驻现场进行独立的尽职调查，提交独立的调查报告； </w:t>
      </w:r>
    </w:p>
    <w:p>
      <w:pPr>
        <w:spacing w:before="120" w:after="120" w:line="288" w:lineRule="auto"/>
        <w:ind w:left="0" w:firstLine="420"/>
        <w:jc w:val="left"/>
      </w:pPr>
      <w:r>
        <w:rPr>
          <w:rFonts w:eastAsia="等线" w:ascii="Arial" w:cs="Arial" w:hAnsi="Arial"/>
          <w:sz w:val="22"/>
        </w:rPr>
        <w:t>（三） 公司投资业务的项目投资和项目退出必须经投资管理部和合规风控部通过，并提交总经理审议。</w:t>
      </w:r>
    </w:p>
    <w:p>
      <w:pPr>
        <w:spacing w:before="120" w:after="120" w:line="288" w:lineRule="auto"/>
        <w:ind w:left="0" w:firstLine="420"/>
        <w:jc w:val="left"/>
      </w:pPr>
      <w:r>
        <w:rPr>
          <w:rFonts w:eastAsia="等线" w:ascii="Arial" w:cs="Arial" w:hAnsi="Arial"/>
          <w:b w:val="true"/>
          <w:sz w:val="22"/>
        </w:rPr>
        <w:t>第三十三条</w:t>
      </w:r>
      <w:r>
        <w:rPr>
          <w:rFonts w:eastAsia="等线" w:ascii="Arial" w:cs="Arial" w:hAnsi="Arial"/>
          <w:sz w:val="22"/>
        </w:rPr>
        <w:t xml:space="preserve">  项目管理的风险控制。公司建立对已投资项目的跟踪管理机制，投资管理部负责项目投资后的跟踪管理，具体包括：定期实地回访项目公司；定期收集项目公司经营资料、财务资料等；定期对项目公司进行重新估值；定期对原定退出方案的可行性进行重新评估等。</w:t>
      </w:r>
    </w:p>
    <w:p>
      <w:pPr>
        <w:spacing w:before="120" w:after="120" w:line="288" w:lineRule="auto"/>
        <w:ind w:left="0" w:firstLine="420"/>
        <w:jc w:val="left"/>
      </w:pPr>
      <w:r>
        <w:rPr>
          <w:rFonts w:eastAsia="等线" w:ascii="Arial" w:cs="Arial" w:hAnsi="Arial"/>
          <w:b w:val="true"/>
          <w:sz w:val="22"/>
        </w:rPr>
        <w:t>第三十四条</w:t>
      </w:r>
      <w:r>
        <w:rPr>
          <w:rFonts w:eastAsia="等线" w:ascii="Arial" w:cs="Arial" w:hAnsi="Arial"/>
          <w:sz w:val="22"/>
        </w:rPr>
        <w:t xml:space="preserve"> 公司建立重大事项报告和应急处置机制。投资管理部在项目跟踪过程中发现公司管理的基金作为股东在项目公司中的权益发生变动、或者项目公司的财务指标恶化、亏损等重大事项的，投资管理部应当及时报告。同时建立好相应的应急处置机制。 </w:t>
      </w:r>
    </w:p>
    <w:p>
      <w:pPr>
        <w:spacing w:before="120" w:after="120" w:line="288" w:lineRule="auto"/>
        <w:ind w:left="0" w:firstLine="420"/>
        <w:jc w:val="left"/>
      </w:pPr>
      <w:r>
        <w:rPr>
          <w:rFonts w:eastAsia="等线" w:ascii="Arial" w:cs="Arial" w:hAnsi="Arial"/>
          <w:b w:val="true"/>
          <w:sz w:val="22"/>
        </w:rPr>
        <w:t xml:space="preserve">第三十五条 </w:t>
      </w:r>
      <w:r>
        <w:rPr>
          <w:rFonts w:eastAsia="等线" w:ascii="Arial" w:cs="Arial" w:hAnsi="Arial"/>
          <w:sz w:val="22"/>
        </w:rPr>
        <w:t xml:space="preserve">公司建立项目退出审批机制，对项目退出进行决策。当项目达到预期投资目标或出现重大紧急事项需要退出时，投资管理部根据具体情况，制定退出方案，报合规风控部和总经理审议。退出方案未通过审议的，投资管理部应当研究并重新设计退出方案，直至项目实现退出。 </w:t>
      </w:r>
    </w:p>
    <w:p>
      <w:pPr>
        <w:spacing w:before="120" w:after="120" w:line="288" w:lineRule="auto"/>
        <w:ind w:left="0" w:firstLine="420"/>
        <w:jc w:val="left"/>
      </w:pPr>
      <w:r>
        <w:rPr>
          <w:rFonts w:eastAsia="等线" w:ascii="Arial" w:cs="Arial" w:hAnsi="Arial"/>
          <w:b w:val="true"/>
          <w:sz w:val="22"/>
        </w:rPr>
        <w:t xml:space="preserve">第三十六条 </w:t>
      </w:r>
      <w:r>
        <w:rPr>
          <w:rFonts w:eastAsia="等线" w:ascii="Arial" w:cs="Arial" w:hAnsi="Arial"/>
          <w:sz w:val="22"/>
        </w:rPr>
        <w:t>首先，基金将合理控制资产比例，力争退出渠道的多元和确保流动性；其次，基金可选择通过在投资协议中约定被投资企业每年进行现金分红；最后，基金将做好后续募集的衔接工作，保证一定比例的流动资金。</w:t>
      </w:r>
    </w:p>
    <w:p>
      <w:pPr>
        <w:spacing w:before="120" w:after="120" w:line="288" w:lineRule="auto"/>
        <w:ind w:left="0" w:firstLine="420"/>
        <w:jc w:val="left"/>
      </w:pPr>
      <w:r>
        <w:rPr>
          <w:rFonts w:eastAsia="等线" w:ascii="Arial" w:cs="Arial" w:hAnsi="Arial"/>
          <w:b w:val="true"/>
          <w:sz w:val="22"/>
        </w:rPr>
        <w:t xml:space="preserve">第三十七条 </w:t>
      </w:r>
      <w:r>
        <w:rPr>
          <w:rFonts w:eastAsia="等线" w:ascii="Arial" w:cs="Arial" w:hAnsi="Arial"/>
          <w:sz w:val="22"/>
        </w:rPr>
        <w:t xml:space="preserve">首先，加强对员工的守法意识、职业道德的教育，员工必须根据自身的工作岗位，提交自律承诺书，保证严格执行国家有关法律、法规和公司各项规章制度中的有关规定。员工的守法情况和职业道德将作为录用和提升的重要标准；其次，根据不同的岗位和职责，制定相应的业务规则，明确各个岗位对保证公司规范运作的责任，规范各自的行为。 </w:t>
      </w:r>
    </w:p>
    <w:p>
      <w:pPr>
        <w:spacing w:before="120" w:after="120" w:line="288" w:lineRule="auto"/>
        <w:ind w:left="0" w:firstLine="420"/>
        <w:jc w:val="left"/>
      </w:pPr>
      <w:r>
        <w:rPr>
          <w:rFonts w:eastAsia="等线" w:ascii="Arial" w:cs="Arial" w:hAnsi="Arial"/>
          <w:b w:val="true"/>
          <w:sz w:val="22"/>
        </w:rPr>
        <w:t>第三十八条</w:t>
      </w:r>
      <w:r>
        <w:rPr>
          <w:rFonts w:eastAsia="等线" w:ascii="Arial" w:cs="Arial" w:hAnsi="Arial"/>
          <w:sz w:val="22"/>
        </w:rPr>
        <w:t xml:space="preserve"> 公司建立完善的资产分离制度，基金资产与公司自有资产、不同基金之间的资产要实行独立运作，分别核算。</w:t>
      </w:r>
    </w:p>
    <w:p>
      <w:pPr>
        <w:spacing w:before="120" w:after="120" w:line="288" w:lineRule="auto"/>
        <w:ind w:left="0" w:firstLine="420"/>
        <w:jc w:val="left"/>
      </w:pPr>
      <w:r>
        <w:rPr>
          <w:rFonts w:eastAsia="等线" w:ascii="Arial" w:cs="Arial" w:hAnsi="Arial"/>
          <w:b w:val="true"/>
          <w:sz w:val="22"/>
        </w:rPr>
        <w:t>第三十九条</w:t>
      </w:r>
      <w:r>
        <w:rPr>
          <w:rFonts w:eastAsia="等线" w:ascii="Arial" w:cs="Arial" w:hAnsi="Arial"/>
          <w:sz w:val="22"/>
        </w:rPr>
        <w:t xml:space="preserve"> 公司建立科学、严格的岗位分离制度，明确划分各部门和各岗位职责，重要业务部门和岗位应当进行物理隔离。</w:t>
      </w:r>
    </w:p>
    <w:p>
      <w:pPr>
        <w:spacing w:before="120" w:after="120" w:line="288" w:lineRule="auto"/>
        <w:ind w:left="0" w:firstLine="420"/>
        <w:jc w:val="left"/>
      </w:pPr>
      <w:r>
        <w:rPr>
          <w:rFonts w:eastAsia="等线" w:ascii="Arial" w:cs="Arial" w:hAnsi="Arial"/>
          <w:b w:val="true"/>
          <w:sz w:val="22"/>
        </w:rPr>
        <w:t xml:space="preserve">第四十条 </w:t>
      </w:r>
      <w:r>
        <w:rPr>
          <w:rFonts w:eastAsia="等线" w:ascii="Arial" w:cs="Arial" w:hAnsi="Arial"/>
          <w:sz w:val="22"/>
        </w:rPr>
        <w:t xml:space="preserve">公司全体工作人员应积极配合总经理、合规风控部对公司风控情况的检查和评价，不得妨碍其履行职责，不得隐瞒真实情况，提供虚假信息。 </w:t>
      </w:r>
    </w:p>
    <w:p>
      <w:pPr>
        <w:spacing w:before="120" w:after="120" w:line="288" w:lineRule="auto"/>
        <w:ind w:left="0" w:firstLine="420"/>
        <w:jc w:val="left"/>
      </w:pPr>
      <w:r>
        <w:rPr>
          <w:rFonts w:eastAsia="等线" w:ascii="Arial" w:cs="Arial" w:hAnsi="Arial"/>
          <w:b w:val="true"/>
          <w:sz w:val="22"/>
        </w:rPr>
        <w:t xml:space="preserve">第四十一条 </w:t>
      </w:r>
      <w:r>
        <w:rPr>
          <w:rFonts w:eastAsia="等线" w:ascii="Arial" w:cs="Arial" w:hAnsi="Arial"/>
          <w:sz w:val="22"/>
        </w:rPr>
        <w:t>公司建立健全风控管理缺陷的纠正与处理机制，根据风控检查情况和评价结果，及时进行整改和纠正，并对落实情况进行跟踪检查。</w:t>
      </w:r>
    </w:p>
    <w:p>
      <w:pPr>
        <w:spacing w:before="120" w:after="120" w:line="288" w:lineRule="auto"/>
        <w:ind w:left="0" w:firstLine="420"/>
        <w:jc w:val="left"/>
      </w:pPr>
      <w:r>
        <w:rPr>
          <w:rFonts w:eastAsia="等线" w:ascii="Arial" w:cs="Arial" w:hAnsi="Arial"/>
          <w:b w:val="true"/>
          <w:sz w:val="22"/>
        </w:rPr>
        <w:t>第四十二条</w:t>
      </w:r>
      <w:r>
        <w:rPr>
          <w:rFonts w:eastAsia="等线" w:ascii="Arial" w:cs="Arial" w:hAnsi="Arial"/>
          <w:sz w:val="22"/>
        </w:rPr>
        <w:t xml:space="preserve"> 公司建立有效的风控问责制度，对违法违规行为进行严格的责任追究。公司总经理、合规风控部对风控管理的有效性进行评估，及时发现和督促解决风控管理中存在的问题；对公司风控管理的有效性的全面评估，每年不得少于一次。公司或总经理在必要时，也可委托外部专业机构对公司风控管理的有效性进行评估。</w:t>
      </w:r>
    </w:p>
    <w:p>
      <w:pPr>
        <w:spacing w:before="120" w:after="120" w:line="288" w:lineRule="auto"/>
        <w:ind w:left="0" w:firstLine="420"/>
        <w:jc w:val="left"/>
      </w:pPr>
      <w:r>
        <w:rPr>
          <w:rFonts w:eastAsia="等线" w:ascii="Arial" w:cs="Arial" w:hAnsi="Arial"/>
          <w:b w:val="true"/>
          <w:sz w:val="22"/>
        </w:rPr>
        <w:t xml:space="preserve">第四十三条 </w:t>
      </w:r>
      <w:r>
        <w:rPr>
          <w:rFonts w:eastAsia="等线" w:ascii="Arial" w:cs="Arial" w:hAnsi="Arial"/>
          <w:sz w:val="22"/>
        </w:rPr>
        <w:t>公司建立绩效考核制度，将风控管理的有效性和执业行为的风控可控性，纳入绩效考核范围。</w:t>
      </w:r>
    </w:p>
    <w:p>
      <w:pPr>
        <w:spacing w:before="120" w:after="120" w:line="288" w:lineRule="auto"/>
        <w:ind w:left="0" w:firstLine="420"/>
        <w:jc w:val="left"/>
      </w:pPr>
      <w:r>
        <w:rPr>
          <w:rFonts w:eastAsia="等线" w:ascii="Arial" w:cs="Arial" w:hAnsi="Arial"/>
          <w:b w:val="true"/>
          <w:sz w:val="22"/>
        </w:rPr>
        <w:t xml:space="preserve">第四十四条 </w:t>
      </w:r>
      <w:r>
        <w:rPr>
          <w:rFonts w:eastAsia="等线" w:ascii="Arial" w:cs="Arial" w:hAnsi="Arial"/>
          <w:sz w:val="22"/>
        </w:rPr>
        <w:t>本制度依据现行有效的法律、法规的有关规定而制定，公司将适时根据有关法律、法规的要求和公司业务的发展作进一步的调整和完善；如遇有关法律、法规作出调整与本制度不一致时，公司将依据新的法律、法规的规定执行。</w:t>
      </w:r>
    </w:p>
    <w:p>
      <w:pPr>
        <w:spacing w:before="120" w:after="120" w:line="288" w:lineRule="auto"/>
        <w:ind w:left="0" w:firstLine="420"/>
        <w:jc w:val="left"/>
      </w:pPr>
      <w:r>
        <w:rPr>
          <w:rFonts w:eastAsia="等线" w:ascii="Arial" w:cs="Arial" w:hAnsi="Arial"/>
          <w:b w:val="true"/>
          <w:sz w:val="22"/>
        </w:rPr>
        <w:t xml:space="preserve">第四十五条 </w:t>
      </w:r>
      <w:r>
        <w:rPr>
          <w:rFonts w:eastAsia="等线" w:ascii="Arial" w:cs="Arial" w:hAnsi="Arial"/>
          <w:sz w:val="22"/>
        </w:rPr>
        <w:t xml:space="preserve">本制度由合规风控部负责解释和修订，经公司审议通过后自发布之日起生效施行。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8" w:id="8"/>
      <w:r>
        <w:rPr>
          <w:rFonts w:eastAsia="等线" w:ascii="Arial" w:cs="Arial" w:hAnsi="Arial"/>
          <w:b w:val="true"/>
          <w:sz w:val="30"/>
        </w:rPr>
        <w:t>第二节 信息披露管理制度</w:t>
      </w:r>
      <w:bookmarkEnd w:id="8"/>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了保证公司股权投资基金的投资工作规范、有序、高效、科学地进行，保护投资者合法权益，规范公司私募投资基金的信息披露活动，根据《私募投资基金监督管理条例》、《证券投资基金法》、《私募投资基金监督管理暂行办法》、《私募投资基金管理人登记和基金备案办法（试行）》、《私募投资基金信息披露管理办法》、《私募投资基金管理人内部控制指引》等法律法规及相关自律规则，制定本制度。</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公司应当按照中国基金业协会的规定以及基金合同的约定向投资者进行信息披露。</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公司应当建立健全信息披露控制，维护信息沟通渠道的畅通，保证披露信息的真实性、准确性、完整性和及时性，不存在虚假记载、误导性陈述或重大遗漏。</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公司作为信息披露义务人应当依法对所获取的私募基金非公开披露的全部信息、商业秘密、个人隐私等信息负有保密义务。</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信息披露是公司的持续责任，公司应该忠实诚信地履行持续信息披露的义务，体现公开、公正、公平对待所有基金份额持有人的原则。</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 xml:space="preserve">公司作为信息披露义务人披露基金信息，不得存在以下行为： </w:t>
      </w:r>
    </w:p>
    <w:p>
      <w:pPr>
        <w:spacing w:before="120" w:after="120" w:line="288" w:lineRule="auto"/>
        <w:ind w:left="0" w:firstLine="420"/>
        <w:jc w:val="left"/>
      </w:pPr>
      <w:r>
        <w:rPr>
          <w:rFonts w:eastAsia="等线" w:ascii="Arial" w:cs="Arial" w:hAnsi="Arial"/>
          <w:sz w:val="22"/>
        </w:rPr>
        <w:t>（一） 公开披露或者变相公开披露；</w:t>
      </w:r>
    </w:p>
    <w:p>
      <w:pPr>
        <w:spacing w:before="120" w:after="120" w:line="288" w:lineRule="auto"/>
        <w:ind w:left="0" w:firstLine="420"/>
        <w:jc w:val="left"/>
      </w:pPr>
      <w:r>
        <w:rPr>
          <w:rFonts w:eastAsia="等线" w:ascii="Arial" w:cs="Arial" w:hAnsi="Arial"/>
          <w:sz w:val="22"/>
        </w:rPr>
        <w:t>（二） 虚假记载、误导性陈述或者重大遗漏；</w:t>
      </w:r>
    </w:p>
    <w:p>
      <w:pPr>
        <w:spacing w:before="120" w:after="120" w:line="288" w:lineRule="auto"/>
        <w:ind w:left="0" w:firstLine="420"/>
        <w:jc w:val="left"/>
      </w:pPr>
      <w:r>
        <w:rPr>
          <w:rFonts w:eastAsia="等线" w:ascii="Arial" w:cs="Arial" w:hAnsi="Arial"/>
          <w:sz w:val="22"/>
        </w:rPr>
        <w:t>（三） 对投资业绩进行预测；</w:t>
      </w:r>
    </w:p>
    <w:p>
      <w:pPr>
        <w:spacing w:before="120" w:after="120" w:line="288" w:lineRule="auto"/>
        <w:ind w:left="0" w:firstLine="420"/>
        <w:jc w:val="left"/>
      </w:pPr>
      <w:r>
        <w:rPr>
          <w:rFonts w:eastAsia="等线" w:ascii="Arial" w:cs="Arial" w:hAnsi="Arial"/>
          <w:sz w:val="22"/>
        </w:rPr>
        <w:t>（四） 违规承诺收益或者承担损失；</w:t>
      </w:r>
    </w:p>
    <w:p>
      <w:pPr>
        <w:spacing w:before="120" w:after="120" w:line="288" w:lineRule="auto"/>
        <w:ind w:left="0" w:firstLine="420"/>
        <w:jc w:val="left"/>
      </w:pPr>
      <w:r>
        <w:rPr>
          <w:rFonts w:eastAsia="等线" w:ascii="Arial" w:cs="Arial" w:hAnsi="Arial"/>
          <w:sz w:val="22"/>
        </w:rPr>
        <w:t>（五） 诋毁其他基金管理人、基金托管人或者基金销售机构；</w:t>
      </w:r>
    </w:p>
    <w:p>
      <w:pPr>
        <w:spacing w:before="120" w:after="120" w:line="288" w:lineRule="auto"/>
        <w:ind w:left="0" w:firstLine="420"/>
        <w:jc w:val="left"/>
      </w:pPr>
      <w:r>
        <w:rPr>
          <w:rFonts w:eastAsia="等线" w:ascii="Arial" w:cs="Arial" w:hAnsi="Arial"/>
          <w:sz w:val="22"/>
        </w:rPr>
        <w:t>（六） 登载任何自然人、法人或者其他组织的祝贺性、恭维性或推荐性的文字；</w:t>
      </w:r>
    </w:p>
    <w:p>
      <w:pPr>
        <w:spacing w:before="120" w:after="120" w:line="288" w:lineRule="auto"/>
        <w:ind w:left="0" w:firstLine="420"/>
        <w:jc w:val="left"/>
      </w:pPr>
      <w:r>
        <w:rPr>
          <w:rFonts w:eastAsia="等线" w:ascii="Arial" w:cs="Arial" w:hAnsi="Arial"/>
          <w:sz w:val="22"/>
        </w:rPr>
        <w:t>（七） 用不具有可比性、公平性、准确性、权威性的数据来源和方法进行业绩比较，任意使用“业绩最佳”、“规模最大”等相关措辞；</w:t>
      </w:r>
    </w:p>
    <w:p>
      <w:pPr>
        <w:spacing w:before="120" w:after="120" w:line="288" w:lineRule="auto"/>
        <w:ind w:left="0" w:firstLine="420"/>
        <w:jc w:val="left"/>
      </w:pPr>
      <w:r>
        <w:rPr>
          <w:rFonts w:eastAsia="等线" w:ascii="Arial" w:cs="Arial" w:hAnsi="Arial"/>
          <w:sz w:val="22"/>
        </w:rPr>
        <w:t xml:space="preserve">（八）法律、行政法规、中国证监会和中国基金业协会禁止的其他行为。 </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 xml:space="preserve">公司作为信息披露义务人应当向投资者披露的信息包括： </w:t>
      </w:r>
    </w:p>
    <w:p>
      <w:pPr>
        <w:spacing w:before="120" w:after="120" w:line="288" w:lineRule="auto"/>
        <w:ind w:left="0" w:firstLine="420"/>
        <w:jc w:val="left"/>
      </w:pPr>
      <w:r>
        <w:rPr>
          <w:rFonts w:eastAsia="等线" w:ascii="Arial" w:cs="Arial" w:hAnsi="Arial"/>
          <w:sz w:val="22"/>
        </w:rPr>
        <w:t>（一） 基金合同；</w:t>
      </w:r>
    </w:p>
    <w:p>
      <w:pPr>
        <w:spacing w:before="120" w:after="120" w:line="288" w:lineRule="auto"/>
        <w:ind w:left="0" w:firstLine="420"/>
        <w:jc w:val="left"/>
      </w:pPr>
      <w:r>
        <w:rPr>
          <w:rFonts w:eastAsia="等线" w:ascii="Arial" w:cs="Arial" w:hAnsi="Arial"/>
          <w:sz w:val="22"/>
        </w:rPr>
        <w:t>（二） 招募说明书等宣传推介文件；</w:t>
      </w:r>
    </w:p>
    <w:p>
      <w:pPr>
        <w:spacing w:before="120" w:after="120" w:line="288" w:lineRule="auto"/>
        <w:ind w:left="0" w:firstLine="420"/>
        <w:jc w:val="left"/>
      </w:pPr>
      <w:r>
        <w:rPr>
          <w:rFonts w:eastAsia="等线" w:ascii="Arial" w:cs="Arial" w:hAnsi="Arial"/>
          <w:sz w:val="22"/>
        </w:rPr>
        <w:t xml:space="preserve">（三） 基金销售协议中的主要权利义务条款（如有）； </w:t>
      </w:r>
    </w:p>
    <w:p>
      <w:pPr>
        <w:spacing w:before="120" w:after="120" w:line="288" w:lineRule="auto"/>
        <w:ind w:left="0" w:firstLine="420"/>
        <w:jc w:val="left"/>
      </w:pPr>
      <w:r>
        <w:rPr>
          <w:rFonts w:eastAsia="等线" w:ascii="Arial" w:cs="Arial" w:hAnsi="Arial"/>
          <w:sz w:val="22"/>
        </w:rPr>
        <w:t>（四） 基金的投资情况；</w:t>
      </w:r>
    </w:p>
    <w:p>
      <w:pPr>
        <w:spacing w:before="120" w:after="120" w:line="288" w:lineRule="auto"/>
        <w:ind w:left="0" w:firstLine="420"/>
        <w:jc w:val="left"/>
      </w:pPr>
      <w:r>
        <w:rPr>
          <w:rFonts w:eastAsia="等线" w:ascii="Arial" w:cs="Arial" w:hAnsi="Arial"/>
          <w:sz w:val="22"/>
        </w:rPr>
        <w:t>（五） 基金的资产负债情况；</w:t>
      </w:r>
    </w:p>
    <w:p>
      <w:pPr>
        <w:spacing w:before="120" w:after="120" w:line="288" w:lineRule="auto"/>
        <w:ind w:left="0" w:firstLine="420"/>
        <w:jc w:val="left"/>
      </w:pPr>
      <w:r>
        <w:rPr>
          <w:rFonts w:eastAsia="等线" w:ascii="Arial" w:cs="Arial" w:hAnsi="Arial"/>
          <w:sz w:val="22"/>
        </w:rPr>
        <w:t>（六） 基金的投资收益分配情况；</w:t>
      </w:r>
    </w:p>
    <w:p>
      <w:pPr>
        <w:spacing w:before="120" w:after="120" w:line="288" w:lineRule="auto"/>
        <w:ind w:left="0" w:firstLine="420"/>
        <w:jc w:val="left"/>
      </w:pPr>
      <w:r>
        <w:rPr>
          <w:rFonts w:eastAsia="等线" w:ascii="Arial" w:cs="Arial" w:hAnsi="Arial"/>
          <w:sz w:val="22"/>
        </w:rPr>
        <w:t>（七） 基金承担的费用和业绩报酬安排；</w:t>
      </w:r>
    </w:p>
    <w:p>
      <w:pPr>
        <w:spacing w:before="120" w:after="120" w:line="288" w:lineRule="auto"/>
        <w:ind w:left="0" w:firstLine="420"/>
        <w:jc w:val="left"/>
      </w:pPr>
      <w:r>
        <w:rPr>
          <w:rFonts w:eastAsia="等线" w:ascii="Arial" w:cs="Arial" w:hAnsi="Arial"/>
          <w:sz w:val="22"/>
        </w:rPr>
        <w:t>（八） 可能存在的利益冲突；</w:t>
      </w:r>
    </w:p>
    <w:p>
      <w:pPr>
        <w:spacing w:before="120" w:after="120" w:line="288" w:lineRule="auto"/>
        <w:ind w:left="0" w:firstLine="420"/>
        <w:jc w:val="left"/>
      </w:pPr>
      <w:r>
        <w:rPr>
          <w:rFonts w:eastAsia="等线" w:ascii="Arial" w:cs="Arial" w:hAnsi="Arial"/>
          <w:sz w:val="22"/>
        </w:rPr>
        <w:t>（九） 涉及私募基金管理业务、基金财产、基金托管业务的重大诉讼、仲裁；</w:t>
      </w:r>
    </w:p>
    <w:p>
      <w:pPr>
        <w:spacing w:before="120" w:after="120" w:line="288" w:lineRule="auto"/>
        <w:ind w:left="0" w:firstLine="420"/>
        <w:jc w:val="left"/>
      </w:pPr>
      <w:r>
        <w:rPr>
          <w:rFonts w:eastAsia="等线" w:ascii="Arial" w:cs="Arial" w:hAnsi="Arial"/>
          <w:sz w:val="22"/>
        </w:rPr>
        <w:t>（十） 中国证监会以及中国基金业协会规定的影响投资者合法权益的其他重大信息。</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公司作为信息披露义务人应当按照中国基金业协会的规定以及基金合同、公司章程或者合伙协议（以下统称基金合同）约定的频度以信息披露报告的方式通过电子邮件或者快递邮寄等渠道向投资者进行信息披露。</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信息披露报告的内容与格式详见附件。</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公司作为信息披露义务人保证信息披露报告的及时性，且披露的信息不存在任何虚假记载、误导性陈述或者重大遗漏，并对内容的真实性、准确性、完整性承担法律责任。</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公司应当按照基金业协会的规定通过基金业协会指定的私募基金信息披露备份平台向基金业协会报送信息。公司应当引导投资者登陆基金业协会指定的私募基金信息披露备份平台查询披露信息。</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私募基金的宣传推介材料（如招募说明书）内容应当如实披露基金产品的基本信息，与基金合同保持一致。如有不一致，应当向投资者特别说明。</w:t>
      </w:r>
    </w:p>
    <w:p>
      <w:pPr>
        <w:spacing w:before="120" w:after="120" w:line="288" w:lineRule="auto"/>
        <w:ind w:left="0" w:firstLine="420"/>
        <w:jc w:val="left"/>
      </w:pPr>
      <w:r>
        <w:rPr>
          <w:rFonts w:eastAsia="等线" w:ascii="Arial" w:cs="Arial" w:hAnsi="Arial"/>
          <w:b w:val="true"/>
          <w:sz w:val="22"/>
        </w:rPr>
        <w:t xml:space="preserve">第十三条 </w:t>
      </w:r>
      <w:r>
        <w:rPr>
          <w:rFonts w:eastAsia="等线" w:ascii="Arial" w:cs="Arial" w:hAnsi="Arial"/>
          <w:sz w:val="22"/>
        </w:rPr>
        <w:t>私募基金募集期间，应当在宣传推介材料（如招募说明书）中向投资者披露如下信息：</w:t>
      </w:r>
    </w:p>
    <w:p>
      <w:pPr>
        <w:spacing w:before="120" w:after="120" w:line="288" w:lineRule="auto"/>
        <w:ind w:left="0" w:firstLine="420"/>
        <w:jc w:val="left"/>
      </w:pPr>
      <w:r>
        <w:rPr>
          <w:rFonts w:eastAsia="等线" w:ascii="Arial" w:cs="Arial" w:hAnsi="Arial"/>
          <w:sz w:val="22"/>
        </w:rPr>
        <w:t>（一） 基金的基本信息：基金名称、基金架构（是否为母子基金、是否有平行基金）、 基金类型、基金注册地（如有）、基金募集规模、最低认缴出资额、基金运作方式（封闭式、开放式或者其他方式）、基金的存续期限、基金联系人和联系信息、基金托管人（如有）；</w:t>
      </w:r>
    </w:p>
    <w:p>
      <w:pPr>
        <w:spacing w:before="120" w:after="120" w:line="288" w:lineRule="auto"/>
        <w:ind w:left="0" w:firstLine="420"/>
        <w:jc w:val="left"/>
      </w:pPr>
      <w:r>
        <w:rPr>
          <w:rFonts w:eastAsia="等线" w:ascii="Arial" w:cs="Arial" w:hAnsi="Arial"/>
          <w:sz w:val="22"/>
        </w:rPr>
        <w:t>（二） 基金管理人基本信息：基金管理人名称、注册地/主要经营地址、成立时间、组织形式、基金管理人在中国基金业协会的登记备案情况；</w:t>
      </w:r>
    </w:p>
    <w:p>
      <w:pPr>
        <w:spacing w:before="120" w:after="120" w:line="288" w:lineRule="auto"/>
        <w:ind w:left="0" w:firstLine="420"/>
        <w:jc w:val="left"/>
      </w:pPr>
      <w:r>
        <w:rPr>
          <w:rFonts w:eastAsia="等线" w:ascii="Arial" w:cs="Arial" w:hAnsi="Arial"/>
          <w:sz w:val="22"/>
        </w:rPr>
        <w:t>（三） 基金的投资信息：基金的投资目标、投资策略、投资方向、业绩比较基准（如有）、风险收益特征等；</w:t>
      </w:r>
    </w:p>
    <w:p>
      <w:pPr>
        <w:spacing w:before="120" w:after="120" w:line="288" w:lineRule="auto"/>
        <w:ind w:left="0" w:firstLine="420"/>
        <w:jc w:val="left"/>
      </w:pPr>
      <w:r>
        <w:rPr>
          <w:rFonts w:eastAsia="等线" w:ascii="Arial" w:cs="Arial" w:hAnsi="Arial"/>
          <w:sz w:val="22"/>
        </w:rPr>
        <w:t xml:space="preserve">（四） 基金的募集期限：应载明基金首轮交割日以及最后交割日事项（如有）； </w:t>
      </w:r>
    </w:p>
    <w:p>
      <w:pPr>
        <w:spacing w:before="120" w:after="120" w:line="288" w:lineRule="auto"/>
        <w:ind w:left="0" w:firstLine="420"/>
        <w:jc w:val="left"/>
      </w:pPr>
      <w:r>
        <w:rPr>
          <w:rFonts w:eastAsia="等线" w:ascii="Arial" w:cs="Arial" w:hAnsi="Arial"/>
          <w:sz w:val="22"/>
        </w:rPr>
        <w:t>（五）基金估值政策、程序和定价模式；</w:t>
      </w:r>
    </w:p>
    <w:p>
      <w:pPr>
        <w:spacing w:before="120" w:after="120" w:line="288" w:lineRule="auto"/>
        <w:ind w:left="0" w:firstLine="420"/>
        <w:jc w:val="left"/>
      </w:pPr>
      <w:r>
        <w:rPr>
          <w:rFonts w:eastAsia="等线" w:ascii="Arial" w:cs="Arial" w:hAnsi="Arial"/>
          <w:sz w:val="22"/>
        </w:rPr>
        <w:t>（六） 基金合同的主要条款：出资方式、收益分配和亏损分担方式、管理费标准及计提方式、基金费用承担方式、基金业务报告和财务报告提交制度等；</w:t>
      </w:r>
    </w:p>
    <w:p>
      <w:pPr>
        <w:spacing w:before="120" w:after="120" w:line="288" w:lineRule="auto"/>
        <w:ind w:left="0" w:firstLine="420"/>
        <w:jc w:val="left"/>
      </w:pPr>
      <w:r>
        <w:rPr>
          <w:rFonts w:eastAsia="等线" w:ascii="Arial" w:cs="Arial" w:hAnsi="Arial"/>
          <w:sz w:val="22"/>
        </w:rPr>
        <w:t>（七） 基金的申购与赎回安排；</w:t>
      </w:r>
    </w:p>
    <w:p>
      <w:pPr>
        <w:spacing w:before="120" w:after="120" w:line="288" w:lineRule="auto"/>
        <w:ind w:left="0" w:firstLine="420"/>
        <w:jc w:val="left"/>
      </w:pPr>
      <w:r>
        <w:rPr>
          <w:rFonts w:eastAsia="等线" w:ascii="Arial" w:cs="Arial" w:hAnsi="Arial"/>
          <w:sz w:val="22"/>
        </w:rPr>
        <w:t>（八） 基金管理人最近三年的诚信情况说明；</w:t>
      </w:r>
    </w:p>
    <w:p>
      <w:pPr>
        <w:spacing w:before="120" w:after="120" w:line="288" w:lineRule="auto"/>
        <w:ind w:left="0" w:firstLine="420"/>
        <w:jc w:val="left"/>
      </w:pPr>
      <w:r>
        <w:rPr>
          <w:rFonts w:eastAsia="等线" w:ascii="Arial" w:cs="Arial" w:hAnsi="Arial"/>
          <w:sz w:val="22"/>
        </w:rPr>
        <w:t>（九） 其他事项。</w:t>
      </w:r>
    </w:p>
    <w:p>
      <w:pPr>
        <w:spacing w:before="120" w:after="120" w:line="288" w:lineRule="auto"/>
        <w:ind w:left="0" w:firstLine="420"/>
        <w:jc w:val="left"/>
      </w:pPr>
      <w:r>
        <w:rPr>
          <w:rFonts w:eastAsia="等线" w:ascii="Arial" w:cs="Arial" w:hAnsi="Arial"/>
          <w:b w:val="true"/>
          <w:sz w:val="22"/>
        </w:rPr>
        <w:t xml:space="preserve">第十四条 </w:t>
      </w:r>
      <w:r>
        <w:rPr>
          <w:rFonts w:eastAsia="等线" w:ascii="Arial" w:cs="Arial" w:hAnsi="Arial"/>
          <w:sz w:val="22"/>
        </w:rPr>
        <w:t>公司应当在基金合同中明确信息披露义务人向投资者进行信息披露的内容、披露频度、披露方式、披露责任以及信息披露渠道等事项。</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私募基金运行期间，公司应当至少每季度向投资者披露一次。公司应当在每季度结束之日起10 个工作日内向投资者披露基金净值、主要财务指标以及投资组合情况等信息。</w:t>
      </w:r>
    </w:p>
    <w:p>
      <w:pPr>
        <w:spacing w:before="120" w:after="120" w:line="288" w:lineRule="auto"/>
        <w:ind w:left="0" w:firstLine="420"/>
        <w:jc w:val="left"/>
      </w:pPr>
      <w:r>
        <w:rPr>
          <w:rFonts w:eastAsia="等线" w:ascii="Arial" w:cs="Arial" w:hAnsi="Arial"/>
          <w:b w:val="true"/>
          <w:sz w:val="22"/>
        </w:rPr>
        <w:t xml:space="preserve">第十六条 </w:t>
      </w:r>
      <w:r>
        <w:rPr>
          <w:rFonts w:eastAsia="等线" w:ascii="Arial" w:cs="Arial" w:hAnsi="Arial"/>
          <w:sz w:val="22"/>
        </w:rPr>
        <w:t>私募基金运行期间，公司作为信息披露义务人应当在每年度结束之日起 6 个月以内向投资者披露以下信息：</w:t>
      </w:r>
    </w:p>
    <w:p>
      <w:pPr>
        <w:spacing w:before="120" w:after="120" w:line="288" w:lineRule="auto"/>
        <w:ind w:left="0" w:firstLine="420"/>
        <w:jc w:val="left"/>
      </w:pPr>
      <w:r>
        <w:rPr>
          <w:rFonts w:eastAsia="等线" w:ascii="Arial" w:cs="Arial" w:hAnsi="Arial"/>
          <w:sz w:val="22"/>
        </w:rPr>
        <w:t xml:space="preserve">（一） 报告期末基金净值和基金份额总额； </w:t>
      </w:r>
    </w:p>
    <w:p>
      <w:pPr>
        <w:spacing w:before="120" w:after="120" w:line="288" w:lineRule="auto"/>
        <w:ind w:left="0" w:firstLine="420"/>
        <w:jc w:val="left"/>
      </w:pPr>
      <w:r>
        <w:rPr>
          <w:rFonts w:eastAsia="等线" w:ascii="Arial" w:cs="Arial" w:hAnsi="Arial"/>
          <w:sz w:val="22"/>
        </w:rPr>
        <w:t>（二） 基金的财务情况；</w:t>
      </w:r>
    </w:p>
    <w:p>
      <w:pPr>
        <w:spacing w:before="120" w:after="120" w:line="288" w:lineRule="auto"/>
        <w:ind w:left="0" w:firstLine="420"/>
        <w:jc w:val="left"/>
      </w:pPr>
      <w:r>
        <w:rPr>
          <w:rFonts w:eastAsia="等线" w:ascii="Arial" w:cs="Arial" w:hAnsi="Arial"/>
          <w:sz w:val="22"/>
        </w:rPr>
        <w:t>（三） 基金投资运作情况和运用杠杆情况；</w:t>
      </w:r>
    </w:p>
    <w:p>
      <w:pPr>
        <w:spacing w:before="120" w:after="120" w:line="288" w:lineRule="auto"/>
        <w:ind w:left="0" w:firstLine="420"/>
        <w:jc w:val="left"/>
      </w:pPr>
      <w:r>
        <w:rPr>
          <w:rFonts w:eastAsia="等线" w:ascii="Arial" w:cs="Arial" w:hAnsi="Arial"/>
          <w:sz w:val="22"/>
        </w:rPr>
        <w:t>（四） 投资者账户信息，包括实缴出资额、未缴出资额以及报告期末所持有基金份 额总额等；</w:t>
      </w:r>
    </w:p>
    <w:p>
      <w:pPr>
        <w:spacing w:before="120" w:after="120" w:line="288" w:lineRule="auto"/>
        <w:ind w:left="0" w:firstLine="420"/>
        <w:jc w:val="left"/>
      </w:pPr>
      <w:r>
        <w:rPr>
          <w:rFonts w:eastAsia="等线" w:ascii="Arial" w:cs="Arial" w:hAnsi="Arial"/>
          <w:sz w:val="22"/>
        </w:rPr>
        <w:t>（五） 投资收益分配和损失承担情况；</w:t>
      </w:r>
    </w:p>
    <w:p>
      <w:pPr>
        <w:spacing w:before="120" w:after="120" w:line="288" w:lineRule="auto"/>
        <w:ind w:left="0" w:firstLine="420"/>
        <w:jc w:val="left"/>
      </w:pPr>
      <w:r>
        <w:rPr>
          <w:rFonts w:eastAsia="等线" w:ascii="Arial" w:cs="Arial" w:hAnsi="Arial"/>
          <w:sz w:val="22"/>
        </w:rPr>
        <w:t>（六） 基金管理人取得的管理费和业绩报酬，包括计提基准、计提方式和支付方式；</w:t>
      </w:r>
    </w:p>
    <w:p>
      <w:pPr>
        <w:spacing w:before="120" w:after="120" w:line="288" w:lineRule="auto"/>
        <w:ind w:left="0" w:firstLine="420"/>
        <w:jc w:val="left"/>
      </w:pPr>
      <w:r>
        <w:rPr>
          <w:rFonts w:eastAsia="等线" w:ascii="Arial" w:cs="Arial" w:hAnsi="Arial"/>
          <w:sz w:val="22"/>
        </w:rPr>
        <w:t>（七） 基金合同约定的其他信息。</w:t>
      </w:r>
    </w:p>
    <w:p>
      <w:pPr>
        <w:spacing w:before="120" w:after="120" w:line="288" w:lineRule="auto"/>
        <w:ind w:left="0" w:firstLine="420"/>
        <w:jc w:val="left"/>
      </w:pPr>
      <w:r>
        <w:rPr>
          <w:rFonts w:eastAsia="等线" w:ascii="Arial" w:cs="Arial" w:hAnsi="Arial"/>
          <w:b w:val="true"/>
          <w:sz w:val="22"/>
        </w:rPr>
        <w:t xml:space="preserve">第十七条 </w:t>
      </w:r>
      <w:r>
        <w:rPr>
          <w:rFonts w:eastAsia="等线" w:ascii="Arial" w:cs="Arial" w:hAnsi="Arial"/>
          <w:sz w:val="22"/>
        </w:rPr>
        <w:t>发生以下重大事项的，公司作为信息披露义务人应当按照基金合同的约定及时向投资者披露：</w:t>
      </w:r>
    </w:p>
    <w:p>
      <w:pPr>
        <w:spacing w:before="120" w:after="120" w:line="288" w:lineRule="auto"/>
        <w:ind w:left="0" w:firstLine="420"/>
        <w:jc w:val="left"/>
      </w:pPr>
      <w:r>
        <w:rPr>
          <w:rFonts w:eastAsia="等线" w:ascii="Arial" w:cs="Arial" w:hAnsi="Arial"/>
          <w:sz w:val="22"/>
        </w:rPr>
        <w:t xml:space="preserve">（一） 基金名称、注册地址、组织形式发生变更的； </w:t>
      </w:r>
    </w:p>
    <w:p>
      <w:pPr>
        <w:spacing w:before="120" w:after="120" w:line="288" w:lineRule="auto"/>
        <w:ind w:left="0" w:firstLine="420"/>
        <w:jc w:val="left"/>
      </w:pPr>
      <w:r>
        <w:rPr>
          <w:rFonts w:eastAsia="等线" w:ascii="Arial" w:cs="Arial" w:hAnsi="Arial"/>
          <w:sz w:val="22"/>
        </w:rPr>
        <w:t>（二） 投资范围和投资策略发生重大变化的；</w:t>
      </w:r>
    </w:p>
    <w:p>
      <w:pPr>
        <w:spacing w:before="120" w:after="120" w:line="288" w:lineRule="auto"/>
        <w:ind w:left="0" w:firstLine="420"/>
        <w:jc w:val="left"/>
      </w:pPr>
      <w:r>
        <w:rPr>
          <w:rFonts w:eastAsia="等线" w:ascii="Arial" w:cs="Arial" w:hAnsi="Arial"/>
          <w:sz w:val="22"/>
        </w:rPr>
        <w:t>（三） 变更基金管理人或托管人的；</w:t>
      </w:r>
    </w:p>
    <w:p>
      <w:pPr>
        <w:spacing w:before="120" w:after="120" w:line="288" w:lineRule="auto"/>
        <w:ind w:left="0" w:firstLine="420"/>
        <w:jc w:val="left"/>
      </w:pPr>
      <w:r>
        <w:rPr>
          <w:rFonts w:eastAsia="等线" w:ascii="Arial" w:cs="Arial" w:hAnsi="Arial"/>
          <w:sz w:val="22"/>
        </w:rPr>
        <w:t>（四） 管理人的法定代表人、执行事务合伙人（委派代表）、实际控制人发生变更的；</w:t>
      </w:r>
    </w:p>
    <w:p>
      <w:pPr>
        <w:spacing w:before="120" w:after="120" w:line="288" w:lineRule="auto"/>
        <w:ind w:left="0" w:firstLine="420"/>
        <w:jc w:val="left"/>
      </w:pPr>
      <w:r>
        <w:rPr>
          <w:rFonts w:eastAsia="等线" w:ascii="Arial" w:cs="Arial" w:hAnsi="Arial"/>
          <w:sz w:val="22"/>
        </w:rPr>
        <w:t>（五） 触及基金止损线或预警线的；</w:t>
      </w:r>
    </w:p>
    <w:p>
      <w:pPr>
        <w:spacing w:before="120" w:after="120" w:line="288" w:lineRule="auto"/>
        <w:ind w:left="0" w:firstLine="420"/>
        <w:jc w:val="left"/>
      </w:pPr>
      <w:r>
        <w:rPr>
          <w:rFonts w:eastAsia="等线" w:ascii="Arial" w:cs="Arial" w:hAnsi="Arial"/>
          <w:sz w:val="22"/>
        </w:rPr>
        <w:t>（六） 管理费率、托管费率发生变化的；</w:t>
      </w:r>
    </w:p>
    <w:p>
      <w:pPr>
        <w:spacing w:before="120" w:after="120" w:line="288" w:lineRule="auto"/>
        <w:ind w:left="0" w:firstLine="420"/>
        <w:jc w:val="left"/>
      </w:pPr>
      <w:r>
        <w:rPr>
          <w:rFonts w:eastAsia="等线" w:ascii="Arial" w:cs="Arial" w:hAnsi="Arial"/>
          <w:sz w:val="22"/>
        </w:rPr>
        <w:t>（七） 基金收益分配事项发生变更的；</w:t>
      </w:r>
    </w:p>
    <w:p>
      <w:pPr>
        <w:spacing w:before="120" w:after="120" w:line="288" w:lineRule="auto"/>
        <w:ind w:left="0" w:firstLine="420"/>
        <w:jc w:val="left"/>
      </w:pPr>
      <w:r>
        <w:rPr>
          <w:rFonts w:eastAsia="等线" w:ascii="Arial" w:cs="Arial" w:hAnsi="Arial"/>
          <w:sz w:val="22"/>
        </w:rPr>
        <w:t>（八） 基金触发巨额赎回的；</w:t>
      </w:r>
    </w:p>
    <w:p>
      <w:pPr>
        <w:spacing w:before="120" w:after="120" w:line="288" w:lineRule="auto"/>
        <w:ind w:left="0" w:firstLine="420"/>
        <w:jc w:val="left"/>
      </w:pPr>
      <w:r>
        <w:rPr>
          <w:rFonts w:eastAsia="等线" w:ascii="Arial" w:cs="Arial" w:hAnsi="Arial"/>
          <w:sz w:val="22"/>
        </w:rPr>
        <w:t>（九） 基金存续期变更或展期的；</w:t>
      </w:r>
    </w:p>
    <w:p>
      <w:pPr>
        <w:spacing w:before="120" w:after="120" w:line="288" w:lineRule="auto"/>
        <w:ind w:left="0" w:firstLine="420"/>
        <w:jc w:val="left"/>
      </w:pPr>
      <w:r>
        <w:rPr>
          <w:rFonts w:eastAsia="等线" w:ascii="Arial" w:cs="Arial" w:hAnsi="Arial"/>
          <w:sz w:val="22"/>
        </w:rPr>
        <w:t>（十） 基金发生清盘或清算的；</w:t>
      </w:r>
    </w:p>
    <w:p>
      <w:pPr>
        <w:spacing w:before="120" w:after="120" w:line="288" w:lineRule="auto"/>
        <w:ind w:left="0" w:firstLine="420"/>
        <w:jc w:val="left"/>
      </w:pPr>
      <w:r>
        <w:rPr>
          <w:rFonts w:eastAsia="等线" w:ascii="Arial" w:cs="Arial" w:hAnsi="Arial"/>
          <w:sz w:val="22"/>
        </w:rPr>
        <w:t>（十一） 发生重大关联交易事项的；</w:t>
      </w:r>
    </w:p>
    <w:p>
      <w:pPr>
        <w:spacing w:before="120" w:after="120" w:line="288" w:lineRule="auto"/>
        <w:ind w:left="0" w:firstLine="420"/>
        <w:jc w:val="left"/>
      </w:pPr>
      <w:r>
        <w:rPr>
          <w:rFonts w:eastAsia="等线" w:ascii="Arial" w:cs="Arial" w:hAnsi="Arial"/>
          <w:sz w:val="22"/>
        </w:rPr>
        <w:t>（十二） 基金管理人、实际控制人、高管人员涉嫌重大违法违规行为或正在接受监管部门或自律管理部门调查的；</w:t>
      </w:r>
    </w:p>
    <w:p>
      <w:pPr>
        <w:spacing w:before="120" w:after="120" w:line="288" w:lineRule="auto"/>
        <w:ind w:left="0" w:firstLine="420"/>
        <w:jc w:val="left"/>
      </w:pPr>
      <w:r>
        <w:rPr>
          <w:rFonts w:eastAsia="等线" w:ascii="Arial" w:cs="Arial" w:hAnsi="Arial"/>
          <w:sz w:val="22"/>
        </w:rPr>
        <w:t>（十三） 涉及私募基金管理业务、基金财产、基金托管业务的重大诉讼、仲裁；</w:t>
      </w:r>
    </w:p>
    <w:p>
      <w:pPr>
        <w:spacing w:before="120" w:after="120" w:line="288" w:lineRule="auto"/>
        <w:ind w:left="0" w:firstLine="420"/>
        <w:jc w:val="left"/>
      </w:pPr>
      <w:r>
        <w:rPr>
          <w:rFonts w:eastAsia="等线" w:ascii="Arial" w:cs="Arial" w:hAnsi="Arial"/>
          <w:sz w:val="22"/>
        </w:rPr>
        <w:t>（十四） 基金合同约定的影响投资者利益的其他重大事项。</w:t>
      </w:r>
    </w:p>
    <w:p>
      <w:pPr>
        <w:spacing w:before="120" w:after="120" w:line="288" w:lineRule="auto"/>
        <w:ind w:left="0" w:firstLine="420"/>
        <w:jc w:val="left"/>
      </w:pPr>
      <w:r>
        <w:rPr>
          <w:rFonts w:eastAsia="等线" w:ascii="Arial" w:cs="Arial" w:hAnsi="Arial"/>
          <w:b w:val="true"/>
          <w:sz w:val="22"/>
        </w:rPr>
        <w:t xml:space="preserve">第十八条 </w:t>
      </w:r>
      <w:r>
        <w:rPr>
          <w:rFonts w:eastAsia="等线" w:ascii="Arial" w:cs="Arial" w:hAnsi="Arial"/>
          <w:sz w:val="22"/>
        </w:rPr>
        <w:t>公司作为信息披露义务人应当妥善保管私募基金信息披露的相关文件资料， 保存期限自基金清算终止之日起不得少于10 年。</w:t>
      </w:r>
    </w:p>
    <w:p>
      <w:pPr>
        <w:spacing w:before="120" w:after="120" w:line="288" w:lineRule="auto"/>
        <w:ind w:left="0" w:firstLine="420"/>
        <w:jc w:val="left"/>
      </w:pPr>
      <w:r>
        <w:rPr>
          <w:rFonts w:eastAsia="等线" w:ascii="Arial" w:cs="Arial" w:hAnsi="Arial"/>
          <w:b w:val="true"/>
          <w:sz w:val="22"/>
        </w:rPr>
        <w:t xml:space="preserve">第十九条 </w:t>
      </w:r>
      <w:r>
        <w:rPr>
          <w:rFonts w:eastAsia="等线" w:ascii="Arial" w:cs="Arial" w:hAnsi="Arial"/>
          <w:sz w:val="22"/>
        </w:rPr>
        <w:t>公司综合管理部负责对信息披露文件底稿进行统一管理，存档后的文件底稿不得随意添加、替换或剔除。</w:t>
      </w:r>
    </w:p>
    <w:p>
      <w:pPr>
        <w:spacing w:before="120" w:after="120" w:line="288" w:lineRule="auto"/>
        <w:ind w:left="0" w:firstLine="420"/>
        <w:jc w:val="left"/>
      </w:pPr>
      <w:r>
        <w:rPr>
          <w:rFonts w:eastAsia="等线" w:ascii="Arial" w:cs="Arial" w:hAnsi="Arial"/>
          <w:b w:val="true"/>
          <w:sz w:val="22"/>
        </w:rPr>
        <w:t xml:space="preserve">第二十条 </w:t>
      </w:r>
      <w:r>
        <w:rPr>
          <w:rFonts w:eastAsia="等线" w:ascii="Arial" w:cs="Arial" w:hAnsi="Arial"/>
          <w:sz w:val="22"/>
        </w:rPr>
        <w:t>公司财务管理部作为财务信息披露的管理部门，其中财务信息及审计报告由财务管理部完成信息披露内容的编制工作，并及时发送给合规风控部，财务管理部应对拟披露的财务信息负责，公司合规风控部应复核财务管理部拟披露的财务信息，财务信息以外的其他信息的披露由风控部负责编制，并在信息披露截止日前，通过指定渠道真实、准确、完整地进行信息披露。</w:t>
      </w:r>
    </w:p>
    <w:p>
      <w:pPr>
        <w:spacing w:before="120" w:after="120" w:line="288" w:lineRule="auto"/>
        <w:ind w:left="0" w:firstLine="420"/>
        <w:jc w:val="left"/>
      </w:pPr>
      <w:r>
        <w:rPr>
          <w:rFonts w:eastAsia="等线" w:ascii="Arial" w:cs="Arial" w:hAnsi="Arial"/>
          <w:b w:val="true"/>
          <w:sz w:val="22"/>
        </w:rPr>
        <w:t xml:space="preserve">第二十一条 </w:t>
      </w:r>
      <w:r>
        <w:rPr>
          <w:rFonts w:eastAsia="等线" w:ascii="Arial" w:cs="Arial" w:hAnsi="Arial"/>
          <w:sz w:val="22"/>
        </w:rPr>
        <w:t>私募基金信息披露流程主要涉及以下部门及相关责任人：</w:t>
      </w:r>
    </w:p>
    <w:p>
      <w:pPr>
        <w:spacing w:before="120" w:after="120" w:line="288" w:lineRule="auto"/>
        <w:ind w:left="0" w:firstLine="420"/>
        <w:jc w:val="left"/>
      </w:pPr>
      <w:r>
        <w:rPr>
          <w:rFonts w:eastAsia="等线" w:ascii="Arial" w:cs="Arial" w:hAnsi="Arial"/>
          <w:b w:val="true"/>
          <w:sz w:val="22"/>
        </w:rPr>
        <w:t xml:space="preserve">第二十二条 </w:t>
      </w:r>
      <w:r>
        <w:rPr>
          <w:rFonts w:eastAsia="等线" w:ascii="Arial" w:cs="Arial" w:hAnsi="Arial"/>
          <w:sz w:val="22"/>
        </w:rPr>
        <w:t>公司信息披露的应急预案由合规风控部负责。</w:t>
      </w:r>
    </w:p>
    <w:p>
      <w:pPr>
        <w:spacing w:before="120" w:after="120" w:line="288" w:lineRule="auto"/>
        <w:ind w:left="0" w:firstLine="420"/>
        <w:jc w:val="left"/>
      </w:pPr>
      <w:r>
        <w:rPr>
          <w:rFonts w:eastAsia="等线" w:ascii="Arial" w:cs="Arial" w:hAnsi="Arial"/>
          <w:b w:val="true"/>
          <w:sz w:val="22"/>
        </w:rPr>
        <w:t xml:space="preserve">第二十三条 </w:t>
      </w:r>
      <w:r>
        <w:rPr>
          <w:rFonts w:eastAsia="等线" w:ascii="Arial" w:cs="Arial" w:hAnsi="Arial"/>
          <w:sz w:val="22"/>
        </w:rPr>
        <w:t>公司全体人员应充分认识信息披露工作的重要性。公信力是基金的生命力，信息披露工作是公信力建设的根本举措。公司要把信息披露工作纳入重要工作日程。</w:t>
      </w:r>
    </w:p>
    <w:p>
      <w:pPr>
        <w:spacing w:before="120" w:after="120" w:line="288" w:lineRule="auto"/>
        <w:ind w:left="0" w:firstLine="420"/>
        <w:jc w:val="left"/>
      </w:pPr>
      <w:r>
        <w:rPr>
          <w:rFonts w:eastAsia="等线" w:ascii="Arial" w:cs="Arial" w:hAnsi="Arial"/>
          <w:b w:val="true"/>
          <w:sz w:val="22"/>
        </w:rPr>
        <w:t xml:space="preserve">第二十四条 </w:t>
      </w:r>
      <w:r>
        <w:rPr>
          <w:rFonts w:eastAsia="等线" w:ascii="Arial" w:cs="Arial" w:hAnsi="Arial"/>
          <w:sz w:val="22"/>
        </w:rPr>
        <w:t>公司应加强对信息披露制度实施情况的总结。要在信息披露工作中，不断进行总结和补充，逐渐形成带规律性和比较完善的信息披露制度，推动基金信息披露工作的常态化和规范化。同时，信息披露工作情况将纳入相关人员工作年终考核中，奖优罚劣。</w:t>
      </w:r>
    </w:p>
    <w:p>
      <w:pPr>
        <w:spacing w:before="120" w:after="120" w:line="288" w:lineRule="auto"/>
        <w:ind w:left="0" w:firstLine="420"/>
        <w:jc w:val="left"/>
      </w:pPr>
      <w:r>
        <w:rPr>
          <w:rFonts w:eastAsia="等线" w:ascii="Arial" w:cs="Arial" w:hAnsi="Arial"/>
          <w:b w:val="true"/>
          <w:sz w:val="22"/>
        </w:rPr>
        <w:t xml:space="preserve">第二十五条 </w:t>
      </w:r>
      <w:r>
        <w:rPr>
          <w:rFonts w:eastAsia="等线" w:ascii="Arial" w:cs="Arial" w:hAnsi="Arial"/>
          <w:sz w:val="22"/>
        </w:rPr>
        <w:t>公司合规风控部负责对信息披露违规事件展开调查。对于违反本制度的主管人员和其他直接责任人员，公司将追究其责任，可采取谈话提醒、书面警示、要求强制培训、公司内通报、暂停或取消相关职责等处分。情节严重的，应主动移交中国证监会处理。</w:t>
      </w:r>
    </w:p>
    <w:p>
      <w:pPr>
        <w:spacing w:before="120" w:after="120" w:line="288" w:lineRule="auto"/>
        <w:ind w:left="0" w:firstLine="420"/>
        <w:jc w:val="left"/>
      </w:pPr>
      <w:r>
        <w:rPr>
          <w:rFonts w:eastAsia="等线" w:ascii="Arial" w:cs="Arial" w:hAnsi="Arial"/>
          <w:b w:val="true"/>
          <w:sz w:val="22"/>
        </w:rPr>
        <w:t xml:space="preserve">第二十六条 </w:t>
      </w:r>
      <w:r>
        <w:rPr>
          <w:rFonts w:eastAsia="等线" w:ascii="Arial" w:cs="Arial" w:hAnsi="Arial"/>
          <w:sz w:val="22"/>
        </w:rPr>
        <w:t>本制度依据现行有效的法律、法规的有关规定而制定，公司将适时根据有关法律、法规的要求和公司业务的发展作进一步的调整和完善；如遇有关法律、法规作出调整与本制度不一致时，公司将依据新的法律、法规的规定执行。</w:t>
      </w:r>
    </w:p>
    <w:p>
      <w:pPr>
        <w:spacing w:before="120" w:after="120" w:line="288" w:lineRule="auto"/>
        <w:ind w:left="0" w:firstLine="420"/>
        <w:jc w:val="left"/>
      </w:pPr>
      <w:r>
        <w:rPr>
          <w:rFonts w:eastAsia="等线" w:ascii="Arial" w:cs="Arial" w:hAnsi="Arial"/>
          <w:b w:val="true"/>
          <w:sz w:val="22"/>
        </w:rPr>
        <w:t xml:space="preserve">第二十七条 </w:t>
      </w:r>
      <w:r>
        <w:rPr>
          <w:rFonts w:eastAsia="等线" w:ascii="Arial" w:cs="Arial" w:hAnsi="Arial"/>
          <w:sz w:val="22"/>
        </w:rPr>
        <w:t>本制度由公司合规风控部负责解释、修订，经公司董事审议批准后自发布之日起生效施行。</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9" w:id="9"/>
      <w:r>
        <w:rPr>
          <w:rFonts w:eastAsia="等线" w:ascii="Arial" w:cs="Arial" w:hAnsi="Arial"/>
          <w:b w:val="true"/>
          <w:sz w:val="30"/>
        </w:rPr>
        <w:t>第三节 内部交易记录制度</w:t>
      </w:r>
      <w:bookmarkEnd w:id="9"/>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加强上海同登九和私募基金管理有限公司（以下简称“公司”）内部交易记录管理，完善业务信息留痕机制，根据《中华人民共和国证券投资基金法》、《私募投资基金监督管理暂行办法》、《私募投资基金管理人内部控制指引》等法律法规、规范性法律文件及相关监管要求，制定本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内部交易记录是指公司及各部门在经营业务活动中形成的,根据国家有关规定需要归档保存的，或对公司具有保存和参考利用价值的并具有参考利用价值需进行分类集中保管的文件资料。 </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公司内部交易记录是公司的重要资料，是该项工作和业务活动的真实记载，是查证研究公司内部交易业务历史的重要依据；属于公司保密范围的应遵守有关保密规定。</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加强内部交易记录管理工作,是规范公司内部管理的重要内容,对于提高公司管理水平具有重要意义。 </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内部交易记录档案主要分为基金运营、投资业务、会计档案三大类。 </w:t>
      </w:r>
    </w:p>
    <w:p>
      <w:pPr>
        <w:spacing w:before="120" w:after="120" w:line="288" w:lineRule="auto"/>
        <w:ind w:left="0" w:firstLine="420"/>
        <w:jc w:val="left"/>
      </w:pPr>
      <w:r>
        <w:rPr>
          <w:rFonts w:eastAsia="等线" w:ascii="Arial" w:cs="Arial" w:hAnsi="Arial"/>
          <w:sz w:val="22"/>
        </w:rPr>
        <w:t>（一） 基金运营：</w:t>
      </w:r>
    </w:p>
    <w:p>
      <w:pPr>
        <w:spacing w:before="120" w:after="120" w:line="288" w:lineRule="auto"/>
        <w:ind w:left="0" w:firstLine="420"/>
        <w:jc w:val="left"/>
      </w:pPr>
      <w:r>
        <w:rPr>
          <w:rFonts w:eastAsia="等线" w:ascii="Arial" w:cs="Arial" w:hAnsi="Arial"/>
          <w:sz w:val="22"/>
        </w:rPr>
        <w:t>1.公司作为私募基金管理人登记的相关文件；</w:t>
      </w:r>
    </w:p>
    <w:p>
      <w:pPr>
        <w:spacing w:before="120" w:after="120" w:line="288" w:lineRule="auto"/>
        <w:ind w:left="0" w:firstLine="420"/>
        <w:jc w:val="left"/>
      </w:pPr>
      <w:r>
        <w:rPr>
          <w:rFonts w:eastAsia="等线" w:ascii="Arial" w:cs="Arial" w:hAnsi="Arial"/>
          <w:sz w:val="22"/>
        </w:rPr>
        <w:t>2.基金设立备案与募集过程中形成的相关文件,如备案申报材料、招募说明书、投资者相关资料、基金合同、托管协议及其他有关文件；</w:t>
      </w:r>
    </w:p>
    <w:p>
      <w:pPr>
        <w:spacing w:before="120" w:after="120" w:line="288" w:lineRule="auto"/>
        <w:ind w:left="0" w:firstLine="420"/>
        <w:jc w:val="left"/>
      </w:pPr>
      <w:r>
        <w:rPr>
          <w:rFonts w:eastAsia="等线" w:ascii="Arial" w:cs="Arial" w:hAnsi="Arial"/>
          <w:sz w:val="22"/>
        </w:rPr>
        <w:t>3.公司作为管理人及基金发生重大事项变更的相关文件；</w:t>
      </w:r>
    </w:p>
    <w:p>
      <w:pPr>
        <w:spacing w:before="120" w:after="120" w:line="288" w:lineRule="auto"/>
        <w:ind w:left="0" w:firstLine="420"/>
        <w:jc w:val="left"/>
      </w:pPr>
      <w:r>
        <w:rPr>
          <w:rFonts w:eastAsia="等线" w:ascii="Arial" w:cs="Arial" w:hAnsi="Arial"/>
          <w:sz w:val="22"/>
        </w:rPr>
        <w:t>4.基金季度报告、半年度报告、年度报告、信息披露报告等；</w:t>
      </w:r>
    </w:p>
    <w:p>
      <w:pPr>
        <w:spacing w:before="120" w:after="120" w:line="288" w:lineRule="auto"/>
        <w:ind w:left="0" w:firstLine="420"/>
        <w:jc w:val="left"/>
      </w:pPr>
      <w:r>
        <w:rPr>
          <w:rFonts w:eastAsia="等线" w:ascii="Arial" w:cs="Arial" w:hAnsi="Arial"/>
          <w:sz w:val="22"/>
        </w:rPr>
        <w:t xml:space="preserve">5.其他。 </w:t>
      </w:r>
    </w:p>
    <w:p>
      <w:pPr>
        <w:spacing w:before="120" w:after="120" w:line="288" w:lineRule="auto"/>
        <w:ind w:left="0" w:firstLine="420"/>
        <w:jc w:val="left"/>
      </w:pPr>
      <w:r>
        <w:rPr>
          <w:rFonts w:eastAsia="等线" w:ascii="Arial" w:cs="Arial" w:hAnsi="Arial"/>
          <w:sz w:val="22"/>
        </w:rPr>
        <w:t>（二） 投资业务：</w:t>
      </w:r>
    </w:p>
    <w:p>
      <w:pPr>
        <w:spacing w:before="120" w:after="120" w:line="288" w:lineRule="auto"/>
        <w:ind w:left="0" w:firstLine="420"/>
        <w:jc w:val="left"/>
      </w:pPr>
      <w:r>
        <w:rPr>
          <w:rFonts w:eastAsia="等线" w:ascii="Arial" w:cs="Arial" w:hAnsi="Arial"/>
          <w:sz w:val="22"/>
        </w:rPr>
        <w:t>1.投资决策委员会和风险控制委员会的会议纪要及签署的相关文件；</w:t>
      </w:r>
    </w:p>
    <w:p>
      <w:pPr>
        <w:spacing w:before="120" w:after="120" w:line="288" w:lineRule="auto"/>
        <w:ind w:left="0" w:firstLine="420"/>
        <w:jc w:val="left"/>
      </w:pPr>
      <w:r>
        <w:rPr>
          <w:rFonts w:eastAsia="等线" w:ascii="Arial" w:cs="Arial" w:hAnsi="Arial"/>
          <w:sz w:val="22"/>
        </w:rPr>
        <w:t>2.公司管理层签署的投资决策相关文件；</w:t>
      </w:r>
    </w:p>
    <w:p>
      <w:pPr>
        <w:spacing w:before="120" w:after="120" w:line="288" w:lineRule="auto"/>
        <w:ind w:left="0" w:firstLine="420"/>
        <w:jc w:val="left"/>
      </w:pPr>
      <w:r>
        <w:rPr>
          <w:rFonts w:eastAsia="等线" w:ascii="Arial" w:cs="Arial" w:hAnsi="Arial"/>
          <w:sz w:val="22"/>
        </w:rPr>
        <w:t>3.投资管理部提交的项目投资记录相关文件（如项目研究分析报告、尽调报告、投资协议、交割记录等）；</w:t>
      </w:r>
    </w:p>
    <w:p>
      <w:pPr>
        <w:spacing w:before="120" w:after="120" w:line="288" w:lineRule="auto"/>
        <w:ind w:left="0" w:firstLine="420"/>
        <w:jc w:val="left"/>
      </w:pPr>
      <w:r>
        <w:rPr>
          <w:rFonts w:eastAsia="等线" w:ascii="Arial" w:cs="Arial" w:hAnsi="Arial"/>
          <w:sz w:val="22"/>
        </w:rPr>
        <w:t>4.合规风控部对投资业务出具的合法合规性工作报告；</w:t>
      </w:r>
    </w:p>
    <w:p>
      <w:pPr>
        <w:spacing w:before="120" w:after="120" w:line="288" w:lineRule="auto"/>
        <w:ind w:left="0" w:firstLine="420"/>
        <w:jc w:val="left"/>
      </w:pPr>
      <w:r>
        <w:rPr>
          <w:rFonts w:eastAsia="等线" w:ascii="Arial" w:cs="Arial" w:hAnsi="Arial"/>
          <w:sz w:val="22"/>
        </w:rPr>
        <w:t>5.其他与投资相关的的记录档案。</w:t>
      </w:r>
    </w:p>
    <w:p>
      <w:pPr>
        <w:spacing w:before="120" w:after="120" w:line="288" w:lineRule="auto"/>
        <w:ind w:left="0" w:firstLine="420"/>
        <w:jc w:val="left"/>
      </w:pPr>
      <w:r>
        <w:rPr>
          <w:rFonts w:eastAsia="等线" w:ascii="Arial" w:cs="Arial" w:hAnsi="Arial"/>
          <w:sz w:val="22"/>
        </w:rPr>
        <w:t>（三） 会计档案：</w:t>
      </w:r>
    </w:p>
    <w:p>
      <w:pPr>
        <w:spacing w:before="120" w:after="120" w:line="288" w:lineRule="auto"/>
        <w:ind w:left="0" w:firstLine="420"/>
        <w:jc w:val="left"/>
      </w:pPr>
      <w:r>
        <w:rPr>
          <w:rFonts w:eastAsia="等线" w:ascii="Arial" w:cs="Arial" w:hAnsi="Arial"/>
          <w:sz w:val="22"/>
        </w:rPr>
        <w:t>1．会计凭证、帐簿；</w:t>
      </w:r>
    </w:p>
    <w:p>
      <w:pPr>
        <w:spacing w:before="120" w:after="120" w:line="288" w:lineRule="auto"/>
        <w:ind w:left="0" w:firstLine="420"/>
        <w:jc w:val="left"/>
      </w:pPr>
      <w:r>
        <w:rPr>
          <w:rFonts w:eastAsia="等线" w:ascii="Arial" w:cs="Arial" w:hAnsi="Arial"/>
          <w:sz w:val="22"/>
        </w:rPr>
        <w:t>2．会计报表；</w:t>
      </w:r>
    </w:p>
    <w:p>
      <w:pPr>
        <w:spacing w:before="120" w:after="120" w:line="288" w:lineRule="auto"/>
        <w:ind w:left="0" w:firstLine="420"/>
        <w:jc w:val="left"/>
      </w:pPr>
      <w:r>
        <w:rPr>
          <w:rFonts w:eastAsia="等线" w:ascii="Arial" w:cs="Arial" w:hAnsi="Arial"/>
          <w:sz w:val="22"/>
        </w:rPr>
        <w:t xml:space="preserve">3．审计报告、验资报告等。 </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交易记录档案应采用书面形式、电子文档形式或声像档案形式等。其中声像档案是指录音、录像、照片、影片等辅以文字说明的历史记录资料。纸质版交易记录档案制作完毕后，应专门放置档案袋分类归档保存。电子版记录档案应按类别设置专门文件夹予以保存，并定期刻录成光盘进行备份。</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公司各部门是与本部门工作业务相关的文件管理直接责任主体，综合管理部为交易记录档案管理的最终责任单位。</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公司各部门要配备兼职档案管理员，负责部门档案材料的收集、整理和保管,按规定时间及时向综合管理部归档。</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综合管理部负责督促指导公司各部门和有关人员把应归档的文件材料正确整理立卷,按规定时间向综合管理部归档,并检查其落实情况。</w:t>
      </w:r>
    </w:p>
    <w:p>
      <w:pPr>
        <w:spacing w:before="120" w:after="120" w:line="288" w:lineRule="auto"/>
        <w:ind w:left="0" w:firstLine="420"/>
        <w:jc w:val="left"/>
      </w:pPr>
      <w:r>
        <w:rPr>
          <w:rFonts w:eastAsia="等线" w:ascii="Arial" w:cs="Arial" w:hAnsi="Arial"/>
          <w:b w:val="true"/>
          <w:sz w:val="22"/>
        </w:rPr>
        <w:t>第十条</w:t>
      </w:r>
      <w:r>
        <w:rPr>
          <w:rFonts w:eastAsia="等线" w:ascii="Arial" w:cs="Arial" w:hAnsi="Arial"/>
          <w:sz w:val="22"/>
        </w:rPr>
        <w:t xml:space="preserve"> 公司内部交易记录档案的保存期限自私募基金清算终止之日起不得少于10年。</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本制度依据现行有效的法律、法规的有关规定而制定，公司将适时根据有关法律、法规的要求和公司业务的发展作进一步的调整和完善；如遇有关法律、法规作出调整与本制度不一致时，公司将依据新的法律、法规的规定执行。</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 xml:space="preserve">本制度由公司合规风控部负责解释修订，经公司董事审批通过后自发布之日起生效施行。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0" w:id="10"/>
      <w:r>
        <w:rPr>
          <w:rFonts w:eastAsia="等线" w:ascii="Arial" w:cs="Arial" w:hAnsi="Arial"/>
          <w:b w:val="true"/>
          <w:sz w:val="30"/>
        </w:rPr>
        <w:t>第四节 防范内幕交易及利益冲突的投资交易制度</w:t>
      </w:r>
      <w:bookmarkEnd w:id="10"/>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规范上海同登九和私募基金管理有限公司（以下简称“公司”）投资交易行为，有效防范内幕交易及利益冲突，切实保护投资者的合法权益，建立并维护公司良好的市场声誉，根据《私募投资基金监督管理条例》、《中华人民共和国证券投资基金法》、《私募投资基金监督管理暂行办法》、《私募投资基金管理人内部控制指引》、《私募投资基金管理人登记和基金备案办法（试行）》等法律法规、规范性法律文件及相关监管要求，结合公司实际情况，特制定本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公司及员工在投资交易过程中应当严格遵守本制度规定，不得违反商业道德和市场规则，进行内幕交易、不公平交易或利益输送。</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本制度所称内幕信息是指在项目投资活动中，涉及有关被投资企业或拟投资企业的经营、财务或者对该企业市场价值有重大影响的尚未公开的信息，包括但不限于（如适用）：</w:t>
      </w:r>
    </w:p>
    <w:p>
      <w:pPr>
        <w:spacing w:before="120" w:after="120" w:line="288" w:lineRule="auto"/>
        <w:ind w:left="0" w:firstLine="420"/>
        <w:jc w:val="left"/>
      </w:pPr>
      <w:r>
        <w:rPr>
          <w:rFonts w:eastAsia="等线" w:ascii="Arial" w:cs="Arial" w:hAnsi="Arial"/>
          <w:sz w:val="22"/>
        </w:rPr>
        <w:t>（一） 企业的经营方针和经营范围的重大变化；</w:t>
      </w:r>
    </w:p>
    <w:p>
      <w:pPr>
        <w:spacing w:before="120" w:after="120" w:line="288" w:lineRule="auto"/>
        <w:ind w:left="0" w:firstLine="420"/>
        <w:jc w:val="left"/>
      </w:pPr>
      <w:r>
        <w:rPr>
          <w:rFonts w:eastAsia="等线" w:ascii="Arial" w:cs="Arial" w:hAnsi="Arial"/>
          <w:sz w:val="22"/>
        </w:rPr>
        <w:t xml:space="preserve">（二） 企业的重大投资行为和重大的购置资产的决定； </w:t>
      </w:r>
    </w:p>
    <w:p>
      <w:pPr>
        <w:spacing w:before="120" w:after="120" w:line="288" w:lineRule="auto"/>
        <w:ind w:left="0" w:firstLine="420"/>
        <w:jc w:val="left"/>
      </w:pPr>
      <w:r>
        <w:rPr>
          <w:rFonts w:eastAsia="等线" w:ascii="Arial" w:cs="Arial" w:hAnsi="Arial"/>
          <w:sz w:val="22"/>
        </w:rPr>
        <w:t xml:space="preserve">（三） 企业订立重要合同，可能对其资产、负债、权益和经营成果产生重要影响的； </w:t>
      </w:r>
    </w:p>
    <w:p>
      <w:pPr>
        <w:spacing w:before="120" w:after="120" w:line="288" w:lineRule="auto"/>
        <w:ind w:left="0" w:firstLine="420"/>
        <w:jc w:val="left"/>
      </w:pPr>
      <w:r>
        <w:rPr>
          <w:rFonts w:eastAsia="等线" w:ascii="Arial" w:cs="Arial" w:hAnsi="Arial"/>
          <w:sz w:val="22"/>
        </w:rPr>
        <w:t xml:space="preserve">（四） 企业发生重大债务和未能清偿到期重大债务的违约情况； </w:t>
      </w:r>
    </w:p>
    <w:p>
      <w:pPr>
        <w:spacing w:before="120" w:after="120" w:line="288" w:lineRule="auto"/>
        <w:ind w:left="0" w:firstLine="420"/>
        <w:jc w:val="left"/>
      </w:pPr>
      <w:r>
        <w:rPr>
          <w:rFonts w:eastAsia="等线" w:ascii="Arial" w:cs="Arial" w:hAnsi="Arial"/>
          <w:sz w:val="22"/>
        </w:rPr>
        <w:t xml:space="preserve">（五） 企业发生重大亏损或者重大损失； </w:t>
      </w:r>
    </w:p>
    <w:p>
      <w:pPr>
        <w:spacing w:before="120" w:after="120" w:line="288" w:lineRule="auto"/>
        <w:ind w:left="0" w:firstLine="420"/>
        <w:jc w:val="left"/>
      </w:pPr>
      <w:r>
        <w:rPr>
          <w:rFonts w:eastAsia="等线" w:ascii="Arial" w:cs="Arial" w:hAnsi="Arial"/>
          <w:sz w:val="22"/>
        </w:rPr>
        <w:t xml:space="preserve">（六） 企业生产经营的外部条件发生的重大变化； </w:t>
      </w:r>
    </w:p>
    <w:p>
      <w:pPr>
        <w:spacing w:before="120" w:after="120" w:line="288" w:lineRule="auto"/>
        <w:ind w:left="0" w:firstLine="420"/>
        <w:jc w:val="left"/>
      </w:pPr>
      <w:r>
        <w:rPr>
          <w:rFonts w:eastAsia="等线" w:ascii="Arial" w:cs="Arial" w:hAnsi="Arial"/>
          <w:sz w:val="22"/>
        </w:rPr>
        <w:t xml:space="preserve">（七） 企业的多数董事或者总经理发生变动的； </w:t>
      </w:r>
    </w:p>
    <w:p>
      <w:pPr>
        <w:spacing w:before="120" w:after="120" w:line="288" w:lineRule="auto"/>
        <w:ind w:left="0" w:firstLine="420"/>
        <w:jc w:val="left"/>
      </w:pPr>
      <w:r>
        <w:rPr>
          <w:rFonts w:eastAsia="等线" w:ascii="Arial" w:cs="Arial" w:hAnsi="Arial"/>
          <w:sz w:val="22"/>
        </w:rPr>
        <w:t xml:space="preserve">（八） 企业的重要股东或者实际控制人，其持有股份或者控制企业的情况发生较大变化； </w:t>
      </w:r>
    </w:p>
    <w:p>
      <w:pPr>
        <w:spacing w:before="120" w:after="120" w:line="288" w:lineRule="auto"/>
        <w:ind w:left="0" w:firstLine="420"/>
        <w:jc w:val="left"/>
      </w:pPr>
      <w:r>
        <w:rPr>
          <w:rFonts w:eastAsia="等线" w:ascii="Arial" w:cs="Arial" w:hAnsi="Arial"/>
          <w:sz w:val="22"/>
        </w:rPr>
        <w:t xml:space="preserve">（九） 企业减资、合并、分立、解散及申请破产的决定； </w:t>
      </w:r>
    </w:p>
    <w:p>
      <w:pPr>
        <w:spacing w:before="120" w:after="120" w:line="288" w:lineRule="auto"/>
        <w:ind w:left="0" w:firstLine="420"/>
        <w:jc w:val="left"/>
      </w:pPr>
      <w:r>
        <w:rPr>
          <w:rFonts w:eastAsia="等线" w:ascii="Arial" w:cs="Arial" w:hAnsi="Arial"/>
          <w:sz w:val="22"/>
        </w:rPr>
        <w:t xml:space="preserve">（十） 涉及企业的重大诉讼，股东会/股东大会、董事会决议被依法撤销或者宣告无效； </w:t>
      </w:r>
    </w:p>
    <w:p>
      <w:pPr>
        <w:spacing w:before="120" w:after="120" w:line="288" w:lineRule="auto"/>
        <w:ind w:left="0" w:firstLine="420"/>
        <w:jc w:val="left"/>
      </w:pPr>
      <w:r>
        <w:rPr>
          <w:rFonts w:eastAsia="等线" w:ascii="Arial" w:cs="Arial" w:hAnsi="Arial"/>
          <w:sz w:val="22"/>
        </w:rPr>
        <w:t xml:space="preserve">（十一） 企业涉嫌犯罪被司法机关立案调查，企业董事、监事、高级管理人员涉嫌违法犯罪被司法机关调查或采取强制措施； </w:t>
      </w:r>
    </w:p>
    <w:p>
      <w:pPr>
        <w:spacing w:before="120" w:after="120" w:line="288" w:lineRule="auto"/>
        <w:ind w:left="0" w:firstLine="420"/>
        <w:jc w:val="left"/>
      </w:pPr>
      <w:r>
        <w:rPr>
          <w:rFonts w:eastAsia="等线" w:ascii="Arial" w:cs="Arial" w:hAnsi="Arial"/>
          <w:sz w:val="22"/>
        </w:rPr>
        <w:t xml:space="preserve">（十二） 企业分配股利或者增资的计划； </w:t>
      </w:r>
    </w:p>
    <w:p>
      <w:pPr>
        <w:spacing w:before="120" w:after="120" w:line="288" w:lineRule="auto"/>
        <w:ind w:left="0" w:firstLine="420"/>
        <w:jc w:val="left"/>
      </w:pPr>
      <w:r>
        <w:rPr>
          <w:rFonts w:eastAsia="等线" w:ascii="Arial" w:cs="Arial" w:hAnsi="Arial"/>
          <w:sz w:val="22"/>
        </w:rPr>
        <w:t xml:space="preserve">（十三） 企业股权结构的重大变化； </w:t>
      </w:r>
    </w:p>
    <w:p>
      <w:pPr>
        <w:spacing w:before="120" w:after="120" w:line="288" w:lineRule="auto"/>
        <w:ind w:left="0" w:firstLine="420"/>
        <w:jc w:val="left"/>
      </w:pPr>
      <w:r>
        <w:rPr>
          <w:rFonts w:eastAsia="等线" w:ascii="Arial" w:cs="Arial" w:hAnsi="Arial"/>
          <w:sz w:val="22"/>
        </w:rPr>
        <w:t xml:space="preserve">（十四） 企业债务担保的重大变更； </w:t>
      </w:r>
    </w:p>
    <w:p>
      <w:pPr>
        <w:spacing w:before="120" w:after="120" w:line="288" w:lineRule="auto"/>
        <w:ind w:left="0" w:firstLine="420"/>
        <w:jc w:val="left"/>
      </w:pPr>
      <w:r>
        <w:rPr>
          <w:rFonts w:eastAsia="等线" w:ascii="Arial" w:cs="Arial" w:hAnsi="Arial"/>
          <w:sz w:val="22"/>
        </w:rPr>
        <w:t>（十五） 企业营业用主要资产的抵押、出售或者报废一次超过该企业总资产的百分之五十；</w:t>
      </w:r>
    </w:p>
    <w:p>
      <w:pPr>
        <w:spacing w:before="120" w:after="120" w:line="288" w:lineRule="auto"/>
        <w:ind w:left="0" w:firstLine="420"/>
        <w:jc w:val="left"/>
      </w:pPr>
      <w:r>
        <w:rPr>
          <w:rFonts w:eastAsia="等线" w:ascii="Arial" w:cs="Arial" w:hAnsi="Arial"/>
          <w:sz w:val="22"/>
        </w:rPr>
        <w:t>（十六） 企业的董事、监事、高级管理人员的行为可能依法承担重大损害赔偿责任；</w:t>
      </w:r>
    </w:p>
    <w:p>
      <w:pPr>
        <w:spacing w:before="120" w:after="120" w:line="288" w:lineRule="auto"/>
        <w:ind w:left="0" w:firstLine="420"/>
        <w:jc w:val="left"/>
      </w:pPr>
      <w:r>
        <w:rPr>
          <w:rFonts w:eastAsia="等线" w:ascii="Arial" w:cs="Arial" w:hAnsi="Arial"/>
          <w:sz w:val="22"/>
        </w:rPr>
        <w:t xml:space="preserve">（十七） 上市公司拟收购企业的有关方案； </w:t>
      </w:r>
    </w:p>
    <w:p>
      <w:pPr>
        <w:spacing w:before="120" w:after="120" w:line="288" w:lineRule="auto"/>
        <w:ind w:left="0" w:firstLine="420"/>
        <w:jc w:val="left"/>
      </w:pPr>
      <w:r>
        <w:rPr>
          <w:rFonts w:eastAsia="等线" w:ascii="Arial" w:cs="Arial" w:hAnsi="Arial"/>
          <w:sz w:val="22"/>
        </w:rPr>
        <w:t>（十八） 法律法规及有关监管机构认定的其他重要信息。</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本制度所称内幕信息知情人是指内幕信息公开前直接或间接获取内幕信息的单位及个人，包括但不限于：</w:t>
      </w:r>
    </w:p>
    <w:p>
      <w:pPr>
        <w:spacing w:before="120" w:after="120" w:line="288" w:lineRule="auto"/>
        <w:ind w:left="0" w:firstLine="420"/>
        <w:jc w:val="left"/>
      </w:pPr>
      <w:r>
        <w:rPr>
          <w:rFonts w:eastAsia="等线" w:ascii="Arial" w:cs="Arial" w:hAnsi="Arial"/>
          <w:sz w:val="22"/>
        </w:rPr>
        <w:t>（一） 公司董事、监事、高级管理人员；</w:t>
      </w:r>
    </w:p>
    <w:p>
      <w:pPr>
        <w:spacing w:before="120" w:after="120" w:line="288" w:lineRule="auto"/>
        <w:ind w:left="0" w:firstLine="420"/>
        <w:jc w:val="left"/>
      </w:pPr>
      <w:r>
        <w:rPr>
          <w:rFonts w:eastAsia="等线" w:ascii="Arial" w:cs="Arial" w:hAnsi="Arial"/>
          <w:sz w:val="22"/>
        </w:rPr>
        <w:t>（二） 持有公司5%以上股份的股东及其董事、监事、高级管理人员，公司的实际控制人及其董事、监事、高级管理人员；</w:t>
      </w:r>
    </w:p>
    <w:p>
      <w:pPr>
        <w:spacing w:before="120" w:after="120" w:line="288" w:lineRule="auto"/>
        <w:ind w:left="0" w:firstLine="420"/>
        <w:jc w:val="left"/>
      </w:pPr>
      <w:r>
        <w:rPr>
          <w:rFonts w:eastAsia="等线" w:ascii="Arial" w:cs="Arial" w:hAnsi="Arial"/>
          <w:sz w:val="22"/>
        </w:rPr>
        <w:t>（三） 公司控股子公司及公司能够对其实施重大影响的参股公司及其董事、监事、高级管理人员；</w:t>
      </w:r>
    </w:p>
    <w:p>
      <w:pPr>
        <w:spacing w:before="120" w:after="120" w:line="288" w:lineRule="auto"/>
        <w:ind w:left="0" w:firstLine="420"/>
        <w:jc w:val="left"/>
      </w:pPr>
      <w:r>
        <w:rPr>
          <w:rFonts w:eastAsia="等线" w:ascii="Arial" w:cs="Arial" w:hAnsi="Arial"/>
          <w:sz w:val="22"/>
        </w:rPr>
        <w:t>（四） 由于所任公司职务可以获取有关内幕信息的人员；</w:t>
      </w:r>
    </w:p>
    <w:p>
      <w:pPr>
        <w:spacing w:before="120" w:after="120" w:line="288" w:lineRule="auto"/>
        <w:ind w:left="0" w:firstLine="420"/>
        <w:jc w:val="left"/>
      </w:pPr>
      <w:r>
        <w:rPr>
          <w:rFonts w:eastAsia="等线" w:ascii="Arial" w:cs="Arial" w:hAnsi="Arial"/>
          <w:sz w:val="22"/>
        </w:rPr>
        <w:t>（五） 上述规定的自然人的配偶、子女和父母；</w:t>
      </w:r>
    </w:p>
    <w:p>
      <w:pPr>
        <w:spacing w:before="120" w:after="120" w:line="288" w:lineRule="auto"/>
        <w:ind w:left="0" w:firstLine="420"/>
        <w:jc w:val="left"/>
      </w:pPr>
      <w:r>
        <w:rPr>
          <w:rFonts w:eastAsia="等线" w:ascii="Arial" w:cs="Arial" w:hAnsi="Arial"/>
          <w:sz w:val="22"/>
        </w:rPr>
        <w:t>（六） 法律法规及有关监管机构规定的其他人。</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公司应当遵循守法诚信、审慎自律、责任明晰的原则，针对投资、研究等可能涉及内幕交易的活动进行全面防控，重点防范利用内幕信息进行投资决策和交易的行为。</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内幕信息知情人对其知晓的内幕信息负有保密的责任，在内幕信息依法披露前，不得擅自以任何形式对外泄露、报道、报送。</w:t>
      </w:r>
    </w:p>
    <w:p>
      <w:pPr>
        <w:spacing w:before="120" w:after="120" w:line="288" w:lineRule="auto"/>
        <w:ind w:left="0" w:firstLine="420"/>
        <w:jc w:val="left"/>
      </w:pPr>
      <w:r>
        <w:rPr>
          <w:rFonts w:eastAsia="等线" w:ascii="Arial" w:cs="Arial" w:hAnsi="Arial"/>
          <w:sz w:val="22"/>
        </w:rPr>
        <w:t>公司对内幕信息涉及的企业进行投资应遵守法律法规及有关自律规则的规定，不得违反法律规定利用内幕信息作出投资决策或进行交易，严禁利用内幕信息作为投资依据，不得进行任何形式的利益输送。</w:t>
      </w:r>
    </w:p>
    <w:p>
      <w:pPr>
        <w:spacing w:before="120" w:after="120" w:line="288" w:lineRule="auto"/>
        <w:ind w:left="0" w:firstLine="420"/>
        <w:jc w:val="left"/>
      </w:pPr>
      <w:r>
        <w:rPr>
          <w:rFonts w:eastAsia="等线" w:ascii="Arial" w:cs="Arial" w:hAnsi="Arial"/>
          <w:sz w:val="22"/>
        </w:rPr>
        <w:t>内幕信息知情人不得利用内幕信息为本人、亲属或他人谋取不正当利益，不得进行任何形式的利益输送。</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在内幕信息依法公开披露前，公司应当填写内幕信息知情人档案，及时记录商议筹划、论证咨询、合同订立等阶段及报告、传递、编制、决议、披露等环节的内幕信息知情人名单，及其知悉内幕信息的时间、地点、依据、方式、内容等信息，并采取与内幕信息知情人签署保密协议、发送禁止内幕交易告知书等必要方式将保密义务和责任告知有关人员。</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内幕信息知情人应自获悉内幕信息之日起填写《内幕信息知情人登记表》(详见附件1)，并于5个工作日内交公司合规风控部备案。合规风控部有权要求内幕信息知情人提供或补充其它有关信息。</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公司董事、监事、高级管理人员及各职能部门应当积极配合合规风控部做好内幕信息知情人登记备案工作，及时告知合规风控部内幕信息知情人情况以及相关内幕信息知情人的变更情况。</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公司内幕信息知情人档案自记录（含补充完善）之日起至少保存10年。内幕信息知情人登记备案的内容，包括但不限于内幕信息知情人的姓名、职务、身份证号、工作单位、知悉的内幕信息、知悉的途径及方式、知悉的时间等。</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公司业务人员应主动参与公司组织的相关合规培训，明确知晓法律法规、自律规则及公司制度对内幕人和内幕信息的规定，并能够在履职时有效识别内幕人和内幕信息，并在遇到问题或无法认定时，主动向公司合规风控部问询。</w:t>
      </w:r>
    </w:p>
    <w:p>
      <w:pPr>
        <w:spacing w:before="120" w:after="120" w:line="288" w:lineRule="auto"/>
        <w:ind w:left="0" w:firstLine="420"/>
        <w:jc w:val="left"/>
      </w:pPr>
      <w:r>
        <w:rPr>
          <w:rFonts w:eastAsia="等线" w:ascii="Arial" w:cs="Arial" w:hAnsi="Arial"/>
          <w:b w:val="true"/>
          <w:sz w:val="22"/>
        </w:rPr>
        <w:t>第十二条</w:t>
      </w:r>
      <w:r>
        <w:rPr>
          <w:rFonts w:eastAsia="等线" w:ascii="Arial" w:cs="Arial" w:hAnsi="Arial"/>
          <w:sz w:val="22"/>
        </w:rPr>
        <w:t xml:space="preserve"> 合规风控部应将内幕信息与交易检查列入年度检查内容，定期或不定期地进行检查，检查主要内容包括：</w:t>
      </w:r>
    </w:p>
    <w:p>
      <w:pPr>
        <w:spacing w:before="120" w:after="120" w:line="288" w:lineRule="auto"/>
        <w:ind w:left="0" w:firstLine="420"/>
        <w:jc w:val="left"/>
      </w:pPr>
      <w:r>
        <w:rPr>
          <w:rFonts w:eastAsia="等线" w:ascii="Arial" w:cs="Arial" w:hAnsi="Arial"/>
          <w:sz w:val="22"/>
        </w:rPr>
        <w:t>（一） 相关部门及人员对内幕交易防控各项制度及流程的实际执行情况；</w:t>
      </w:r>
    </w:p>
    <w:p>
      <w:pPr>
        <w:spacing w:before="120" w:after="120" w:line="288" w:lineRule="auto"/>
        <w:ind w:left="0" w:firstLine="420"/>
        <w:jc w:val="left"/>
      </w:pPr>
      <w:r>
        <w:rPr>
          <w:rFonts w:eastAsia="等线" w:ascii="Arial" w:cs="Arial" w:hAnsi="Arial"/>
          <w:sz w:val="22"/>
        </w:rPr>
        <w:t>（二） 公司的投研工作是否遵循了应有的合规管理程序，投研业务文件中是否含有内幕信息，投资决策和投资建议是否以内幕信息为依据；</w:t>
      </w:r>
    </w:p>
    <w:p>
      <w:pPr>
        <w:spacing w:before="120" w:after="120" w:line="288" w:lineRule="auto"/>
        <w:ind w:left="0" w:firstLine="420"/>
        <w:jc w:val="left"/>
      </w:pPr>
      <w:r>
        <w:rPr>
          <w:rFonts w:eastAsia="等线" w:ascii="Arial" w:cs="Arial" w:hAnsi="Arial"/>
          <w:sz w:val="22"/>
        </w:rPr>
        <w:t>（三） 公司业务人员是否通过正式或非正式的书面文件、电子文档或固定电话、微信、QQ等通讯工具讨论、传递内幕信息。</w:t>
      </w: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检查中如发现问题，应立即报告公司合规风控部负责人，经批准后，可实行进一步内部调查。在内部调查过程中有关人员应注意信息保密。</w:t>
      </w:r>
    </w:p>
    <w:p>
      <w:pPr>
        <w:spacing w:before="120" w:after="120" w:line="288" w:lineRule="auto"/>
        <w:ind w:left="0" w:firstLine="420"/>
        <w:jc w:val="left"/>
      </w:pPr>
      <w:r>
        <w:rPr>
          <w:rFonts w:eastAsia="等线" w:ascii="Arial" w:cs="Arial" w:hAnsi="Arial"/>
          <w:b w:val="true"/>
          <w:sz w:val="22"/>
        </w:rPr>
        <w:t>第十四条</w:t>
      </w:r>
      <w:r>
        <w:rPr>
          <w:rFonts w:eastAsia="等线" w:ascii="Arial" w:cs="Arial" w:hAnsi="Arial"/>
          <w:sz w:val="22"/>
        </w:rPr>
        <w:t xml:space="preserve"> 公司建立内幕交易防控责任追究机制，对未按规定履行内幕信息的识别、报告、处理、检查等义务的，应严格追究相关人员的责任。对于发现问题，公司视情况给予处罚：</w:t>
      </w:r>
    </w:p>
    <w:p>
      <w:pPr>
        <w:spacing w:before="120" w:after="120" w:line="288" w:lineRule="auto"/>
        <w:ind w:left="0" w:firstLine="420"/>
        <w:jc w:val="left"/>
      </w:pPr>
      <w:r>
        <w:rPr>
          <w:rFonts w:eastAsia="等线" w:ascii="Arial" w:cs="Arial" w:hAnsi="Arial"/>
          <w:sz w:val="22"/>
        </w:rPr>
        <w:t>（一） 对于发现问题未造成影响的，公司将视情节予以扣除奖金、降职降薪或解除劳动合同等处罚，并将有关情况记入员工个人诚信档案，反映在员工今后履职、离职证明及工作鉴定文件中。</w:t>
      </w:r>
    </w:p>
    <w:p>
      <w:pPr>
        <w:spacing w:before="120" w:after="120" w:line="288" w:lineRule="auto"/>
        <w:ind w:left="0" w:firstLine="420"/>
        <w:jc w:val="left"/>
      </w:pPr>
      <w:r>
        <w:rPr>
          <w:rFonts w:eastAsia="等线" w:ascii="Arial" w:cs="Arial" w:hAnsi="Arial"/>
          <w:sz w:val="22"/>
        </w:rPr>
        <w:t>（二） 对于依法应报告监管机构或情节严重且公司认为应上报监管机构的，公司除参照第一款给予处理外，还将呈报中国证监会及其派出机构和中国证券投资基金业协会等监管和自律机构。</w:t>
      </w:r>
    </w:p>
    <w:p>
      <w:pPr>
        <w:spacing w:before="120" w:after="120" w:line="288" w:lineRule="auto"/>
        <w:ind w:left="0" w:firstLine="420"/>
        <w:jc w:val="left"/>
      </w:pPr>
      <w:r>
        <w:rPr>
          <w:rFonts w:eastAsia="等线" w:ascii="Arial" w:cs="Arial" w:hAnsi="Arial"/>
          <w:sz w:val="22"/>
        </w:rPr>
        <w:t>（三） 对于员工违反本制度规定，利用内幕信息或利用因职务之便获取的内幕信息以外的其他未公开信息从事与该信息相关的投资交易活动，或者明示、暗示他人从事相关交易活动，牟取不正当利益的，除参照第一款和第二款给予处理外，还将采取措施直至依法移送司法机关追究刑事责任。</w:t>
      </w:r>
    </w:p>
    <w:p>
      <w:pPr>
        <w:spacing w:before="120" w:after="120" w:line="288" w:lineRule="auto"/>
        <w:ind w:left="0" w:firstLine="420"/>
        <w:jc w:val="left"/>
      </w:pPr>
      <w:r>
        <w:rPr>
          <w:rFonts w:eastAsia="等线" w:ascii="Arial" w:cs="Arial" w:hAnsi="Arial"/>
          <w:sz w:val="22"/>
        </w:rPr>
        <w:t>（四） 对于员工违反本制度规定瞒报、虚报内幕信息的，致使公司在不知情的情况下使用内幕信息做为投资决策依据的，除参照第一款、第二款和第三款规定给予处理外，公司保留进一步依法律及劳动合同追究及要求经济赔偿的权利。</w:t>
      </w:r>
    </w:p>
    <w:p>
      <w:pPr>
        <w:spacing w:before="120" w:after="120" w:line="288" w:lineRule="auto"/>
        <w:ind w:left="0" w:firstLine="420"/>
        <w:jc w:val="left"/>
      </w:pPr>
      <w:r>
        <w:rPr>
          <w:rFonts w:eastAsia="等线" w:ascii="Arial" w:cs="Arial" w:hAnsi="Arial"/>
          <w:b w:val="true"/>
          <w:sz w:val="22"/>
        </w:rPr>
        <w:t>第十五条</w:t>
      </w:r>
      <w:r>
        <w:rPr>
          <w:rFonts w:eastAsia="等线" w:ascii="Arial" w:cs="Arial" w:hAnsi="Arial"/>
          <w:sz w:val="22"/>
        </w:rPr>
        <w:t xml:space="preserve"> 公司将内幕交易防控管理纳入部门及员工个人年度绩效考核内容，作为年度绩效考核的重要依据之一。发生内幕交易案件，对部门及员工个人年度绩效考核实施一票否决，对相关责任人实施降职、降薪或辞退等措施。</w:t>
      </w:r>
    </w:p>
    <w:p>
      <w:pPr>
        <w:spacing w:before="120" w:after="120" w:line="288" w:lineRule="auto"/>
        <w:ind w:left="0" w:firstLine="420"/>
        <w:jc w:val="left"/>
      </w:pPr>
      <w:r>
        <w:rPr>
          <w:rFonts w:eastAsia="等线" w:ascii="Arial" w:cs="Arial" w:hAnsi="Arial"/>
          <w:b w:val="true"/>
          <w:sz w:val="22"/>
        </w:rPr>
        <w:t xml:space="preserve">第十六条 </w:t>
      </w:r>
      <w:r>
        <w:rPr>
          <w:rFonts w:eastAsia="等线" w:ascii="Arial" w:cs="Arial" w:hAnsi="Arial"/>
          <w:sz w:val="22"/>
        </w:rPr>
        <w:t>本制度所称利益冲突主要是指公司及员工在投资交易时，因其自身利益与公司在管基金或投资者利益发生冲突时，可能损害基金或投资者利益的情形，以及公司所管理不同基金（及相关投资者）之间可能产生的利益冲突。</w:t>
      </w:r>
    </w:p>
    <w:p>
      <w:pPr>
        <w:spacing w:before="120" w:after="120" w:line="288" w:lineRule="auto"/>
        <w:ind w:left="0" w:firstLine="420"/>
        <w:jc w:val="left"/>
      </w:pPr>
      <w:r>
        <w:rPr>
          <w:rFonts w:eastAsia="等线" w:ascii="Arial" w:cs="Arial" w:hAnsi="Arial"/>
          <w:b w:val="true"/>
          <w:sz w:val="22"/>
        </w:rPr>
        <w:t>第十七条</w:t>
      </w:r>
      <w:r>
        <w:rPr>
          <w:rFonts w:eastAsia="等线" w:ascii="Arial" w:cs="Arial" w:hAnsi="Arial"/>
          <w:sz w:val="22"/>
        </w:rPr>
        <w:t xml:space="preserve"> 利益冲突防范的目标主要是：</w:t>
      </w:r>
    </w:p>
    <w:p>
      <w:pPr>
        <w:spacing w:before="120" w:after="120" w:line="288" w:lineRule="auto"/>
        <w:ind w:left="0" w:firstLine="420"/>
        <w:jc w:val="left"/>
      </w:pPr>
      <w:r>
        <w:rPr>
          <w:rFonts w:eastAsia="等线" w:ascii="Arial" w:cs="Arial" w:hAnsi="Arial"/>
          <w:sz w:val="22"/>
        </w:rPr>
        <w:t>（一） 有效防范风险，促进公司诚信、合法、有效经营，保障基金投资者利益；</w:t>
      </w:r>
    </w:p>
    <w:p>
      <w:pPr>
        <w:spacing w:before="120" w:after="120" w:line="288" w:lineRule="auto"/>
        <w:ind w:left="0" w:firstLine="420"/>
        <w:jc w:val="left"/>
      </w:pPr>
      <w:r>
        <w:rPr>
          <w:rFonts w:eastAsia="等线" w:ascii="Arial" w:cs="Arial" w:hAnsi="Arial"/>
          <w:sz w:val="22"/>
        </w:rPr>
        <w:t>（二） 引导员工主动积极避免任何可能影响公司或基金投资者利益的行为出现。</w:t>
      </w:r>
    </w:p>
    <w:p>
      <w:pPr>
        <w:spacing w:before="120" w:after="120" w:line="288" w:lineRule="auto"/>
        <w:ind w:left="0" w:firstLine="420"/>
        <w:jc w:val="left"/>
      </w:pPr>
      <w:r>
        <w:rPr>
          <w:rFonts w:eastAsia="等线" w:ascii="Arial" w:cs="Arial" w:hAnsi="Arial"/>
          <w:b w:val="true"/>
          <w:sz w:val="22"/>
        </w:rPr>
        <w:t xml:space="preserve">第十八条 </w:t>
      </w:r>
      <w:r>
        <w:rPr>
          <w:rFonts w:eastAsia="等线" w:ascii="Arial" w:cs="Arial" w:hAnsi="Arial"/>
          <w:sz w:val="22"/>
        </w:rPr>
        <w:t>公司及员工应坚持勤勉、谨慎、尽责原则，诚实、公正地对待不同基金及投资者，遵守投资者利益优先的原则，不得从事损害基金财产和投资者利益的行为，不得从事任何与履行职责有利益冲突的活动。</w:t>
      </w:r>
    </w:p>
    <w:p>
      <w:pPr>
        <w:spacing w:before="120" w:after="120" w:line="288" w:lineRule="auto"/>
        <w:ind w:left="0" w:firstLine="420"/>
        <w:jc w:val="left"/>
      </w:pPr>
      <w:r>
        <w:rPr>
          <w:rFonts w:eastAsia="等线" w:ascii="Arial" w:cs="Arial" w:hAnsi="Arial"/>
          <w:b w:val="true"/>
          <w:sz w:val="22"/>
        </w:rPr>
        <w:t>第十九条</w:t>
      </w:r>
      <w:r>
        <w:rPr>
          <w:rFonts w:eastAsia="等线" w:ascii="Arial" w:cs="Arial" w:hAnsi="Arial"/>
          <w:sz w:val="22"/>
        </w:rPr>
        <w:t xml:space="preserve"> 公司员工应自行申报其自身可能存在的利益冲突情形，公司合规风控部应就公司及其员工与在管基金产品、投资者可能存在的利益冲突情形进行核查，如发现可能存在利益冲突的，应及时报告。</w:t>
      </w:r>
    </w:p>
    <w:p>
      <w:pPr>
        <w:spacing w:before="120" w:after="120" w:line="288" w:lineRule="auto"/>
        <w:ind w:left="0" w:firstLine="420"/>
        <w:jc w:val="left"/>
      </w:pPr>
      <w:r>
        <w:rPr>
          <w:rFonts w:eastAsia="等线" w:ascii="Arial" w:cs="Arial" w:hAnsi="Arial"/>
          <w:sz w:val="22"/>
        </w:rPr>
        <w:t>公司员工进行直接或间接的股权投资，应报公司备案，并应遵循基金投资者利益优先和公司利益优先的原则，避免利益冲突的情况。</w:t>
      </w:r>
    </w:p>
    <w:p>
      <w:pPr>
        <w:spacing w:before="120" w:after="120" w:line="288" w:lineRule="auto"/>
        <w:ind w:left="0" w:firstLine="420"/>
        <w:jc w:val="left"/>
      </w:pPr>
      <w:r>
        <w:rPr>
          <w:rFonts w:eastAsia="等线" w:ascii="Arial" w:cs="Arial" w:hAnsi="Arial"/>
          <w:b w:val="true"/>
          <w:sz w:val="22"/>
        </w:rPr>
        <w:t>第二十条</w:t>
      </w:r>
      <w:r>
        <w:rPr>
          <w:rFonts w:eastAsia="等线" w:ascii="Arial" w:cs="Arial" w:hAnsi="Arial"/>
          <w:sz w:val="22"/>
        </w:rPr>
        <w:t xml:space="preserve"> 公司应根据有关规定及时向投资者披露可能存在的利益冲突情形。</w:t>
      </w:r>
    </w:p>
    <w:p>
      <w:pPr>
        <w:spacing w:before="120" w:after="120" w:line="288" w:lineRule="auto"/>
        <w:ind w:left="0" w:firstLine="420"/>
        <w:jc w:val="left"/>
      </w:pPr>
      <w:r>
        <w:rPr>
          <w:rFonts w:eastAsia="等线" w:ascii="Arial" w:cs="Arial" w:hAnsi="Arial"/>
          <w:b w:val="true"/>
          <w:sz w:val="22"/>
        </w:rPr>
        <w:t>第二十一条</w:t>
      </w:r>
      <w:r>
        <w:rPr>
          <w:rFonts w:eastAsia="等线" w:ascii="Arial" w:cs="Arial" w:hAnsi="Arial"/>
          <w:sz w:val="22"/>
        </w:rPr>
        <w:t xml:space="preserve"> 公司应不断完善研究方法和投资决策流程，提高投资决策的科学性和客观性，确保公司在管各基金产品享有公平的投资决策机会，建立公平交易的制度环境。</w:t>
      </w:r>
    </w:p>
    <w:p>
      <w:pPr>
        <w:spacing w:before="120" w:after="120" w:line="288" w:lineRule="auto"/>
        <w:ind w:left="0" w:firstLine="420"/>
        <w:jc w:val="left"/>
      </w:pPr>
      <w:r>
        <w:rPr>
          <w:rFonts w:eastAsia="等线" w:ascii="Arial" w:cs="Arial" w:hAnsi="Arial"/>
          <w:b w:val="true"/>
          <w:sz w:val="22"/>
        </w:rPr>
        <w:t>第二十二条</w:t>
      </w:r>
      <w:r>
        <w:rPr>
          <w:rFonts w:eastAsia="等线" w:ascii="Arial" w:cs="Arial" w:hAnsi="Arial"/>
          <w:sz w:val="22"/>
        </w:rPr>
        <w:t xml:space="preserve"> 基金运作及退出过程中，关于可能存在的利益冲突情形，如公司旗下多支基金对同一投资对象进行投资，设立投资策略、投资范围与已有基金重合的基金，由公司在管基金退出时由旗下另一支基金受让其份额等，公司应与投资者在相应的基金合同就潜在利益冲突情形的处理方式进行约定，包括但不限于在相应基金合同中约定差异化的基金投资策略与投资决策程序，对利益冲突实行信息隔离，发生利益冲突时通过相应渠道向投资者披露等。</w:t>
      </w:r>
    </w:p>
    <w:p>
      <w:pPr>
        <w:spacing w:before="120" w:after="120" w:line="288" w:lineRule="auto"/>
        <w:ind w:left="0" w:firstLine="420"/>
        <w:jc w:val="left"/>
      </w:pPr>
      <w:r>
        <w:rPr>
          <w:rFonts w:eastAsia="等线" w:ascii="Arial" w:cs="Arial" w:hAnsi="Arial"/>
          <w:b w:val="true"/>
          <w:sz w:val="22"/>
        </w:rPr>
        <w:t xml:space="preserve">第二十三条 </w:t>
      </w:r>
      <w:r>
        <w:rPr>
          <w:rFonts w:eastAsia="等线" w:ascii="Arial" w:cs="Arial" w:hAnsi="Arial"/>
          <w:sz w:val="22"/>
        </w:rPr>
        <w:t>公司应在投资项目备选库的基础上，根据公司不同基金产品的投资目标、投资风格、投资范围和关联交易限制等，建立不同的投资对象备选库和交易对手备选库，投资管理部（投资经理）在此基础上根据投资授权和指令构建具体的投资组合。</w:t>
      </w:r>
    </w:p>
    <w:p>
      <w:pPr>
        <w:spacing w:before="120" w:after="120" w:line="288" w:lineRule="auto"/>
        <w:ind w:left="0" w:firstLine="420"/>
        <w:jc w:val="left"/>
      </w:pPr>
      <w:r>
        <w:rPr>
          <w:rFonts w:eastAsia="等线" w:ascii="Arial" w:cs="Arial" w:hAnsi="Arial"/>
          <w:b w:val="true"/>
          <w:sz w:val="22"/>
        </w:rPr>
        <w:t>第二十四条</w:t>
      </w:r>
      <w:r>
        <w:rPr>
          <w:rFonts w:eastAsia="等线" w:ascii="Arial" w:cs="Arial" w:hAnsi="Arial"/>
          <w:sz w:val="22"/>
        </w:rPr>
        <w:t xml:space="preserve"> 公司投资决策根据投资管理制度采取审批表决制度，由投资管理部筛选后层层审核并报投资决策委员会投票表决。公司多个基金产品拟共同参与同一项目的，由投资决策委员会按比例分配并经投资者确认。如因特殊原因不按照上述原则进行分配的，应及时报总经理决策。</w:t>
      </w:r>
    </w:p>
    <w:p>
      <w:pPr>
        <w:spacing w:before="120" w:after="120" w:line="288" w:lineRule="auto"/>
        <w:ind w:left="0" w:firstLine="420"/>
        <w:jc w:val="left"/>
      </w:pPr>
      <w:r>
        <w:rPr>
          <w:rFonts w:eastAsia="等线" w:ascii="Arial" w:cs="Arial" w:hAnsi="Arial"/>
          <w:b w:val="true"/>
          <w:sz w:val="22"/>
        </w:rPr>
        <w:t>第二十五条</w:t>
      </w:r>
      <w:r>
        <w:rPr>
          <w:rFonts w:eastAsia="等线" w:ascii="Arial" w:cs="Arial" w:hAnsi="Arial"/>
          <w:sz w:val="22"/>
        </w:rPr>
        <w:t xml:space="preserve"> 公司严格禁止公司不同基金产品之间的反向交易。</w:t>
      </w:r>
    </w:p>
    <w:p>
      <w:pPr>
        <w:spacing w:before="120" w:after="120" w:line="288" w:lineRule="auto"/>
        <w:ind w:left="0" w:firstLine="420"/>
        <w:jc w:val="left"/>
      </w:pPr>
      <w:r>
        <w:rPr>
          <w:rFonts w:eastAsia="等线" w:ascii="Arial" w:cs="Arial" w:hAnsi="Arial"/>
          <w:b w:val="true"/>
          <w:sz w:val="22"/>
        </w:rPr>
        <w:t>第二十六条</w:t>
      </w:r>
      <w:r>
        <w:rPr>
          <w:rFonts w:eastAsia="等线" w:ascii="Arial" w:cs="Arial" w:hAnsi="Arial"/>
          <w:sz w:val="22"/>
        </w:rPr>
        <w:t xml:space="preserve"> 公司不同基金产品投资经理之间的投资进展、项目损益等重大非公开投资信息应分别管理，并采取保密措施。</w:t>
      </w:r>
    </w:p>
    <w:p>
      <w:pPr>
        <w:spacing w:before="120" w:after="120" w:line="288" w:lineRule="auto"/>
        <w:ind w:left="0" w:firstLine="420"/>
        <w:jc w:val="left"/>
      </w:pPr>
      <w:r>
        <w:rPr>
          <w:rFonts w:eastAsia="等线" w:ascii="Arial" w:cs="Arial" w:hAnsi="Arial"/>
          <w:b w:val="true"/>
          <w:sz w:val="22"/>
        </w:rPr>
        <w:t>第二十七条</w:t>
      </w:r>
      <w:r>
        <w:rPr>
          <w:rFonts w:eastAsia="等线" w:ascii="Arial" w:cs="Arial" w:hAnsi="Arial"/>
          <w:sz w:val="22"/>
        </w:rPr>
        <w:t xml:space="preserve"> 公司合规风控部负责公司交易行为的日常监控和分析评估，记录异常交易行为及有关评估结果，并对公司内幕信息、利益冲突情形进行监督。对发现的涉嫌违反本制度的行为，合规风控部应及时向风险控制委员会或总经理汇报，并提出可行的控制措施。</w:t>
      </w:r>
    </w:p>
    <w:p>
      <w:pPr>
        <w:spacing w:before="120" w:after="120" w:line="288" w:lineRule="auto"/>
        <w:ind w:left="0" w:firstLine="420"/>
        <w:jc w:val="left"/>
      </w:pPr>
      <w:r>
        <w:rPr>
          <w:rFonts w:eastAsia="等线" w:ascii="Arial" w:cs="Arial" w:hAnsi="Arial"/>
          <w:sz w:val="22"/>
        </w:rPr>
        <w:t>如果发现交易管理制度存在设计缺陷或执行缺陷的，应重新核查公司投资决策和交易执行环节的内部控制，针对潜在问题完善交易管理制度。</w:t>
      </w:r>
    </w:p>
    <w:p>
      <w:pPr>
        <w:spacing w:before="120" w:after="120" w:line="288" w:lineRule="auto"/>
        <w:ind w:left="0" w:firstLine="420"/>
        <w:jc w:val="left"/>
      </w:pPr>
      <w:r>
        <w:rPr>
          <w:rFonts w:eastAsia="等线" w:ascii="Arial" w:cs="Arial" w:hAnsi="Arial"/>
          <w:b w:val="true"/>
          <w:sz w:val="22"/>
        </w:rPr>
        <w:t>第二十八条</w:t>
      </w:r>
      <w:r>
        <w:rPr>
          <w:rFonts w:eastAsia="等线" w:ascii="Arial" w:cs="Arial" w:hAnsi="Arial"/>
          <w:sz w:val="22"/>
        </w:rPr>
        <w:t xml:space="preserve"> 公司各部门应通力合作，建立并持续完善有关管理制度与业务流程，有效落实内幕交易和利益冲突内部防控的各项措施。</w:t>
      </w:r>
    </w:p>
    <w:p>
      <w:pPr>
        <w:spacing w:before="120" w:after="120" w:line="288" w:lineRule="auto"/>
        <w:ind w:left="0" w:firstLine="420"/>
        <w:jc w:val="left"/>
      </w:pPr>
      <w:r>
        <w:rPr>
          <w:rFonts w:eastAsia="等线" w:ascii="Arial" w:cs="Arial" w:hAnsi="Arial"/>
          <w:b w:val="true"/>
          <w:sz w:val="22"/>
        </w:rPr>
        <w:t>第二十九条</w:t>
      </w:r>
      <w:r>
        <w:rPr>
          <w:rFonts w:eastAsia="等线" w:ascii="Arial" w:cs="Arial" w:hAnsi="Arial"/>
          <w:sz w:val="22"/>
        </w:rPr>
        <w:t xml:space="preserve"> 公司合规部门应加强合规培训，树立并持续提升员工的合规意识。其中有关内幕交易和利益冲突防范的培训需做到：</w:t>
      </w:r>
    </w:p>
    <w:p>
      <w:pPr>
        <w:spacing w:before="120" w:after="120" w:line="288" w:lineRule="auto"/>
        <w:ind w:left="453"/>
        <w:jc w:val="left"/>
      </w:pPr>
      <w:r>
        <w:rPr>
          <w:rFonts w:eastAsia="等线" w:ascii="Arial" w:cs="Arial" w:hAnsi="Arial"/>
          <w:sz w:val="22"/>
        </w:rPr>
        <w:t>（一）列入新员工培训内容；</w:t>
      </w:r>
    </w:p>
    <w:p>
      <w:pPr>
        <w:spacing w:before="120" w:after="120" w:line="288" w:lineRule="auto"/>
        <w:ind w:left="453"/>
        <w:jc w:val="left"/>
      </w:pPr>
      <w:r>
        <w:rPr>
          <w:rFonts w:eastAsia="等线" w:ascii="Arial" w:cs="Arial" w:hAnsi="Arial"/>
          <w:sz w:val="22"/>
        </w:rPr>
        <w:t>（二）公司全体业务人员每年至少培训一次。</w:t>
      </w:r>
    </w:p>
    <w:p>
      <w:pPr>
        <w:spacing w:before="120" w:after="120" w:line="288" w:lineRule="auto"/>
        <w:ind w:left="0" w:firstLine="420"/>
        <w:jc w:val="left"/>
      </w:pPr>
      <w:r>
        <w:rPr>
          <w:rFonts w:eastAsia="等线" w:ascii="Arial" w:cs="Arial" w:hAnsi="Arial"/>
          <w:b w:val="true"/>
          <w:sz w:val="22"/>
        </w:rPr>
        <w:t xml:space="preserve">第三十条 </w:t>
      </w:r>
      <w:r>
        <w:rPr>
          <w:rFonts w:eastAsia="等线" w:ascii="Arial" w:cs="Arial" w:hAnsi="Arial"/>
          <w:sz w:val="22"/>
        </w:rPr>
        <w:t>本制度依据现行有效的法律、法规的有关规定而制定，公司将适时根据有关法律、法规的要求和公司业务的发展作进一步的调整和完善；如遇有关法律、法规作出调整与本制度不一致时，公司将依据新的法律、法规的规定执行。</w:t>
      </w:r>
    </w:p>
    <w:p>
      <w:pPr>
        <w:spacing w:before="120" w:after="120" w:line="288" w:lineRule="auto"/>
        <w:ind w:left="0" w:firstLine="420"/>
        <w:jc w:val="left"/>
      </w:pPr>
      <w:r>
        <w:rPr>
          <w:rFonts w:eastAsia="等线" w:ascii="Arial" w:cs="Arial" w:hAnsi="Arial"/>
          <w:b w:val="true"/>
          <w:sz w:val="22"/>
        </w:rPr>
        <w:t xml:space="preserve">第三十一条 </w:t>
      </w:r>
      <w:r>
        <w:rPr>
          <w:rFonts w:eastAsia="等线" w:ascii="Arial" w:cs="Arial" w:hAnsi="Arial"/>
          <w:sz w:val="22"/>
        </w:rPr>
        <w:t>本制度由合规风控部负责解释和修订，经董事审议批准后自发布之日起生效施行。</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1" w:id="11"/>
      <w:r>
        <w:rPr>
          <w:rFonts w:eastAsia="等线" w:ascii="Arial" w:cs="Arial" w:hAnsi="Arial"/>
          <w:b w:val="true"/>
          <w:sz w:val="30"/>
        </w:rPr>
        <w:t>第五节 合格投资者风险揭示制度</w:t>
      </w:r>
      <w:bookmarkEnd w:id="11"/>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 xml:space="preserve">为规范公司投资者适当性管理工作，保护投资者合法权益，根据《中华人民共和国证券法》、《私募基金管理暂行条例》和《私募投资基金监督管理暂行办法》及其他相关业务规 则，制定本制度。 </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公司私募投资基金的合格投资者风险揭示制度应当遵循真实、准确、及时和完整的原则。</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公司应当按照中国基金业协会的规定以及基金合同、公司章程或者合伙协议（以下统称基金合同）的约定向合格投资者进行风险揭示。</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基金在投资运作过程中可能面临各种风险，既包括市场风险，也包括基金自身的管理风险、技术风险和合规风险等。</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基金在运营过程中，一般存在以下风险：</w:t>
      </w:r>
    </w:p>
    <w:p>
      <w:pPr>
        <w:spacing w:before="120" w:after="120" w:line="288" w:lineRule="auto"/>
        <w:ind w:left="0" w:firstLine="420"/>
        <w:jc w:val="left"/>
      </w:pPr>
      <w:r>
        <w:rPr>
          <w:rFonts w:eastAsia="等线" w:ascii="Arial" w:cs="Arial" w:hAnsi="Arial"/>
          <w:sz w:val="22"/>
        </w:rPr>
        <w:t>（一） 资金损失风险。基金管理人依照恪尽职守、诚实信用、谨慎勤勉的原则管理和运用基金财产，但不保证基金财产中的认购资金本金不受损失，也不保证一定盈利及最低收益。</w:t>
      </w:r>
    </w:p>
    <w:p>
      <w:pPr>
        <w:spacing w:before="120" w:after="120" w:line="288" w:lineRule="auto"/>
        <w:ind w:left="0" w:firstLine="420"/>
        <w:jc w:val="left"/>
      </w:pPr>
      <w:r>
        <w:rPr>
          <w:rFonts w:eastAsia="等线" w:ascii="Arial" w:cs="Arial" w:hAnsi="Arial"/>
          <w:sz w:val="22"/>
        </w:rPr>
        <w:t>（二） 基金运营风险。基金管理人依据基金合同约定管理和运用基金财产所产生的风险，由基金财产及投资者承担。投资者应充分知晓投资运营的相关风险，其风险应由投资者自担。</w:t>
      </w:r>
    </w:p>
    <w:p>
      <w:pPr>
        <w:spacing w:before="120" w:after="120" w:line="288" w:lineRule="auto"/>
        <w:ind w:left="0" w:firstLine="420"/>
        <w:jc w:val="left"/>
      </w:pPr>
      <w:r>
        <w:rPr>
          <w:rFonts w:eastAsia="等线" w:ascii="Arial" w:cs="Arial" w:hAnsi="Arial"/>
          <w:sz w:val="22"/>
        </w:rPr>
        <w:t xml:space="preserve">（三） 流动性风险。基金预计存续期限为基金成立之日起至基金结束并清算完毕为止，在基金存续期内，投资者可能面临资金不能退出带来的流动性风险。根据实际投资运作情况，基金可能提前结束或延期结束，投资者可能因此面临委托资金不能按期退出等风险。 </w:t>
      </w:r>
    </w:p>
    <w:p>
      <w:pPr>
        <w:spacing w:before="120" w:after="120" w:line="288" w:lineRule="auto"/>
        <w:ind w:left="0" w:firstLine="420"/>
        <w:jc w:val="left"/>
      </w:pPr>
      <w:r>
        <w:rPr>
          <w:rFonts w:eastAsia="等线" w:ascii="Arial" w:cs="Arial" w:hAnsi="Arial"/>
          <w:sz w:val="22"/>
        </w:rPr>
        <w:t>（四） 募集失败风险。基金的成立需符合相关法律法规的规定，基金可能存在不能满足成立条件从而无法成立的风险。</w:t>
      </w:r>
    </w:p>
    <w:p>
      <w:pPr>
        <w:spacing w:before="120" w:after="120" w:line="288" w:lineRule="auto"/>
        <w:ind w:left="0" w:firstLine="420"/>
        <w:jc w:val="left"/>
      </w:pPr>
      <w:r>
        <w:rPr>
          <w:rFonts w:eastAsia="等线" w:ascii="Arial" w:cs="Arial" w:hAnsi="Arial"/>
          <w:sz w:val="22"/>
        </w:rPr>
        <w:t>（五） 投资标的风险（适用于股权类）。基金投资标的的价值取决于投资对象的经营状况，原股东对所投资企业的管理和运营，相关市场宏观调控政策、财政税收政策、产业政策、法律法规、经济周期的变化以及区域市场竞争格局的变化等都可能影响所投资企业经营状况，进而影响基金投资标的的价值。</w:t>
      </w:r>
    </w:p>
    <w:p>
      <w:pPr>
        <w:spacing w:before="120" w:after="120" w:line="288" w:lineRule="auto"/>
        <w:ind w:left="0" w:firstLine="420"/>
        <w:jc w:val="left"/>
      </w:pPr>
      <w:r>
        <w:rPr>
          <w:rFonts w:eastAsia="等线" w:ascii="Arial" w:cs="Arial" w:hAnsi="Arial"/>
          <w:sz w:val="22"/>
        </w:rPr>
        <w:t>（六） 税收风险。基金所适用的税收征管法律法规可能会由于国家相关税收政策调整而发生变化，投资者收益也可能因相关税收政策调整而受到影响。</w:t>
      </w:r>
    </w:p>
    <w:p>
      <w:pPr>
        <w:spacing w:before="120" w:after="120" w:line="288" w:lineRule="auto"/>
        <w:ind w:left="0" w:firstLine="420"/>
        <w:jc w:val="left"/>
      </w:pPr>
      <w:r>
        <w:rPr>
          <w:rFonts w:eastAsia="等线" w:ascii="Arial" w:cs="Arial" w:hAnsi="Arial"/>
          <w:sz w:val="22"/>
        </w:rPr>
        <w:t>（七） 其他风险。包括但不限于法律与政策风险、发生不可抗力事件的风险、技术风险和操作风险等。</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在投资者签署基金合同之前，公司募集人员应向投资者重点揭示私募基金相关风险；了解投资者的风险偏好、风险认知能力和承受能力；应向投资者说明有关法律法规，说明投资冷静期、回访确认的制度安排以及投资者的权利，并与投资者签署《风险揭示书》（详见附件1）。</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公司须向投资者声明，中国证券投资基金业协会为私募基金管理人和私募基金办理登记备案不构成对私募基金管理人投资能力、持续合规情况的认可；不作为对基金财产安全的保证。</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风险揭示书的内容包括但不限于：</w:t>
      </w:r>
    </w:p>
    <w:p>
      <w:pPr>
        <w:spacing w:before="120" w:after="120" w:line="288" w:lineRule="auto"/>
        <w:ind w:left="0" w:firstLine="420"/>
        <w:jc w:val="left"/>
      </w:pPr>
      <w:r>
        <w:rPr>
          <w:rFonts w:eastAsia="等线" w:ascii="Arial" w:cs="Arial" w:hAnsi="Arial"/>
          <w:sz w:val="22"/>
        </w:rPr>
        <w:t>（一） 私募基金的特殊风险，包括基金合同与中国基金业协会合同指引不一致所涉风险、基金未托管所涉风险、基金委托募集所涉风险、外包事项所涉风险、聘请投资顾问所涉风险、未在中国基金业协会履行登记备案手续所涉风险等；</w:t>
      </w:r>
    </w:p>
    <w:p>
      <w:pPr>
        <w:spacing w:before="120" w:after="120" w:line="288" w:lineRule="auto"/>
        <w:ind w:left="0" w:firstLine="420"/>
        <w:jc w:val="left"/>
      </w:pPr>
      <w:r>
        <w:rPr>
          <w:rFonts w:eastAsia="等线" w:ascii="Arial" w:cs="Arial" w:hAnsi="Arial"/>
          <w:sz w:val="22"/>
        </w:rPr>
        <w:t>（二） 私募基金投资运作中面临的一般风险，包括资金损失风险、基金运营风险、流动性风险、募集失败风险、投资标的的风险、税收风险等；</w:t>
      </w:r>
    </w:p>
    <w:p>
      <w:pPr>
        <w:spacing w:before="120" w:after="120" w:line="288" w:lineRule="auto"/>
        <w:ind w:left="0" w:firstLine="420"/>
        <w:jc w:val="left"/>
      </w:pPr>
      <w:r>
        <w:rPr>
          <w:rFonts w:eastAsia="等线" w:ascii="Arial" w:cs="Arial" w:hAnsi="Arial"/>
          <w:sz w:val="22"/>
        </w:rPr>
        <w:t>（三） 投资者对基金合同中投资者权益相关重要条款的逐项确认，包括当事人权利义务、费用及税收、纠纷解决方式等。</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b w:val="true"/>
          <w:sz w:val="22"/>
        </w:rPr>
        <w:t>第九条</w:t>
      </w:r>
      <w:r>
        <w:rPr>
          <w:rFonts w:eastAsia="等线" w:ascii="Arial" w:cs="Arial" w:hAnsi="Arial"/>
          <w:sz w:val="22"/>
        </w:rPr>
        <w:t xml:space="preserve"> 公司可对参与的投资者设置准入条件，并确定是否为合格投资者。投资者准入条件包括但不限于财务状况、证券投资知识水平、投资经验、风险承受能力等方面的要求。法律、行政法规、规章制度对投资者准入条件另有规定的，从其规定。    </w:t>
      </w:r>
    </w:p>
    <w:p>
      <w:pPr>
        <w:spacing w:before="120" w:after="120" w:line="288" w:lineRule="auto"/>
        <w:ind w:left="0" w:firstLine="420"/>
        <w:jc w:val="left"/>
      </w:pPr>
      <w:r>
        <w:rPr>
          <w:rFonts w:eastAsia="等线" w:ascii="Arial" w:cs="Arial" w:hAnsi="Arial"/>
          <w:b w:val="true"/>
          <w:sz w:val="22"/>
        </w:rPr>
        <w:t>第十条</w:t>
      </w:r>
      <w:r>
        <w:rPr>
          <w:rFonts w:eastAsia="等线" w:ascii="Arial" w:cs="Arial" w:hAnsi="Arial"/>
          <w:sz w:val="22"/>
        </w:rPr>
        <w:t xml:space="preserve"> 公司作为基金管理人承诺以恪尽职守、诚实信用、谨慎勤勉的原则管理和运用基金财产，但不保证基金一定盈利，也不保证最低收益。基金的过往业绩及其净值高低并不预示其未来业绩表现。公司提醒投资人基金投资的“买者自负”原则，在做出投资决策后，基金运营状况与基金净值变化引致的投资风险，由投资人自行负担。</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投资人认真阅读《基金合同》、《招募说明书》等基金法律文件，了解基金的风险收益特征的基础上，并根据自身的投资目的、投资期限、投资经验、资产状况等购买和投资人的风险承受能力相适应的基金产品。</w:t>
      </w:r>
    </w:p>
    <w:p>
      <w:pPr>
        <w:spacing w:before="120" w:after="120" w:line="288" w:lineRule="auto"/>
        <w:ind w:left="0" w:firstLine="420"/>
        <w:jc w:val="left"/>
      </w:pPr>
      <w:r>
        <w:rPr>
          <w:rFonts w:eastAsia="等线" w:ascii="Arial" w:cs="Arial" w:hAnsi="Arial"/>
          <w:sz w:val="22"/>
        </w:rPr>
        <w:t xml:space="preserve">投资者要求公司提供产品或服务，公司认为该产品或服务超出投资者的风险承受能力的，应当向投资者警示风险。    </w:t>
      </w:r>
    </w:p>
    <w:p>
      <w:pPr>
        <w:spacing w:before="120" w:after="120" w:line="288" w:lineRule="auto"/>
        <w:ind w:left="0" w:firstLine="420"/>
        <w:jc w:val="left"/>
      </w:pPr>
      <w:r>
        <w:rPr>
          <w:rFonts w:eastAsia="等线" w:ascii="Arial" w:cs="Arial" w:hAnsi="Arial"/>
          <w:sz w:val="22"/>
        </w:rPr>
        <w:t xml:space="preserve">对于不符合法律、行政法规、规章或公司业务规则规定的产品或服务准入条件的投资者，公司应当拒绝为其提供相应产品或服务。   </w:t>
      </w:r>
    </w:p>
    <w:p>
      <w:pPr>
        <w:spacing w:before="120" w:after="120" w:line="288" w:lineRule="auto"/>
        <w:ind w:left="0" w:firstLine="420"/>
        <w:jc w:val="left"/>
      </w:pPr>
      <w:r>
        <w:rPr>
          <w:rFonts w:eastAsia="等线" w:ascii="Arial" w:cs="Arial" w:hAnsi="Arial"/>
          <w:b w:val="true"/>
          <w:sz w:val="22"/>
        </w:rPr>
        <w:t>第十二条</w:t>
      </w:r>
      <w:r>
        <w:rPr>
          <w:rFonts w:eastAsia="等线" w:ascii="Arial" w:cs="Arial" w:hAnsi="Arial"/>
          <w:sz w:val="22"/>
        </w:rPr>
        <w:t xml:space="preserve"> 本制度依据现行有效的法律、法规的有关规定而制定，公司将适时根据有关法律、法规的要求和公司业务的发展作进一步的调整和完善；如遇有关法律、法规作出调整与本制度不一致时，公司将依据新的法律、法规的规定执行。 </w:t>
      </w:r>
    </w:p>
    <w:p>
      <w:pPr>
        <w:spacing w:before="120" w:after="120" w:line="288" w:lineRule="auto"/>
        <w:ind w:left="0" w:firstLine="420"/>
        <w:jc w:val="left"/>
      </w:pPr>
      <w:r>
        <w:rPr>
          <w:rFonts w:eastAsia="等线" w:ascii="Arial" w:cs="Arial" w:hAnsi="Arial"/>
          <w:b w:val="true"/>
          <w:sz w:val="22"/>
        </w:rPr>
        <w:t xml:space="preserve">第十三条 </w:t>
      </w:r>
      <w:r>
        <w:rPr>
          <w:rFonts w:eastAsia="等线" w:ascii="Arial" w:cs="Arial" w:hAnsi="Arial"/>
          <w:sz w:val="22"/>
        </w:rPr>
        <w:t xml:space="preserve">本制度由合规风控部负责解释和修订，经董事审议批准后自发布之日起生效施行。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2" w:id="12"/>
      <w:r>
        <w:rPr>
          <w:rFonts w:eastAsia="等线" w:ascii="Arial" w:cs="Arial" w:hAnsi="Arial"/>
          <w:b w:val="true"/>
          <w:sz w:val="30"/>
        </w:rPr>
        <w:t>第六节 合格投资者内部审核流程及相关制度</w:t>
      </w:r>
      <w:bookmarkEnd w:id="12"/>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规范公司投资者适当性管理工作，保护投资者的合法权益，根据《私募投资基金监督管理暂行办法》、《私募投资基金募集行为管理办法》、《私募投资基金管理人内部控制指引》、《基金募集机构投资者适当性管理实施指引（试行）》等有关法律、法规的相关规定，结合公司实际情况，特制定本制度。</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 xml:space="preserve">公司向投资者提供的产品或相关服务,适用本制度、本公司其他业务规则及相关行业自律组织有关投资者适当性管理的规定。 </w:t>
      </w:r>
    </w:p>
    <w:p>
      <w:pPr>
        <w:spacing w:before="120" w:after="120" w:line="288" w:lineRule="auto"/>
        <w:ind w:left="0" w:firstLine="420"/>
        <w:jc w:val="left"/>
      </w:pPr>
      <w:r>
        <w:rPr>
          <w:rFonts w:eastAsia="等线" w:ascii="Arial" w:cs="Arial" w:hAnsi="Arial"/>
          <w:sz w:val="22"/>
        </w:rPr>
        <w:t>本公司可按照本制度的规定，制定具体产品或服务的投资者适当性管理指引。严格投资者适当性管理，坚持面向合格投资者募集资金。</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公司投资管理部是投资者适当性管理的主要负责部门，应当确保公司仅向合格投资者募集资金并按规定向其进行风险揭示。</w:t>
      </w:r>
    </w:p>
    <w:p>
      <w:pPr>
        <w:spacing w:before="120" w:after="120" w:line="288" w:lineRule="auto"/>
        <w:ind w:left="0" w:firstLine="420"/>
        <w:jc w:val="left"/>
      </w:pPr>
      <w:r>
        <w:rPr>
          <w:rFonts w:eastAsia="等线" w:ascii="Arial" w:cs="Arial" w:hAnsi="Arial"/>
          <w:sz w:val="22"/>
        </w:rPr>
        <w:t>本制度的实施由公司合规风控部进行监督。</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投资者适当性管理包括以下内容：</w:t>
      </w:r>
    </w:p>
    <w:p>
      <w:pPr>
        <w:spacing w:before="120" w:after="120" w:line="288" w:lineRule="auto"/>
        <w:ind w:left="0" w:firstLine="420"/>
        <w:jc w:val="left"/>
      </w:pPr>
      <w:r>
        <w:rPr>
          <w:rFonts w:eastAsia="等线" w:ascii="Arial" w:cs="Arial" w:hAnsi="Arial"/>
          <w:sz w:val="22"/>
        </w:rPr>
        <w:t>(一) 了解投资者的相关情况并评估其风险承受能力；</w:t>
      </w:r>
    </w:p>
    <w:p>
      <w:pPr>
        <w:spacing w:before="120" w:after="120" w:line="288" w:lineRule="auto"/>
        <w:ind w:left="0" w:firstLine="420"/>
        <w:jc w:val="left"/>
      </w:pPr>
      <w:r>
        <w:rPr>
          <w:rFonts w:eastAsia="等线" w:ascii="Arial" w:cs="Arial" w:hAnsi="Arial"/>
          <w:sz w:val="22"/>
        </w:rPr>
        <w:t>(二) 识别、审核投资者是否为合格投资者；</w:t>
      </w:r>
    </w:p>
    <w:p>
      <w:pPr>
        <w:spacing w:before="120" w:after="120" w:line="288" w:lineRule="auto"/>
        <w:ind w:left="0" w:firstLine="420"/>
        <w:jc w:val="left"/>
      </w:pPr>
      <w:r>
        <w:rPr>
          <w:rFonts w:eastAsia="等线" w:ascii="Arial" w:cs="Arial" w:hAnsi="Arial"/>
          <w:sz w:val="22"/>
        </w:rPr>
        <w:t>(三) 向合格投资者提供与其风险承受能力相匹配的基金产品或服务，并进行持续跟踪和管理；</w:t>
      </w:r>
    </w:p>
    <w:p>
      <w:pPr>
        <w:spacing w:before="120" w:after="120" w:line="288" w:lineRule="auto"/>
        <w:ind w:left="0" w:firstLine="420"/>
        <w:jc w:val="left"/>
      </w:pPr>
      <w:r>
        <w:rPr>
          <w:rFonts w:eastAsia="等线" w:ascii="Arial" w:cs="Arial" w:hAnsi="Arial"/>
          <w:sz w:val="22"/>
        </w:rPr>
        <w:t>(四) 向合格投资者介绍产品或服务的内容、性质、特点、业务规则等，进行有针对性的投资者教育；</w:t>
      </w:r>
    </w:p>
    <w:p>
      <w:pPr>
        <w:spacing w:before="120" w:after="120" w:line="288" w:lineRule="auto"/>
        <w:ind w:left="0" w:firstLine="420"/>
        <w:jc w:val="left"/>
      </w:pPr>
      <w:r>
        <w:rPr>
          <w:rFonts w:eastAsia="等线" w:ascii="Arial" w:cs="Arial" w:hAnsi="Arial"/>
          <w:sz w:val="22"/>
        </w:rPr>
        <w:t>(五) 揭示基金产品或服务的风险，与合格投资者签署《风险揭示书》；</w:t>
      </w:r>
    </w:p>
    <w:p>
      <w:pPr>
        <w:spacing w:before="120" w:after="120" w:line="288" w:lineRule="auto"/>
        <w:ind w:left="0" w:firstLine="420"/>
        <w:jc w:val="left"/>
      </w:pPr>
      <w:r>
        <w:rPr>
          <w:rFonts w:eastAsia="等线" w:ascii="Arial" w:cs="Arial" w:hAnsi="Arial"/>
          <w:sz w:val="22"/>
        </w:rPr>
        <w:t>(六) 法律法规、自律规则及监管部门规定的其他内容。</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公司开展基金募集过程中，相关人员应当熟悉相关法律法规及中国证券投资基金业协会的相关行业规定，了解股权投资的风险特征，提醒投资者结合自身风险偏好确定投资目标，客观评估自身的心理和生理承受能力、风险识别能力及风险控制能力，审慎决定是否参与基金投资项目。</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私募基金的合格投资者是指具备相应风险识别能力和风险承担能力，投资于单只私募基金的金额不低于100万元且符合下列相关标准的机构和个人：</w:t>
      </w:r>
    </w:p>
    <w:p>
      <w:pPr>
        <w:spacing w:before="120" w:after="120" w:line="288" w:lineRule="auto"/>
        <w:ind w:left="0" w:firstLine="420"/>
        <w:jc w:val="left"/>
      </w:pPr>
      <w:r>
        <w:rPr>
          <w:rFonts w:eastAsia="等线" w:ascii="Arial" w:cs="Arial" w:hAnsi="Arial"/>
          <w:sz w:val="22"/>
        </w:rPr>
        <w:t>（一） 净资产不低于1000万元的单位；</w:t>
      </w:r>
    </w:p>
    <w:p>
      <w:pPr>
        <w:spacing w:before="120" w:after="120" w:line="288" w:lineRule="auto"/>
        <w:ind w:left="0" w:firstLine="420"/>
        <w:jc w:val="left"/>
      </w:pPr>
      <w:r>
        <w:rPr>
          <w:rFonts w:eastAsia="等线" w:ascii="Arial" w:cs="Arial" w:hAnsi="Arial"/>
          <w:sz w:val="22"/>
        </w:rPr>
        <w:t>（二） 金融资产不低于300万元或者最近三年个人年均收入不低于50万元的个人。</w:t>
      </w:r>
    </w:p>
    <w:p>
      <w:pPr>
        <w:spacing w:before="120" w:after="120" w:line="288" w:lineRule="auto"/>
        <w:ind w:left="0" w:firstLine="420"/>
        <w:jc w:val="left"/>
      </w:pPr>
      <w:r>
        <w:rPr>
          <w:rFonts w:eastAsia="等线" w:ascii="Arial" w:cs="Arial" w:hAnsi="Arial"/>
          <w:sz w:val="22"/>
        </w:rPr>
        <w:t>前款所称金融资产包括银行存款、股票、债券、基金份额、资产管理计划、银行理财产品、信托计划、保险产品、期货权益等。</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下列投资者视为合格投资者：</w:t>
      </w:r>
    </w:p>
    <w:p>
      <w:pPr>
        <w:spacing w:before="120" w:after="120" w:line="288" w:lineRule="auto"/>
        <w:ind w:left="0" w:firstLine="420"/>
        <w:jc w:val="left"/>
      </w:pPr>
      <w:r>
        <w:rPr>
          <w:rFonts w:eastAsia="等线" w:ascii="Arial" w:cs="Arial" w:hAnsi="Arial"/>
          <w:sz w:val="22"/>
        </w:rPr>
        <w:t>（一） 社会保障基金、企业年金等养老基金，慈善基金等社会公益基金；</w:t>
      </w:r>
    </w:p>
    <w:p>
      <w:pPr>
        <w:spacing w:before="120" w:after="120" w:line="288" w:lineRule="auto"/>
        <w:ind w:left="0" w:firstLine="420"/>
        <w:jc w:val="left"/>
      </w:pPr>
      <w:r>
        <w:rPr>
          <w:rFonts w:eastAsia="等线" w:ascii="Arial" w:cs="Arial" w:hAnsi="Arial"/>
          <w:sz w:val="22"/>
        </w:rPr>
        <w:t>（二） 依法设立并在基金业协会备案的投资计划；</w:t>
      </w:r>
    </w:p>
    <w:p>
      <w:pPr>
        <w:spacing w:before="120" w:after="120" w:line="288" w:lineRule="auto"/>
        <w:ind w:left="0" w:firstLine="420"/>
        <w:jc w:val="left"/>
      </w:pPr>
      <w:r>
        <w:rPr>
          <w:rFonts w:eastAsia="等线" w:ascii="Arial" w:cs="Arial" w:hAnsi="Arial"/>
          <w:sz w:val="22"/>
        </w:rPr>
        <w:t>（三） 投资于所管理私募基金的私募基金管理人及其从业人员；</w:t>
      </w:r>
    </w:p>
    <w:p>
      <w:pPr>
        <w:spacing w:before="120" w:after="120" w:line="288" w:lineRule="auto"/>
        <w:ind w:left="0" w:firstLine="420"/>
        <w:jc w:val="left"/>
      </w:pPr>
      <w:r>
        <w:rPr>
          <w:rFonts w:eastAsia="等线" w:ascii="Arial" w:cs="Arial" w:hAnsi="Arial"/>
          <w:sz w:val="22"/>
        </w:rPr>
        <w:t>（四） 中国证监会规定的其他投资者。</w:t>
      </w:r>
    </w:p>
    <w:p>
      <w:pPr>
        <w:spacing w:before="120" w:after="120" w:line="288" w:lineRule="auto"/>
        <w:ind w:left="0" w:firstLine="420"/>
        <w:jc w:val="left"/>
      </w:pPr>
      <w:r>
        <w:rPr>
          <w:rFonts w:eastAsia="等线" w:ascii="Arial" w:cs="Arial" w:hAnsi="Arial"/>
          <w:sz w:val="22"/>
        </w:rPr>
        <w:t>以合伙企业、契约等非法人形式，通过汇集多数投资者的资金直接或者间接投资于私募基金的，公司或者基金销售机构应当穿透核查最终投资者是否为合格投资者，并合并计算投资者人数。但是，符合本条第（一）、（二）、（四）项规定的投资者投资私募基金的，不再穿透核查最终投资者是否为合格投资者和合并计算投资者人数。</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公司应当向合格投资者募集资金，单只私募基金的投资者人数累计不得超过《证券投资基金法》、《公司法》、《合伙企业法》等法律规定的特定数量。</w:t>
      </w:r>
    </w:p>
    <w:p>
      <w:pPr>
        <w:spacing w:before="120" w:after="120" w:line="288" w:lineRule="auto"/>
        <w:ind w:left="0" w:firstLine="420"/>
        <w:jc w:val="left"/>
      </w:pPr>
      <w:r>
        <w:rPr>
          <w:rFonts w:eastAsia="等线" w:ascii="Arial" w:cs="Arial" w:hAnsi="Arial"/>
          <w:sz w:val="22"/>
        </w:rPr>
        <w:t>投资者转让基金份额的，受让人应当为合格投资者且基金份额受让后投资者人数应当符合前款规定。</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公司不得向合格投资者之外的单位和个人募集资金。</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投资管理部和合规风控部应当切实履行投资者合格性管理职责，了解投资者的身份、财务状况、投资经验等相关信息，评估投资者的风险承受能力和风险识别能力，有针对性地开展风险揭示、投资者知识普及、投资者服务等工作。</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在向投资者推介私募基金之前，公司应当采取问卷调查等方式履行特定对象确定程序，以对投资者风险识别能力和风险承担能力进行评估，由投资者以书面形式承诺其符合合格投资者标准。</w:t>
      </w:r>
    </w:p>
    <w:p>
      <w:pPr>
        <w:spacing w:before="120" w:after="120" w:line="288" w:lineRule="auto"/>
        <w:ind w:left="0" w:firstLine="420"/>
        <w:jc w:val="left"/>
      </w:pPr>
      <w:r>
        <w:rPr>
          <w:rFonts w:eastAsia="等线" w:ascii="Arial" w:cs="Arial" w:hAnsi="Arial"/>
          <w:sz w:val="22"/>
        </w:rPr>
        <w:t>公司应严格要求投资者如实填写风险识别能力和承担能力问卷，如实承诺资产或者收入情况，并对其真实性、准确性和完整性负责。承诺填写虚假信息或者提供虚假承诺文件的，应当承担相应责任；投资资金来源合法，不得非法汇集他人资金投资私募基金。</w:t>
      </w:r>
    </w:p>
    <w:p>
      <w:pPr>
        <w:spacing w:before="120" w:after="120" w:line="288" w:lineRule="auto"/>
        <w:ind w:left="0" w:firstLine="420"/>
        <w:jc w:val="left"/>
      </w:pPr>
      <w:r>
        <w:rPr>
          <w:rFonts w:eastAsia="等线" w:ascii="Arial" w:cs="Arial" w:hAnsi="Arial"/>
          <w:b w:val="true"/>
          <w:sz w:val="22"/>
        </w:rPr>
        <w:t>第十二条</w:t>
      </w:r>
      <w:r>
        <w:rPr>
          <w:rFonts w:eastAsia="等线" w:ascii="Arial" w:cs="Arial" w:hAnsi="Arial"/>
          <w:sz w:val="22"/>
        </w:rPr>
        <w:t xml:space="preserve"> 公司可视情况决定投资者评估结果的有效期，但最长不得超过3年。公司逾期再次向投资者推介私募基金时，需要重新进行投资者风险评估。同一私募基金产品的投资者持有期间超过3年的，无需再次进行投资者风险评估。</w:t>
      </w: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设计投资者风险调查问卷时应当建立科学有效的评估方法，确保问卷结果与投资者的风险识别能力和风险承担能力相匹配。投资者问卷调查信息应当在投资者自愿的前提下获取。</w:t>
      </w:r>
    </w:p>
    <w:p>
      <w:pPr>
        <w:spacing w:before="120" w:after="120" w:line="288" w:lineRule="auto"/>
        <w:ind w:left="0" w:firstLine="420"/>
        <w:jc w:val="left"/>
      </w:pPr>
      <w:r>
        <w:rPr>
          <w:rFonts w:eastAsia="等线" w:ascii="Arial" w:cs="Arial" w:hAnsi="Arial"/>
          <w:sz w:val="22"/>
        </w:rPr>
        <w:t>《私募基金投资者风险调查问卷》参考文本详见附件1，可由公司不时修订。</w:t>
      </w:r>
    </w:p>
    <w:p>
      <w:pPr>
        <w:spacing w:before="120" w:after="120" w:line="288" w:lineRule="auto"/>
        <w:ind w:left="0" w:firstLine="420"/>
        <w:jc w:val="left"/>
      </w:pPr>
      <w:r>
        <w:rPr>
          <w:rFonts w:eastAsia="等线" w:ascii="Arial" w:cs="Arial" w:hAnsi="Arial"/>
          <w:b w:val="true"/>
          <w:sz w:val="22"/>
        </w:rPr>
        <w:t>第十四条</w:t>
      </w:r>
      <w:r>
        <w:rPr>
          <w:rFonts w:eastAsia="等线" w:ascii="Arial" w:cs="Arial" w:hAnsi="Arial"/>
          <w:sz w:val="22"/>
        </w:rPr>
        <w:t xml:space="preserve"> 公司应当自行或者委托第三方机构对私募基金进行风险评级，建立科学有效的私募基金风险评级标准和方法。并应当根据私募基金的风险类型和评级结果，向投资者推介与其风险识别能力和风险承担能力相匹配的私募基金。</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在完成私募基金风险揭示后，公司应当要求投资者提供必要的资产证明文件或收入证明。</w:t>
      </w:r>
    </w:p>
    <w:p>
      <w:pPr>
        <w:spacing w:before="120" w:after="120" w:line="288" w:lineRule="auto"/>
        <w:ind w:left="0" w:firstLine="420"/>
        <w:jc w:val="left"/>
      </w:pPr>
      <w:r>
        <w:rPr>
          <w:rFonts w:eastAsia="等线" w:ascii="Arial" w:cs="Arial" w:hAnsi="Arial"/>
          <w:sz w:val="22"/>
        </w:rPr>
        <w:t>公司投资经理应合理审慎地审查投资者提供的该等文件，确认投资者是否符合私募基金合格投资者标准，投资管理部审核通过的，提交公司合规风控部最终确认。</w:t>
      </w:r>
    </w:p>
    <w:p>
      <w:pPr>
        <w:spacing w:before="120" w:after="120" w:line="288" w:lineRule="auto"/>
        <w:ind w:left="0" w:firstLine="420"/>
        <w:jc w:val="left"/>
      </w:pPr>
      <w:r>
        <w:rPr>
          <w:rFonts w:eastAsia="等线" w:ascii="Arial" w:cs="Arial" w:hAnsi="Arial"/>
          <w:sz w:val="22"/>
        </w:rPr>
        <w:t>公司相关部门均不能确定特定投资者是否属于合格投资者的，不得与其签订基金合同。</w:t>
      </w:r>
    </w:p>
    <w:p>
      <w:pPr>
        <w:spacing w:before="120" w:after="120" w:line="288" w:lineRule="auto"/>
        <w:ind w:left="0" w:firstLine="420"/>
        <w:jc w:val="left"/>
      </w:pPr>
      <w:r>
        <w:rPr>
          <w:rFonts w:eastAsia="等线" w:ascii="Arial" w:cs="Arial" w:hAnsi="Arial"/>
          <w:b w:val="true"/>
          <w:sz w:val="22"/>
        </w:rPr>
        <w:t xml:space="preserve">第十六条 </w:t>
      </w:r>
      <w:r>
        <w:rPr>
          <w:rFonts w:eastAsia="等线" w:ascii="Arial" w:cs="Arial" w:hAnsi="Arial"/>
          <w:sz w:val="22"/>
        </w:rPr>
        <w:t>公司还应依法履行反洗钱义务，并确保单只私募基金的投资者人数累计不得超过《证券投资基金法》、《公司法》、《合伙企业法》等法律规定的特定数量。</w:t>
      </w:r>
    </w:p>
    <w:p>
      <w:pPr>
        <w:spacing w:before="120" w:after="120" w:line="288" w:lineRule="auto"/>
        <w:ind w:left="0" w:firstLine="420"/>
        <w:jc w:val="left"/>
      </w:pPr>
      <w:r>
        <w:rPr>
          <w:rFonts w:eastAsia="等线" w:ascii="Arial" w:cs="Arial" w:hAnsi="Arial"/>
          <w:b w:val="true"/>
          <w:sz w:val="22"/>
        </w:rPr>
        <w:t xml:space="preserve">第十七条 </w:t>
      </w:r>
      <w:r>
        <w:rPr>
          <w:rFonts w:eastAsia="等线" w:ascii="Arial" w:cs="Arial" w:hAnsi="Arial"/>
          <w:sz w:val="22"/>
        </w:rPr>
        <w:t>公司合规风控部应当妥善保存投资者适当性管理相关的记录及其他相关资料，保存期限自基金清算终止之日起不得少于10年。</w:t>
      </w:r>
    </w:p>
    <w:p>
      <w:pPr>
        <w:spacing w:before="120" w:after="120" w:line="288" w:lineRule="auto"/>
        <w:ind w:left="0" w:firstLine="420"/>
        <w:jc w:val="left"/>
      </w:pPr>
      <w:r>
        <w:rPr>
          <w:rFonts w:eastAsia="等线" w:ascii="Arial" w:cs="Arial" w:hAnsi="Arial"/>
          <w:b w:val="true"/>
          <w:sz w:val="22"/>
        </w:rPr>
        <w:t xml:space="preserve">第十八条 </w:t>
      </w:r>
      <w:r>
        <w:rPr>
          <w:rFonts w:eastAsia="等线" w:ascii="Arial" w:cs="Arial" w:hAnsi="Arial"/>
          <w:sz w:val="22"/>
        </w:rPr>
        <w:t>各业务人员应当对投资者信息严格保密，未经投资者同意，不得向任何第三方泄露。但根据法律、法规、国家司法、行政机关要求披露的除外。</w:t>
      </w:r>
    </w:p>
    <w:p>
      <w:pPr>
        <w:spacing w:before="120" w:after="120" w:line="288" w:lineRule="auto"/>
        <w:ind w:left="0" w:firstLine="420"/>
        <w:jc w:val="left"/>
      </w:pPr>
      <w:r>
        <w:rPr>
          <w:rFonts w:eastAsia="等线" w:ascii="Arial" w:cs="Arial" w:hAnsi="Arial"/>
          <w:b w:val="true"/>
          <w:sz w:val="22"/>
        </w:rPr>
        <w:t xml:space="preserve">第十九条 </w:t>
      </w:r>
      <w:r>
        <w:rPr>
          <w:rFonts w:eastAsia="等线" w:ascii="Arial" w:cs="Arial" w:hAnsi="Arial"/>
          <w:sz w:val="22"/>
        </w:rPr>
        <w:t>公司为投资者提供合理的投诉渠道，指定专门部门受理投诉，妥善处理与投资者的矛盾和纠纷，并认真做好记录工作。</w:t>
      </w:r>
    </w:p>
    <w:p>
      <w:pPr>
        <w:spacing w:before="120" w:after="120" w:line="288" w:lineRule="auto"/>
        <w:ind w:left="0" w:firstLine="420"/>
        <w:jc w:val="left"/>
      </w:pPr>
      <w:r>
        <w:rPr>
          <w:rFonts w:eastAsia="等线" w:ascii="Arial" w:cs="Arial" w:hAnsi="Arial"/>
          <w:b w:val="true"/>
          <w:sz w:val="22"/>
        </w:rPr>
        <w:t xml:space="preserve">第二十条 </w:t>
      </w:r>
      <w:r>
        <w:rPr>
          <w:rFonts w:eastAsia="等线" w:ascii="Arial" w:cs="Arial" w:hAnsi="Arial"/>
          <w:sz w:val="22"/>
        </w:rPr>
        <w:t>为保证本制度的有效执行性，投资管理部应建立投资者适当性管理制度的定期评价机制，定期检查投资者适当性管理制度执行的各个环节和方面，合规风控部应对此予以监督，并对本制度的执行情况进行检查和复核，如发现问题的应及时报送总经理。</w:t>
      </w:r>
    </w:p>
    <w:p>
      <w:pPr>
        <w:spacing w:before="120" w:after="120" w:line="288" w:lineRule="auto"/>
        <w:ind w:left="0" w:firstLine="420"/>
        <w:jc w:val="left"/>
      </w:pPr>
      <w:r>
        <w:rPr>
          <w:rFonts w:eastAsia="等线" w:ascii="Arial" w:cs="Arial" w:hAnsi="Arial"/>
          <w:b w:val="true"/>
          <w:sz w:val="22"/>
        </w:rPr>
        <w:t xml:space="preserve">第二十一条 </w:t>
      </w:r>
      <w:r>
        <w:rPr>
          <w:rFonts w:eastAsia="等线" w:ascii="Arial" w:cs="Arial" w:hAnsi="Arial"/>
          <w:sz w:val="22"/>
        </w:rPr>
        <w:t>本制度依据现行有效的法律、法规的有关规定而制定，公司将适时根据有关法律、法规的要求和公司业务的发展作进一步的调整和完善；如遇有关法律、法规作出调整与本制度不一致时，公司将依据新的法律、法规的规定执行。</w:t>
      </w:r>
    </w:p>
    <w:p>
      <w:pPr>
        <w:spacing w:before="120" w:after="120" w:line="288" w:lineRule="auto"/>
        <w:ind w:left="0" w:firstLine="420"/>
        <w:jc w:val="left"/>
      </w:pPr>
      <w:r>
        <w:rPr>
          <w:rFonts w:eastAsia="等线" w:ascii="Arial" w:cs="Arial" w:hAnsi="Arial"/>
          <w:b w:val="true"/>
          <w:sz w:val="22"/>
        </w:rPr>
        <w:t xml:space="preserve">第二十二条 </w:t>
      </w:r>
      <w:r>
        <w:rPr>
          <w:rFonts w:eastAsia="等线" w:ascii="Arial" w:cs="Arial" w:hAnsi="Arial"/>
          <w:sz w:val="22"/>
        </w:rPr>
        <w:t xml:space="preserve">本制度由合规风控部负责解释和修订，经董事审议批准自发布之日起生效施行。   </w:t>
      </w:r>
    </w:p>
    <w:p>
      <w:pPr>
        <w:spacing w:before="120" w:after="120" w:line="288" w:lineRule="auto"/>
        <w:ind w:left="0" w:firstLine="0"/>
        <w:jc w:val="left"/>
      </w:pPr>
      <w:r>
        <w:rPr>
          <w:rFonts w:eastAsia="等线" w:ascii="Arial" w:cs="Arial" w:hAnsi="Arial"/>
          <w:sz w:val="22"/>
        </w:rPr>
        <w:t xml:space="preserve">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3" w:id="13"/>
      <w:r>
        <w:rPr>
          <w:rFonts w:eastAsia="等线" w:ascii="Arial" w:cs="Arial" w:hAnsi="Arial"/>
          <w:b w:val="true"/>
          <w:sz w:val="30"/>
        </w:rPr>
        <w:t>第七节 私募基金宣传推介、募集相关规范制度</w:t>
      </w:r>
      <w:bookmarkEnd w:id="13"/>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加强公司私募投资基金募集行为管理，保护投资者及相关当事人的合法权益，根据《中华人民共和国证券投资基金法》、《私募投资基金监督管理暂行办法》、《私募投资基金募集行为管理办法》等有关法律法规、行业规定及公司章程的相关规定，结合公司实际情况，特制订本制度。</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本制度所称募集行为包含推介私募基金，发售基金份额（权益），办理基金份额（权益）认/申购（认缴）、赎回（退出）等活动。</w:t>
      </w:r>
    </w:p>
    <w:p>
      <w:pPr>
        <w:spacing w:before="120" w:after="120" w:line="288" w:lineRule="auto"/>
        <w:ind w:left="0" w:firstLine="420"/>
        <w:jc w:val="left"/>
      </w:pPr>
      <w:r>
        <w:rPr>
          <w:rFonts w:eastAsia="等线" w:ascii="Arial" w:cs="Arial" w:hAnsi="Arial"/>
          <w:sz w:val="22"/>
        </w:rPr>
        <w:t>公司作为在中国证券投资基金业协会登记的私募基金管理人，可以自行募集本公司设立的私募基金；或者委托在中国证监会注册取得基金销售业务资格并已成为基金业协会会员的机构（以下简称“基金销售机构”）募集私募基金。</w:t>
      </w:r>
    </w:p>
    <w:p>
      <w:pPr>
        <w:spacing w:before="120" w:after="120" w:line="288" w:lineRule="auto"/>
        <w:ind w:left="0" w:firstLine="420"/>
        <w:jc w:val="left"/>
      </w:pPr>
      <w:r>
        <w:rPr>
          <w:rFonts w:eastAsia="等线" w:ascii="Arial" w:cs="Arial" w:hAnsi="Arial"/>
          <w:sz w:val="22"/>
        </w:rPr>
        <w:t>除此以外，其他任何机构和个人不得从事公司私募基金的募集活动。</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如公司委托其他基金业务外包服务机构提供支付结算服务、结算资金监督、份额登记等与私募基金募集业务相关服务，公司应确保该等基金业务外包服务机构遵守中国基金业协会基金业务外包服务相关管理办法</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公司投资管理部是私募投资基金资金募集的管理部门，应当保证募集行为的合法合规性。</w:t>
      </w:r>
    </w:p>
    <w:p>
      <w:pPr>
        <w:spacing w:before="120" w:after="120" w:line="288" w:lineRule="auto"/>
        <w:ind w:left="0" w:firstLine="420"/>
        <w:jc w:val="left"/>
      </w:pPr>
      <w:r>
        <w:rPr>
          <w:rFonts w:eastAsia="等线" w:ascii="Arial" w:cs="Arial" w:hAnsi="Arial"/>
          <w:sz w:val="22"/>
        </w:rPr>
        <w:t>本制度的实施由公司合规风控部进行监督。</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公司具体从事私募基金募集业务的人员应当具有基金从业资格（包含原基金销售资格），应当遵守法律、行政法规和中国基金业协会的自律规则，恪守职业道德和行为规范，应当参加后续执业培训。</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本制度中关于合格投资者的相关规定，与公司《合格投资者内部审核流程及相关制度》互相参照执行。</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公司应当恪尽职守，诚实信用、谨慎勤勉，防范利益冲突，履行说明义务、反洗钱义务等相关义务，承担特定对象确定、投资者适当性审查、私募基金推介及合格投资者确认等相关责任。</w:t>
      </w:r>
    </w:p>
    <w:p>
      <w:pPr>
        <w:spacing w:before="120" w:after="120" w:line="288" w:lineRule="auto"/>
        <w:ind w:left="0" w:firstLine="420"/>
        <w:jc w:val="left"/>
      </w:pPr>
      <w:r>
        <w:rPr>
          <w:rFonts w:eastAsia="等线" w:ascii="Arial" w:cs="Arial" w:hAnsi="Arial"/>
          <w:sz w:val="22"/>
        </w:rPr>
        <w:t>公司及全体员工不得从事侵占基金财产和客户资金、利用私募基金相关的未公开信息进行交易等违法活动。</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公司应当履行受托人义务，承担基金合同、公司章程或者合伙协议的受托责任。如委托基金销售机构募集私募基金的，公司依法承担的责任不因委托募集而免除。</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委托基金销售机构募集私募基金的，应当以书面形式签订基金销售协议，并将协议中关于公司与基金销售机构权利义务划分以及其他涉及投资者利益的部分作为基金合同的附件。相关内容由基金销售机构负责向投资者说明。</w:t>
      </w:r>
    </w:p>
    <w:p>
      <w:pPr>
        <w:spacing w:before="120" w:after="120" w:line="288" w:lineRule="auto"/>
        <w:ind w:left="0" w:firstLine="420"/>
        <w:jc w:val="left"/>
      </w:pPr>
      <w:r>
        <w:rPr>
          <w:rFonts w:eastAsia="等线" w:ascii="Arial" w:cs="Arial" w:hAnsi="Arial"/>
          <w:sz w:val="22"/>
        </w:rPr>
        <w:t>基金销售协议与作为基金合同附件的关于基金销售的内容不一致的，以基金合同附件为准。</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公司及全体员工不得为规避合格投资者标准，募集以私募基金份额或其收益权为投资标的的金融产品，或者将私募基金份额或其收益权进行非法拆分转让，变相突破合格投资者标准。公司应当确保投资者已知悉私募基金转让的条件（具体以基金合同的约定为准）。</w:t>
      </w:r>
    </w:p>
    <w:p>
      <w:pPr>
        <w:spacing w:before="120" w:after="120" w:line="288" w:lineRule="auto"/>
        <w:ind w:left="0" w:firstLine="420"/>
        <w:jc w:val="left"/>
      </w:pPr>
      <w:r>
        <w:rPr>
          <w:rFonts w:eastAsia="等线" w:ascii="Arial" w:cs="Arial" w:hAnsi="Arial"/>
          <w:sz w:val="22"/>
        </w:rPr>
        <w:t>公司禁止以非法拆分转让为目的购买私募基金，投资者应当以书面方式承诺其为自己购买私募基金。</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第十一条</w:t>
      </w:r>
      <w:r>
        <w:rPr>
          <w:rFonts w:eastAsia="等线" w:ascii="Arial" w:cs="Arial" w:hAnsi="Arial"/>
          <w:sz w:val="22"/>
        </w:rPr>
        <w:t xml:space="preserve"> 对投资者的商业秘密及个人信息，公司应当严格保密。除法律法规和自律规则另有规定或投资者事先同意的，不得对外披露。</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公司风险管理部门应当妥善保存投资者适当性管理以及其他与私募基金募集业务相关的记录及其他相关资料，保存期限为自基金清算终止之日起10年。</w:t>
      </w:r>
    </w:p>
    <w:p>
      <w:pPr>
        <w:spacing w:before="120" w:after="120" w:line="288" w:lineRule="auto"/>
        <w:ind w:left="0" w:firstLine="420"/>
        <w:jc w:val="left"/>
      </w:pPr>
      <w:r>
        <w:rPr>
          <w:rFonts w:eastAsia="等线" w:ascii="Arial" w:cs="Arial" w:hAnsi="Arial"/>
          <w:b w:val="true"/>
          <w:sz w:val="22"/>
        </w:rPr>
        <w:t xml:space="preserve">第十三条 </w:t>
      </w:r>
      <w:r>
        <w:rPr>
          <w:rFonts w:eastAsia="等线" w:ascii="Arial" w:cs="Arial" w:hAnsi="Arial"/>
          <w:sz w:val="22"/>
        </w:rPr>
        <w:t>公司或相关合同约定的责任主体应当开立私募基金募集结算资金专用账户，用于统一归集私募基金募集结算资金、向投资者分配收益、给付赎回款项以及分配基金清算后的剩余基金财产等，确保资金原路返还。</w:t>
      </w:r>
    </w:p>
    <w:p>
      <w:pPr>
        <w:spacing w:before="120" w:after="120" w:line="288" w:lineRule="auto"/>
        <w:ind w:left="0" w:firstLine="420"/>
        <w:jc w:val="left"/>
      </w:pPr>
      <w:r>
        <w:rPr>
          <w:rFonts w:eastAsia="等线" w:ascii="Arial" w:cs="Arial" w:hAnsi="Arial"/>
          <w:sz w:val="22"/>
        </w:rPr>
        <w:t>其中，私募基金募集结算资金是指由公司或基金销售机构（如有）归集的，在投资者资金账户与私募基金财产账户或托管资金账户（如托管）之间划转的往来资金。募集结算资金从投资者资金账户划出，到达私募基金财产账户或托管资金账户之前，属于投资者的合法财产。</w:t>
      </w:r>
    </w:p>
    <w:p>
      <w:pPr>
        <w:spacing w:before="120" w:after="120" w:line="288" w:lineRule="auto"/>
        <w:ind w:left="0" w:firstLine="420"/>
        <w:jc w:val="left"/>
      </w:pPr>
      <w:r>
        <w:rPr>
          <w:rFonts w:eastAsia="等线" w:ascii="Arial" w:cs="Arial" w:hAnsi="Arial"/>
          <w:b w:val="true"/>
          <w:sz w:val="22"/>
        </w:rPr>
        <w:t xml:space="preserve">第十四条 </w:t>
      </w:r>
      <w:r>
        <w:rPr>
          <w:rFonts w:eastAsia="等线" w:ascii="Arial" w:cs="Arial" w:hAnsi="Arial"/>
          <w:sz w:val="22"/>
        </w:rPr>
        <w:t>公司应当与监督机构（如适用）签署监督协议，明确对私募基金募集结算资金专用账户的控制权、责任划分及保障资金划转安全的条款。</w:t>
      </w:r>
    </w:p>
    <w:p>
      <w:pPr>
        <w:spacing w:before="120" w:after="120" w:line="288" w:lineRule="auto"/>
        <w:ind w:left="0" w:firstLine="420"/>
        <w:jc w:val="left"/>
      </w:pPr>
      <w:r>
        <w:rPr>
          <w:rFonts w:eastAsia="等线" w:ascii="Arial" w:cs="Arial" w:hAnsi="Arial"/>
          <w:sz w:val="22"/>
        </w:rPr>
        <w:t>本制度所称监督机构指中国证券登记结算有限责任公司、取得基金销售业务资格的商业银行、证券公司以及基金业协会规定的其他机构。监督机构应当成为基金业协会的会员。</w:t>
      </w:r>
    </w:p>
    <w:p>
      <w:pPr>
        <w:spacing w:before="120" w:after="120" w:line="288" w:lineRule="auto"/>
        <w:ind w:left="0" w:firstLine="420"/>
        <w:jc w:val="left"/>
      </w:pPr>
      <w:r>
        <w:rPr>
          <w:rFonts w:eastAsia="等线" w:ascii="Arial" w:cs="Arial" w:hAnsi="Arial"/>
          <w:sz w:val="22"/>
        </w:rPr>
        <w:t>公司应当向基金业协会报送私募基金募集结算资金专用账户及其监督机构信息。</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公司开立、使用私募基金募集结算资金专用账户的，不得将私募基金募集结算资金归入公司自有财产，禁止以任何形式挪用私募基金募集结算资金。公司破产或者清算时，私募基金募集结算资金不属于公司破产财产或者清算财产。</w:t>
      </w:r>
    </w:p>
    <w:p>
      <w:pPr>
        <w:spacing w:before="120" w:after="120" w:line="288" w:lineRule="auto"/>
        <w:ind w:left="0" w:firstLine="420"/>
        <w:jc w:val="left"/>
      </w:pPr>
      <w:r>
        <w:rPr>
          <w:rFonts w:eastAsia="等线" w:ascii="Arial" w:cs="Arial" w:hAnsi="Arial"/>
          <w:b w:val="true"/>
          <w:sz w:val="22"/>
        </w:rPr>
        <w:t xml:space="preserve">第十六条 </w:t>
      </w:r>
      <w:r>
        <w:rPr>
          <w:rFonts w:eastAsia="等线" w:ascii="Arial" w:cs="Arial" w:hAnsi="Arial"/>
          <w:sz w:val="22"/>
        </w:rPr>
        <w:t>私募基金募集应当履行下列程序：</w:t>
      </w:r>
    </w:p>
    <w:p>
      <w:pPr>
        <w:spacing w:before="120" w:after="120" w:line="288" w:lineRule="auto"/>
        <w:ind w:left="0" w:firstLine="420"/>
        <w:jc w:val="left"/>
      </w:pPr>
      <w:r>
        <w:rPr>
          <w:rFonts w:eastAsia="等线" w:ascii="Arial" w:cs="Arial" w:hAnsi="Arial"/>
          <w:sz w:val="22"/>
        </w:rPr>
        <w:t>（一） 特定对象确定；</w:t>
      </w:r>
    </w:p>
    <w:p>
      <w:pPr>
        <w:spacing w:before="120" w:after="120" w:line="288" w:lineRule="auto"/>
        <w:ind w:left="0" w:firstLine="420"/>
        <w:jc w:val="left"/>
      </w:pPr>
      <w:r>
        <w:rPr>
          <w:rFonts w:eastAsia="等线" w:ascii="Arial" w:cs="Arial" w:hAnsi="Arial"/>
          <w:sz w:val="22"/>
        </w:rPr>
        <w:t>（二） 投资者适当性匹配；</w:t>
      </w:r>
    </w:p>
    <w:p>
      <w:pPr>
        <w:spacing w:before="120" w:after="120" w:line="288" w:lineRule="auto"/>
        <w:ind w:left="0" w:firstLine="420"/>
        <w:jc w:val="left"/>
      </w:pPr>
      <w:r>
        <w:rPr>
          <w:rFonts w:eastAsia="等线" w:ascii="Arial" w:cs="Arial" w:hAnsi="Arial"/>
          <w:sz w:val="22"/>
        </w:rPr>
        <w:t>（三） 基金风险揭示；</w:t>
      </w:r>
    </w:p>
    <w:p>
      <w:pPr>
        <w:spacing w:before="120" w:after="120" w:line="288" w:lineRule="auto"/>
        <w:ind w:left="0" w:firstLine="420"/>
        <w:jc w:val="left"/>
      </w:pPr>
      <w:r>
        <w:rPr>
          <w:rFonts w:eastAsia="等线" w:ascii="Arial" w:cs="Arial" w:hAnsi="Arial"/>
          <w:sz w:val="22"/>
        </w:rPr>
        <w:t>（四） 合格投资者确认；</w:t>
      </w:r>
    </w:p>
    <w:p>
      <w:pPr>
        <w:spacing w:before="120" w:after="120" w:line="288" w:lineRule="auto"/>
        <w:ind w:left="0" w:firstLine="420"/>
        <w:jc w:val="left"/>
      </w:pPr>
      <w:r>
        <w:rPr>
          <w:rFonts w:eastAsia="等线" w:ascii="Arial" w:cs="Arial" w:hAnsi="Arial"/>
          <w:sz w:val="22"/>
        </w:rPr>
        <w:t>（五） 投资冷静期；</w:t>
      </w:r>
    </w:p>
    <w:p>
      <w:pPr>
        <w:spacing w:before="120" w:after="120" w:line="288" w:lineRule="auto"/>
        <w:ind w:left="0" w:firstLine="420"/>
        <w:jc w:val="left"/>
      </w:pPr>
      <w:r>
        <w:rPr>
          <w:rFonts w:eastAsia="等线" w:ascii="Arial" w:cs="Arial" w:hAnsi="Arial"/>
          <w:sz w:val="22"/>
        </w:rPr>
        <w:t>（六） 回访确认。</w:t>
      </w:r>
    </w:p>
    <w:p>
      <w:pPr>
        <w:spacing w:before="120" w:after="120" w:line="288" w:lineRule="auto"/>
        <w:ind w:left="0" w:firstLine="420"/>
        <w:jc w:val="left"/>
      </w:pPr>
      <w:r>
        <w:rPr>
          <w:rFonts w:eastAsia="等线" w:ascii="Arial" w:cs="Arial" w:hAnsi="Arial"/>
          <w:b w:val="true"/>
          <w:sz w:val="22"/>
        </w:rPr>
        <w:t xml:space="preserve">第十七条 </w:t>
      </w:r>
      <w:r>
        <w:rPr>
          <w:rFonts w:eastAsia="等线" w:ascii="Arial" w:cs="Arial" w:hAnsi="Arial"/>
          <w:sz w:val="22"/>
        </w:rPr>
        <w:t>公司仅可以通过合法途径公开宣传自身品牌、发展战略、投资策略、管理团队、高管信息以及由基金业协会公示的已备案私募基金的基本信息。</w:t>
      </w:r>
    </w:p>
    <w:p>
      <w:pPr>
        <w:spacing w:before="120" w:after="120" w:line="288" w:lineRule="auto"/>
        <w:ind w:left="0" w:firstLine="420"/>
        <w:jc w:val="left"/>
      </w:pPr>
      <w:r>
        <w:rPr>
          <w:rFonts w:eastAsia="等线" w:ascii="Arial" w:cs="Arial" w:hAnsi="Arial"/>
          <w:sz w:val="22"/>
        </w:rPr>
        <w:t>前述信息应当真实、准确、完整。</w:t>
      </w:r>
    </w:p>
    <w:p>
      <w:pPr>
        <w:spacing w:before="120" w:after="120" w:line="288" w:lineRule="auto"/>
        <w:ind w:left="0" w:firstLine="420"/>
        <w:jc w:val="left"/>
      </w:pPr>
      <w:r>
        <w:rPr>
          <w:rFonts w:eastAsia="等线" w:ascii="Arial" w:cs="Arial" w:hAnsi="Arial"/>
          <w:b w:val="true"/>
          <w:sz w:val="22"/>
        </w:rPr>
        <w:t xml:space="preserve">第十八条 </w:t>
      </w:r>
      <w:r>
        <w:rPr>
          <w:rFonts w:eastAsia="等线" w:ascii="Arial" w:cs="Arial" w:hAnsi="Arial"/>
          <w:sz w:val="22"/>
        </w:rPr>
        <w:t>私募基金应当向特定对象推介，未经特定对象确定程序，不得向任何人宣传推介私募基金。</w:t>
      </w:r>
    </w:p>
    <w:p>
      <w:pPr>
        <w:spacing w:before="120" w:after="120" w:line="288" w:lineRule="auto"/>
        <w:ind w:left="0" w:firstLine="420"/>
        <w:jc w:val="left"/>
      </w:pPr>
      <w:r>
        <w:rPr>
          <w:rFonts w:eastAsia="等线" w:ascii="Arial" w:cs="Arial" w:hAnsi="Arial"/>
          <w:b w:val="true"/>
          <w:sz w:val="22"/>
        </w:rPr>
        <w:t xml:space="preserve">第十九条 </w:t>
      </w:r>
      <w:r>
        <w:rPr>
          <w:rFonts w:eastAsia="等线" w:ascii="Arial" w:cs="Arial" w:hAnsi="Arial"/>
          <w:sz w:val="22"/>
        </w:rPr>
        <w:t>在向投资者推介私募基金之前，公司应当采取问卷调查等方式履行特定对象确定程序，对投资者风险识别能力和风险承担能力进行评估，由投资者以书面形式承诺其符合合格投资者标准。</w:t>
      </w:r>
    </w:p>
    <w:p>
      <w:pPr>
        <w:spacing w:before="120" w:after="120" w:line="288" w:lineRule="auto"/>
        <w:ind w:left="0" w:firstLine="420"/>
        <w:jc w:val="left"/>
      </w:pPr>
      <w:r>
        <w:rPr>
          <w:rFonts w:eastAsia="等线" w:ascii="Arial" w:cs="Arial" w:hAnsi="Arial"/>
          <w:sz w:val="22"/>
        </w:rPr>
        <w:t>公司可视情况决定投资者的评估结果的有效期，但最长不得超过3年。公司逾期再次向投资者推介私募基金时，需要重新进行投资者风险评估。同一私募基金产品的投资者持有期间超过3年的，无需再次进行投资者风险评估。</w:t>
      </w:r>
    </w:p>
    <w:p>
      <w:pPr>
        <w:spacing w:before="120" w:after="120" w:line="288" w:lineRule="auto"/>
        <w:ind w:left="0" w:firstLine="420"/>
        <w:jc w:val="left"/>
      </w:pPr>
      <w:r>
        <w:rPr>
          <w:rFonts w:eastAsia="等线" w:ascii="Arial" w:cs="Arial" w:hAnsi="Arial"/>
          <w:b w:val="true"/>
          <w:sz w:val="22"/>
        </w:rPr>
        <w:t xml:space="preserve">第二十条 </w:t>
      </w:r>
      <w:r>
        <w:rPr>
          <w:rFonts w:eastAsia="等线" w:ascii="Arial" w:cs="Arial" w:hAnsi="Arial"/>
          <w:sz w:val="22"/>
        </w:rPr>
        <w:t>公司设计投资者风险调查问卷时应当建立科学有效的评估方法，确保问卷结果与投资者的风险识别能力和风险承担能力相匹配。投资者问卷调查信息应当在投资者自愿的前提下获取。调查问卷主要内容应包括但不限于以下方面：</w:t>
      </w:r>
    </w:p>
    <w:p>
      <w:pPr>
        <w:spacing w:before="120" w:after="120" w:line="288" w:lineRule="auto"/>
        <w:ind w:left="453"/>
        <w:jc w:val="left"/>
      </w:pPr>
      <w:r>
        <w:rPr>
          <w:rFonts w:eastAsia="等线" w:ascii="Arial" w:cs="Arial" w:hAnsi="Arial"/>
          <w:sz w:val="22"/>
        </w:rPr>
        <w:t>（一）投资者基本信息，其中个人投资者基本信息包括身份信息、年龄、学历、职业、联系方式等信息；机构投资者基本信息包括工商登记中的必备信息、联系方式等信息；</w:t>
      </w:r>
    </w:p>
    <w:p>
      <w:pPr>
        <w:spacing w:before="120" w:after="120" w:line="288" w:lineRule="auto"/>
        <w:ind w:left="453"/>
        <w:jc w:val="left"/>
      </w:pPr>
      <w:r>
        <w:rPr>
          <w:rFonts w:eastAsia="等线" w:ascii="Arial" w:cs="Arial" w:hAnsi="Arial"/>
          <w:sz w:val="22"/>
        </w:rPr>
        <w:t>（二）财务状况，其中个人投资者财务状况包括金融资产状况、最近三年个人年均收入、收入中可用于金融投资的比例等信息；机构投资者财务状况包括净资产状况等信息；</w:t>
      </w:r>
    </w:p>
    <w:p>
      <w:pPr>
        <w:spacing w:before="120" w:after="120" w:line="288" w:lineRule="auto"/>
        <w:ind w:left="453"/>
        <w:jc w:val="left"/>
      </w:pPr>
      <w:r>
        <w:rPr>
          <w:rFonts w:eastAsia="等线" w:ascii="Arial" w:cs="Arial" w:hAnsi="Arial"/>
          <w:sz w:val="22"/>
        </w:rPr>
        <w:t>（三）投资知识，包括金融法律法规、投资市场和产品情况、对私募基金风险的了解程度、参加专业培训情况等信息；</w:t>
      </w:r>
    </w:p>
    <w:p>
      <w:pPr>
        <w:spacing w:before="120" w:after="120" w:line="288" w:lineRule="auto"/>
        <w:ind w:left="453"/>
        <w:jc w:val="left"/>
      </w:pPr>
      <w:r>
        <w:rPr>
          <w:rFonts w:eastAsia="等线" w:ascii="Arial" w:cs="Arial" w:hAnsi="Arial"/>
          <w:sz w:val="22"/>
        </w:rPr>
        <w:t>（四）投资经验，包括投资期限、实际投资产品类型、投资金融产品的数量、参与投资的金融市场情况等；</w:t>
      </w:r>
    </w:p>
    <w:p>
      <w:pPr>
        <w:spacing w:before="120" w:after="120" w:line="288" w:lineRule="auto"/>
        <w:ind w:left="453"/>
        <w:jc w:val="left"/>
      </w:pPr>
      <w:r>
        <w:rPr>
          <w:rFonts w:eastAsia="等线" w:ascii="Arial" w:cs="Arial" w:hAnsi="Arial"/>
          <w:sz w:val="22"/>
        </w:rPr>
        <w:t>（五）风险偏好，包括投资目的、风险厌恶程度、计划投资期限、投资出现波动时的焦虑状态等。</w:t>
      </w:r>
    </w:p>
    <w:p>
      <w:pPr>
        <w:spacing w:before="120" w:after="120" w:line="288" w:lineRule="auto"/>
        <w:ind w:left="0" w:firstLine="420"/>
        <w:jc w:val="left"/>
      </w:pPr>
      <w:r>
        <w:rPr>
          <w:rFonts w:eastAsia="等线" w:ascii="Arial" w:cs="Arial" w:hAnsi="Arial"/>
          <w:sz w:val="22"/>
        </w:rPr>
        <w:t>投资者风险调查问卷参考文本见公司《合格投资者内部审核流程及相关制度》，可由公司不时修订。</w:t>
      </w:r>
    </w:p>
    <w:p>
      <w:pPr>
        <w:spacing w:before="120" w:after="120" w:line="288" w:lineRule="auto"/>
        <w:ind w:left="0" w:firstLine="420"/>
        <w:jc w:val="left"/>
      </w:pPr>
      <w:r>
        <w:rPr>
          <w:rFonts w:eastAsia="等线" w:ascii="Arial" w:cs="Arial" w:hAnsi="Arial"/>
          <w:b w:val="true"/>
          <w:sz w:val="22"/>
        </w:rPr>
        <w:t xml:space="preserve">第二十一条 </w:t>
      </w:r>
      <w:r>
        <w:rPr>
          <w:rFonts w:eastAsia="等线" w:ascii="Arial" w:cs="Arial" w:hAnsi="Arial"/>
          <w:sz w:val="22"/>
        </w:rPr>
        <w:t>公司通过互联网媒介在线向投资者推介私募基金的，应当设置在线特定对象调查程序，由投资者承诺其符合合格投资者标准。前述在线特定对象确定程序包括但不限于：</w:t>
      </w:r>
    </w:p>
    <w:p>
      <w:pPr>
        <w:numPr>
          <w:numId w:val="1"/>
        </w:numPr>
        <w:spacing w:before="120" w:after="120" w:line="288" w:lineRule="auto"/>
        <w:ind w:left="0"/>
        <w:jc w:val="left"/>
      </w:pPr>
      <w:r>
        <w:rPr>
          <w:rFonts w:eastAsia="等线" w:ascii="Arial" w:cs="Arial" w:hAnsi="Arial"/>
          <w:sz w:val="22"/>
        </w:rPr>
        <w:t>投资者如实填报真实身份信息及联系方式；</w:t>
      </w:r>
    </w:p>
    <w:p>
      <w:pPr>
        <w:numPr>
          <w:numId w:val="2"/>
        </w:numPr>
        <w:spacing w:before="120" w:after="120" w:line="288" w:lineRule="auto"/>
        <w:ind w:left="0"/>
        <w:jc w:val="left"/>
      </w:pPr>
      <w:r>
        <w:rPr>
          <w:rFonts w:eastAsia="等线" w:ascii="Arial" w:cs="Arial" w:hAnsi="Arial"/>
          <w:sz w:val="22"/>
        </w:rPr>
        <w:t>公司通过验证码等有效方式核实用户的注册信息；</w:t>
      </w:r>
    </w:p>
    <w:p>
      <w:pPr>
        <w:numPr>
          <w:numId w:val="3"/>
        </w:numPr>
        <w:spacing w:before="120" w:after="120" w:line="288" w:lineRule="auto"/>
        <w:ind w:left="0"/>
        <w:jc w:val="left"/>
      </w:pPr>
      <w:r>
        <w:rPr>
          <w:rFonts w:eastAsia="等线" w:ascii="Arial" w:cs="Arial" w:hAnsi="Arial"/>
          <w:sz w:val="22"/>
        </w:rPr>
        <w:t>投资者阅读并同意公司的网络服务协议；</w:t>
      </w:r>
    </w:p>
    <w:p>
      <w:pPr>
        <w:numPr>
          <w:numId w:val="4"/>
        </w:numPr>
        <w:spacing w:before="120" w:after="120" w:line="288" w:lineRule="auto"/>
        <w:ind w:left="0"/>
        <w:jc w:val="left"/>
      </w:pPr>
      <w:r>
        <w:rPr>
          <w:rFonts w:eastAsia="等线" w:ascii="Arial" w:cs="Arial" w:hAnsi="Arial"/>
          <w:sz w:val="22"/>
        </w:rPr>
        <w:t>投资者阅读并主动确认其自身符合《私募投资基金监督管理暂行办法》第三章关于合格投资者的规定；</w:t>
      </w:r>
    </w:p>
    <w:p>
      <w:pPr>
        <w:numPr>
          <w:numId w:val="5"/>
        </w:numPr>
        <w:spacing w:before="120" w:after="120" w:line="288" w:lineRule="auto"/>
        <w:ind w:left="0"/>
        <w:jc w:val="left"/>
      </w:pPr>
      <w:r>
        <w:rPr>
          <w:rFonts w:eastAsia="等线" w:ascii="Arial" w:cs="Arial" w:hAnsi="Arial"/>
          <w:sz w:val="22"/>
        </w:rPr>
        <w:t>投资者在线填报风险识别能力和风险承担能力的问卷调查；</w:t>
      </w:r>
    </w:p>
    <w:p>
      <w:pPr>
        <w:numPr>
          <w:numId w:val="6"/>
        </w:numPr>
        <w:spacing w:before="120" w:after="120" w:line="288" w:lineRule="auto"/>
        <w:ind w:left="0"/>
        <w:jc w:val="left"/>
      </w:pPr>
      <w:r>
        <w:rPr>
          <w:rFonts w:eastAsia="等线" w:ascii="Arial" w:cs="Arial" w:hAnsi="Arial"/>
          <w:sz w:val="22"/>
        </w:rPr>
        <w:t>公司根据调查问卷及有关评估方法，在线确认投资者的风险识别能力和风险承担能力。</w:t>
      </w:r>
    </w:p>
    <w:p>
      <w:pPr>
        <w:spacing w:before="120" w:after="120" w:line="288" w:lineRule="auto"/>
        <w:ind w:left="0" w:firstLine="420"/>
        <w:jc w:val="left"/>
      </w:pPr>
      <w:r>
        <w:rPr>
          <w:rFonts w:eastAsia="等线" w:ascii="Arial" w:cs="Arial" w:hAnsi="Arial"/>
          <w:b w:val="true"/>
          <w:sz w:val="22"/>
        </w:rPr>
        <w:t xml:space="preserve">第二十二条 </w:t>
      </w:r>
      <w:r>
        <w:rPr>
          <w:rFonts w:eastAsia="等线" w:ascii="Arial" w:cs="Arial" w:hAnsi="Arial"/>
          <w:sz w:val="22"/>
        </w:rPr>
        <w:t>公司应当自行或者委托第三方机构对私募基金进行风险评级，建立科学有效的私募基金风险评级标准和方法，并应当根据私募基金的风险类型和评级结果，向投资者推介与其风险识别能力和风险承担能力相匹配的私募基金。</w:t>
      </w:r>
    </w:p>
    <w:p>
      <w:pPr>
        <w:spacing w:before="120" w:after="120" w:line="288" w:lineRule="auto"/>
        <w:ind w:left="0" w:firstLine="420"/>
        <w:jc w:val="left"/>
      </w:pPr>
      <w:r>
        <w:rPr>
          <w:rFonts w:eastAsia="等线" w:ascii="Arial" w:cs="Arial" w:hAnsi="Arial"/>
          <w:sz w:val="22"/>
        </w:rPr>
        <w:t>公司自行进行基金风险评级的，由投资管理部负责，并由合规风控部复核。</w:t>
      </w:r>
    </w:p>
    <w:p>
      <w:pPr>
        <w:spacing w:before="120" w:after="120" w:line="288" w:lineRule="auto"/>
        <w:ind w:left="0" w:firstLine="420"/>
        <w:jc w:val="left"/>
      </w:pPr>
      <w:r>
        <w:rPr>
          <w:rFonts w:eastAsia="等线" w:ascii="Arial" w:cs="Arial" w:hAnsi="Arial"/>
          <w:b w:val="true"/>
          <w:sz w:val="22"/>
        </w:rPr>
        <w:t xml:space="preserve">第二十三条 </w:t>
      </w:r>
      <w:r>
        <w:rPr>
          <w:rFonts w:eastAsia="等线" w:ascii="Arial" w:cs="Arial" w:hAnsi="Arial"/>
          <w:sz w:val="22"/>
        </w:rPr>
        <w:t>私募基金推介材料应由公司制作并使用，有关内容应当真实、完整、准确。</w:t>
      </w:r>
    </w:p>
    <w:p>
      <w:pPr>
        <w:spacing w:before="120" w:after="120" w:line="288" w:lineRule="auto"/>
        <w:ind w:left="0" w:firstLine="420"/>
        <w:jc w:val="left"/>
      </w:pPr>
      <w:r>
        <w:rPr>
          <w:rFonts w:eastAsia="等线" w:ascii="Arial" w:cs="Arial" w:hAnsi="Arial"/>
          <w:sz w:val="22"/>
        </w:rPr>
        <w:t>推介材料除公司使用外，仅可允许委托募集的基金销售机构在向特定对象宣传推介时使用。</w:t>
      </w:r>
    </w:p>
    <w:p>
      <w:pPr>
        <w:spacing w:before="120" w:after="120" w:line="288" w:lineRule="auto"/>
        <w:ind w:left="0" w:firstLine="420"/>
        <w:jc w:val="left"/>
      </w:pPr>
      <w:r>
        <w:rPr>
          <w:rFonts w:eastAsia="等线" w:ascii="Arial" w:cs="Arial" w:hAnsi="Arial"/>
          <w:b w:val="true"/>
          <w:sz w:val="22"/>
        </w:rPr>
        <w:t xml:space="preserve">第二十四条 </w:t>
      </w:r>
      <w:r>
        <w:rPr>
          <w:rFonts w:eastAsia="等线" w:ascii="Arial" w:cs="Arial" w:hAnsi="Arial"/>
          <w:sz w:val="22"/>
        </w:rPr>
        <w:t>公司应当采取合理方式向投资者披露私募基金信息，揭示投资风险，确保推介材料中的相关内容清晰、醒目。私募基金推介材料内容应与基金合同主要内容一致，不得有任何虚假记载、误导性陈述或者重大遗漏。如有不一致的，应当向投资者特别说明。私募基金推介材料内容包括但不限于：</w:t>
      </w:r>
    </w:p>
    <w:p>
      <w:pPr>
        <w:numPr>
          <w:numId w:val="7"/>
        </w:numPr>
        <w:spacing w:before="120" w:after="120" w:line="288" w:lineRule="auto"/>
        <w:ind w:left="453"/>
        <w:jc w:val="left"/>
      </w:pPr>
      <w:r>
        <w:rPr>
          <w:rFonts w:eastAsia="等线" w:ascii="Arial" w:cs="Arial" w:hAnsi="Arial"/>
          <w:sz w:val="22"/>
        </w:rPr>
        <w:t>私募基金的名称和基金类型；</w:t>
      </w:r>
    </w:p>
    <w:p>
      <w:pPr>
        <w:numPr>
          <w:numId w:val="8"/>
        </w:numPr>
        <w:spacing w:before="120" w:after="120" w:line="288" w:lineRule="auto"/>
        <w:ind w:left="453"/>
        <w:jc w:val="left"/>
      </w:pPr>
      <w:r>
        <w:rPr>
          <w:rFonts w:eastAsia="等线" w:ascii="Arial" w:cs="Arial" w:hAnsi="Arial"/>
          <w:sz w:val="22"/>
        </w:rPr>
        <w:t>私募基金管理人名称、私募基金管理人登记编码、基金管理团队等基本信息及概况描述；</w:t>
      </w:r>
    </w:p>
    <w:p>
      <w:pPr>
        <w:numPr>
          <w:numId w:val="9"/>
        </w:numPr>
        <w:spacing w:before="120" w:after="120" w:line="288" w:lineRule="auto"/>
        <w:ind w:left="453"/>
        <w:jc w:val="left"/>
      </w:pPr>
      <w:r>
        <w:rPr>
          <w:rFonts w:eastAsia="等线" w:ascii="Arial" w:cs="Arial" w:hAnsi="Arial"/>
          <w:sz w:val="22"/>
        </w:rPr>
        <w:t>基金业协会私募基金管理人以及私募基金公示信息（含相关诚信信息）；</w:t>
      </w:r>
    </w:p>
    <w:p>
      <w:pPr>
        <w:numPr>
          <w:numId w:val="10"/>
        </w:numPr>
        <w:spacing w:before="120" w:after="120" w:line="288" w:lineRule="auto"/>
        <w:ind w:left="453"/>
        <w:jc w:val="left"/>
      </w:pPr>
      <w:r>
        <w:rPr>
          <w:rFonts w:eastAsia="等线" w:ascii="Arial" w:cs="Arial" w:hAnsi="Arial"/>
          <w:sz w:val="22"/>
        </w:rPr>
        <w:t>私募基金托管情况（如无，应以显著字体特别标注）、其他服务提供商（如律师事务所、会计师事务所、保管机构等），是否聘用投资顾问等；</w:t>
      </w:r>
    </w:p>
    <w:p>
      <w:pPr>
        <w:numPr>
          <w:numId w:val="11"/>
        </w:numPr>
        <w:spacing w:before="120" w:after="120" w:line="288" w:lineRule="auto"/>
        <w:ind w:left="453"/>
        <w:jc w:val="left"/>
      </w:pPr>
      <w:r>
        <w:rPr>
          <w:rFonts w:eastAsia="等线" w:ascii="Arial" w:cs="Arial" w:hAnsi="Arial"/>
          <w:sz w:val="22"/>
        </w:rPr>
        <w:t>私募基金的外包情况；</w:t>
      </w:r>
    </w:p>
    <w:p>
      <w:pPr>
        <w:numPr>
          <w:numId w:val="12"/>
        </w:numPr>
        <w:spacing w:before="120" w:after="120" w:line="288" w:lineRule="auto"/>
        <w:ind w:left="453"/>
        <w:jc w:val="left"/>
      </w:pPr>
      <w:r>
        <w:rPr>
          <w:rFonts w:eastAsia="等线" w:ascii="Arial" w:cs="Arial" w:hAnsi="Arial"/>
          <w:sz w:val="22"/>
        </w:rPr>
        <w:t>私募基金的投资范围、投资策略和投资限制概况；</w:t>
      </w:r>
    </w:p>
    <w:p>
      <w:pPr>
        <w:numPr>
          <w:numId w:val="13"/>
        </w:numPr>
        <w:spacing w:before="120" w:after="120" w:line="288" w:lineRule="auto"/>
        <w:ind w:left="453"/>
        <w:jc w:val="left"/>
      </w:pPr>
      <w:r>
        <w:rPr>
          <w:rFonts w:eastAsia="等线" w:ascii="Arial" w:cs="Arial" w:hAnsi="Arial"/>
          <w:sz w:val="22"/>
        </w:rPr>
        <w:t>私募基金收益与风险的匹配情况；</w:t>
      </w:r>
    </w:p>
    <w:p>
      <w:pPr>
        <w:numPr>
          <w:numId w:val="14"/>
        </w:numPr>
        <w:spacing w:before="120" w:after="120" w:line="288" w:lineRule="auto"/>
        <w:ind w:left="453"/>
        <w:jc w:val="left"/>
      </w:pPr>
      <w:r>
        <w:rPr>
          <w:rFonts w:eastAsia="等线" w:ascii="Arial" w:cs="Arial" w:hAnsi="Arial"/>
          <w:sz w:val="22"/>
        </w:rPr>
        <w:t>私募基金的风险揭示；</w:t>
      </w:r>
    </w:p>
    <w:p>
      <w:pPr>
        <w:numPr>
          <w:numId w:val="15"/>
        </w:numPr>
        <w:spacing w:before="120" w:after="120" w:line="288" w:lineRule="auto"/>
        <w:ind w:left="453"/>
        <w:jc w:val="left"/>
      </w:pPr>
      <w:r>
        <w:rPr>
          <w:rFonts w:eastAsia="等线" w:ascii="Arial" w:cs="Arial" w:hAnsi="Arial"/>
          <w:sz w:val="22"/>
        </w:rPr>
        <w:t>私募基金募集结算资金专用账户及其监督机构（如有）信息；</w:t>
      </w:r>
    </w:p>
    <w:p>
      <w:pPr>
        <w:numPr>
          <w:numId w:val="16"/>
        </w:numPr>
        <w:spacing w:before="120" w:after="120" w:line="288" w:lineRule="auto"/>
        <w:ind w:left="453"/>
        <w:jc w:val="left"/>
      </w:pPr>
      <w:r>
        <w:rPr>
          <w:rFonts w:eastAsia="等线" w:ascii="Arial" w:cs="Arial" w:hAnsi="Arial"/>
          <w:sz w:val="22"/>
        </w:rPr>
        <w:t>投资者承担的主要费用及费率，投资者的重要权利（如认购、赎回、转让等限制、时间和要求等）；</w:t>
      </w:r>
    </w:p>
    <w:p>
      <w:pPr>
        <w:numPr>
          <w:numId w:val="17"/>
        </w:numPr>
        <w:spacing w:before="120" w:after="120" w:line="288" w:lineRule="auto"/>
        <w:ind w:left="453"/>
        <w:jc w:val="left"/>
      </w:pPr>
      <w:r>
        <w:rPr>
          <w:rFonts w:eastAsia="等线" w:ascii="Arial" w:cs="Arial" w:hAnsi="Arial"/>
          <w:sz w:val="22"/>
        </w:rPr>
        <w:t>私募基金承担的主要费用及费率；</w:t>
      </w:r>
    </w:p>
    <w:p>
      <w:pPr>
        <w:numPr>
          <w:numId w:val="18"/>
        </w:numPr>
        <w:spacing w:before="120" w:after="120" w:line="288" w:lineRule="auto"/>
        <w:ind w:left="453"/>
        <w:jc w:val="left"/>
      </w:pPr>
      <w:r>
        <w:rPr>
          <w:rFonts w:eastAsia="等线" w:ascii="Arial" w:cs="Arial" w:hAnsi="Arial"/>
          <w:sz w:val="22"/>
        </w:rPr>
        <w:t>私募基金信息披露的内容、方式及频率；</w:t>
      </w:r>
    </w:p>
    <w:p>
      <w:pPr>
        <w:numPr>
          <w:numId w:val="19"/>
        </w:numPr>
        <w:spacing w:before="120" w:after="120" w:line="288" w:lineRule="auto"/>
        <w:ind w:left="453"/>
        <w:jc w:val="left"/>
      </w:pPr>
      <w:r>
        <w:rPr>
          <w:rFonts w:eastAsia="等线" w:ascii="Arial" w:cs="Arial" w:hAnsi="Arial"/>
          <w:sz w:val="22"/>
        </w:rPr>
        <w:t>明确指出该文件不得转载或给第三方传阅；</w:t>
      </w:r>
    </w:p>
    <w:p>
      <w:pPr>
        <w:numPr>
          <w:numId w:val="20"/>
        </w:numPr>
        <w:spacing w:before="120" w:after="120" w:line="288" w:lineRule="auto"/>
        <w:ind w:left="453"/>
        <w:jc w:val="left"/>
      </w:pPr>
      <w:r>
        <w:rPr>
          <w:rFonts w:eastAsia="等线" w:ascii="Arial" w:cs="Arial" w:hAnsi="Arial"/>
          <w:sz w:val="22"/>
        </w:rPr>
        <w:t>私募基金采取合伙企业、有限责任公司组织形式的，应当明确说明入伙（股）协议不能替代合伙协议或公司章程。说明根据《合伙企业法》或《公司法》，合伙协议、公司章程依法应当由全体合伙人、股东协商一致，以书面形式订立。申请设立合伙企业、公司或变更合伙人、股东的，并应当向企业登记机关履行申请设立及变更登记手续；</w:t>
      </w:r>
    </w:p>
    <w:p>
      <w:pPr>
        <w:numPr>
          <w:numId w:val="21"/>
        </w:numPr>
        <w:spacing w:before="120" w:after="120" w:line="288" w:lineRule="auto"/>
        <w:ind w:left="453"/>
        <w:jc w:val="left"/>
      </w:pPr>
      <w:r>
        <w:rPr>
          <w:rFonts w:eastAsia="等线" w:ascii="Arial" w:cs="Arial" w:hAnsi="Arial"/>
          <w:sz w:val="22"/>
        </w:rPr>
        <w:t>中国基金业协会规定的其他内容。</w:t>
      </w:r>
    </w:p>
    <w:p>
      <w:pPr>
        <w:spacing w:before="120" w:after="120" w:line="288" w:lineRule="auto"/>
        <w:ind w:left="0" w:firstLine="420"/>
        <w:jc w:val="left"/>
      </w:pPr>
      <w:r>
        <w:rPr>
          <w:rFonts w:eastAsia="等线" w:ascii="Arial" w:cs="Arial" w:hAnsi="Arial"/>
          <w:b w:val="true"/>
          <w:sz w:val="22"/>
        </w:rPr>
        <w:t xml:space="preserve">第二十五条 </w:t>
      </w:r>
      <w:r>
        <w:rPr>
          <w:rFonts w:eastAsia="等线" w:ascii="Arial" w:cs="Arial" w:hAnsi="Arial"/>
          <w:sz w:val="22"/>
        </w:rPr>
        <w:t>公司及相关人员推介私募基金时，禁止以下行为：</w:t>
      </w:r>
    </w:p>
    <w:p>
      <w:pPr>
        <w:numPr>
          <w:numId w:val="22"/>
        </w:numPr>
        <w:spacing w:before="120" w:after="120" w:line="288" w:lineRule="auto"/>
        <w:ind w:left="453"/>
        <w:jc w:val="left"/>
      </w:pPr>
      <w:r>
        <w:rPr>
          <w:rFonts w:eastAsia="等线" w:ascii="Arial" w:cs="Arial" w:hAnsi="Arial"/>
          <w:sz w:val="22"/>
        </w:rPr>
        <w:t>公开推介或者变相公开推介；</w:t>
      </w:r>
    </w:p>
    <w:p>
      <w:pPr>
        <w:numPr>
          <w:numId w:val="23"/>
        </w:numPr>
        <w:spacing w:before="120" w:after="120" w:line="288" w:lineRule="auto"/>
        <w:ind w:left="453"/>
        <w:jc w:val="left"/>
      </w:pPr>
      <w:r>
        <w:rPr>
          <w:rFonts w:eastAsia="等线" w:ascii="Arial" w:cs="Arial" w:hAnsi="Arial"/>
          <w:sz w:val="22"/>
        </w:rPr>
        <w:t>推介材料虚假记载、误导性陈述或者重大遗漏；</w:t>
      </w:r>
    </w:p>
    <w:p>
      <w:pPr>
        <w:numPr>
          <w:numId w:val="24"/>
        </w:numPr>
        <w:spacing w:before="120" w:after="120" w:line="288" w:lineRule="auto"/>
        <w:ind w:left="453"/>
        <w:jc w:val="left"/>
      </w:pPr>
      <w:r>
        <w:rPr>
          <w:rFonts w:eastAsia="等线" w:ascii="Arial" w:cs="Arial" w:hAnsi="Arial"/>
          <w:sz w:val="22"/>
        </w:rPr>
        <w:t>以任何方式承诺投资者资金不受损失，或者以任何方式承诺投资者最低收益，包括宣传“预期收益”、“预计收益”、“预测投资业绩”等相关内容；</w:t>
      </w:r>
    </w:p>
    <w:p>
      <w:pPr>
        <w:numPr>
          <w:numId w:val="25"/>
        </w:numPr>
        <w:spacing w:before="120" w:after="120" w:line="288" w:lineRule="auto"/>
        <w:ind w:left="453"/>
        <w:jc w:val="left"/>
      </w:pPr>
      <w:r>
        <w:rPr>
          <w:rFonts w:eastAsia="等线" w:ascii="Arial" w:cs="Arial" w:hAnsi="Arial"/>
          <w:sz w:val="22"/>
        </w:rPr>
        <w:t>夸大或者片面推介基金，违规使用“安全”、“保证”、“承诺”、“保险”、“避险”、“有保障”、“高收益”、“无风险”等可能误导投资人进行风险判断的措辞；</w:t>
      </w:r>
    </w:p>
    <w:p>
      <w:pPr>
        <w:numPr>
          <w:numId w:val="26"/>
        </w:numPr>
        <w:spacing w:before="120" w:after="120" w:line="288" w:lineRule="auto"/>
        <w:ind w:left="453"/>
        <w:jc w:val="left"/>
      </w:pPr>
      <w:r>
        <w:rPr>
          <w:rFonts w:eastAsia="等线" w:ascii="Arial" w:cs="Arial" w:hAnsi="Arial"/>
          <w:sz w:val="22"/>
        </w:rPr>
        <w:t>使用“欲购从速”、“申购良机”等片面强调集中营销时间限制的措辞；</w:t>
      </w:r>
    </w:p>
    <w:p>
      <w:pPr>
        <w:numPr>
          <w:numId w:val="27"/>
        </w:numPr>
        <w:spacing w:before="120" w:after="120" w:line="288" w:lineRule="auto"/>
        <w:ind w:left="453"/>
        <w:jc w:val="left"/>
      </w:pPr>
      <w:r>
        <w:rPr>
          <w:rFonts w:eastAsia="等线" w:ascii="Arial" w:cs="Arial" w:hAnsi="Arial"/>
          <w:sz w:val="22"/>
        </w:rPr>
        <w:t>推介或片面节选少于6个月的过往整体业绩或过往基金产品业绩；</w:t>
      </w:r>
    </w:p>
    <w:p>
      <w:pPr>
        <w:numPr>
          <w:numId w:val="28"/>
        </w:numPr>
        <w:spacing w:before="120" w:after="120" w:line="288" w:lineRule="auto"/>
        <w:ind w:left="453"/>
        <w:jc w:val="left"/>
      </w:pPr>
      <w:r>
        <w:rPr>
          <w:rFonts w:eastAsia="等线" w:ascii="Arial" w:cs="Arial" w:hAnsi="Arial"/>
          <w:sz w:val="22"/>
        </w:rPr>
        <w:t>登载个人、法人或者其他组织的祝贺性、恭维性或推荐性的文字；</w:t>
      </w:r>
    </w:p>
    <w:p>
      <w:pPr>
        <w:numPr>
          <w:numId w:val="29"/>
        </w:numPr>
        <w:spacing w:before="120" w:after="120" w:line="288" w:lineRule="auto"/>
        <w:ind w:left="453"/>
        <w:jc w:val="left"/>
      </w:pPr>
      <w:r>
        <w:rPr>
          <w:rFonts w:eastAsia="等线" w:ascii="Arial" w:cs="Arial" w:hAnsi="Arial"/>
          <w:sz w:val="22"/>
        </w:rPr>
        <w:t>采用不具有可比性、公平性、准确性、权威性的数据来源和方法进行业绩比较，任意使用“业绩最佳”、“规模最大”等相关措辞；</w:t>
      </w:r>
    </w:p>
    <w:p>
      <w:pPr>
        <w:numPr>
          <w:numId w:val="30"/>
        </w:numPr>
        <w:spacing w:before="120" w:after="120" w:line="288" w:lineRule="auto"/>
        <w:ind w:left="453"/>
        <w:jc w:val="left"/>
      </w:pPr>
      <w:r>
        <w:rPr>
          <w:rFonts w:eastAsia="等线" w:ascii="Arial" w:cs="Arial" w:hAnsi="Arial"/>
          <w:sz w:val="22"/>
        </w:rPr>
        <w:t>恶意贬低同行；</w:t>
      </w:r>
    </w:p>
    <w:p>
      <w:pPr>
        <w:numPr>
          <w:numId w:val="31"/>
        </w:numPr>
        <w:spacing w:before="120" w:after="120" w:line="288" w:lineRule="auto"/>
        <w:ind w:left="453"/>
        <w:jc w:val="left"/>
      </w:pPr>
      <w:r>
        <w:rPr>
          <w:rFonts w:eastAsia="等线" w:ascii="Arial" w:cs="Arial" w:hAnsi="Arial"/>
          <w:sz w:val="22"/>
        </w:rPr>
        <w:t>允许非本公司雇佣的人员进行私募基金推介；</w:t>
      </w:r>
    </w:p>
    <w:p>
      <w:pPr>
        <w:numPr>
          <w:numId w:val="32"/>
        </w:numPr>
        <w:spacing w:before="120" w:after="120" w:line="288" w:lineRule="auto"/>
        <w:ind w:left="453"/>
        <w:jc w:val="left"/>
      </w:pPr>
      <w:r>
        <w:rPr>
          <w:rFonts w:eastAsia="等线" w:ascii="Arial" w:cs="Arial" w:hAnsi="Arial"/>
          <w:sz w:val="22"/>
        </w:rPr>
        <w:t>推介非本公司设立或负责募集的私募基金；</w:t>
      </w:r>
    </w:p>
    <w:p>
      <w:pPr>
        <w:numPr>
          <w:numId w:val="33"/>
        </w:numPr>
        <w:spacing w:before="120" w:after="120" w:line="288" w:lineRule="auto"/>
        <w:ind w:left="453"/>
        <w:jc w:val="left"/>
      </w:pPr>
      <w:r>
        <w:rPr>
          <w:rFonts w:eastAsia="等线" w:ascii="Arial" w:cs="Arial" w:hAnsi="Arial"/>
          <w:sz w:val="22"/>
        </w:rPr>
        <w:t>法律、行政法规、中国证监会和中国基金业协会禁止的其他行为。</w:t>
      </w:r>
    </w:p>
    <w:p>
      <w:pPr>
        <w:spacing w:before="120" w:after="120" w:line="288" w:lineRule="auto"/>
        <w:ind w:left="0" w:firstLine="420"/>
        <w:jc w:val="left"/>
      </w:pPr>
      <w:r>
        <w:rPr>
          <w:rFonts w:eastAsia="等线" w:ascii="Arial" w:cs="Arial" w:hAnsi="Arial"/>
          <w:b w:val="true"/>
          <w:sz w:val="22"/>
        </w:rPr>
        <w:t xml:space="preserve">第二十六条 </w:t>
      </w:r>
      <w:r>
        <w:rPr>
          <w:rFonts w:eastAsia="等线" w:ascii="Arial" w:cs="Arial" w:hAnsi="Arial"/>
          <w:sz w:val="22"/>
        </w:rPr>
        <w:t>公司不得通过下列媒介渠道推介私募基金：</w:t>
      </w:r>
    </w:p>
    <w:p>
      <w:pPr>
        <w:numPr>
          <w:numId w:val="34"/>
        </w:numPr>
        <w:spacing w:before="120" w:after="120" w:line="288" w:lineRule="auto"/>
        <w:ind w:left="453"/>
        <w:jc w:val="left"/>
      </w:pPr>
      <w:r>
        <w:rPr>
          <w:rFonts w:eastAsia="等线" w:ascii="Arial" w:cs="Arial" w:hAnsi="Arial"/>
          <w:sz w:val="22"/>
        </w:rPr>
        <w:t>公开出版资料；</w:t>
      </w:r>
    </w:p>
    <w:p>
      <w:pPr>
        <w:numPr>
          <w:numId w:val="35"/>
        </w:numPr>
        <w:spacing w:before="120" w:after="120" w:line="288" w:lineRule="auto"/>
        <w:ind w:left="453"/>
        <w:jc w:val="left"/>
      </w:pPr>
      <w:r>
        <w:rPr>
          <w:rFonts w:eastAsia="等线" w:ascii="Arial" w:cs="Arial" w:hAnsi="Arial"/>
          <w:sz w:val="22"/>
        </w:rPr>
        <w:t>面向社会公众的宣传单、布告、手册、信函、传真；</w:t>
      </w:r>
    </w:p>
    <w:p>
      <w:pPr>
        <w:numPr>
          <w:numId w:val="36"/>
        </w:numPr>
        <w:spacing w:before="120" w:after="120" w:line="288" w:lineRule="auto"/>
        <w:ind w:left="453"/>
        <w:jc w:val="left"/>
      </w:pPr>
      <w:r>
        <w:rPr>
          <w:rFonts w:eastAsia="等线" w:ascii="Arial" w:cs="Arial" w:hAnsi="Arial"/>
          <w:sz w:val="22"/>
        </w:rPr>
        <w:t>海报、户外广告；</w:t>
      </w:r>
    </w:p>
    <w:p>
      <w:pPr>
        <w:numPr>
          <w:numId w:val="37"/>
        </w:numPr>
        <w:spacing w:before="120" w:after="120" w:line="288" w:lineRule="auto"/>
        <w:ind w:left="453"/>
        <w:jc w:val="left"/>
      </w:pPr>
      <w:r>
        <w:rPr>
          <w:rFonts w:eastAsia="等线" w:ascii="Arial" w:cs="Arial" w:hAnsi="Arial"/>
          <w:sz w:val="22"/>
        </w:rPr>
        <w:t>电视、电影、电台及其他音像等公共传播媒体；</w:t>
      </w:r>
    </w:p>
    <w:p>
      <w:pPr>
        <w:numPr>
          <w:numId w:val="38"/>
        </w:numPr>
        <w:spacing w:before="120" w:after="120" w:line="288" w:lineRule="auto"/>
        <w:ind w:left="453"/>
        <w:jc w:val="left"/>
      </w:pPr>
      <w:r>
        <w:rPr>
          <w:rFonts w:eastAsia="等线" w:ascii="Arial" w:cs="Arial" w:hAnsi="Arial"/>
          <w:sz w:val="22"/>
        </w:rPr>
        <w:t>公共、门户网站链接广告、博客等；</w:t>
      </w:r>
    </w:p>
    <w:p>
      <w:pPr>
        <w:numPr>
          <w:numId w:val="39"/>
        </w:numPr>
        <w:spacing w:before="120" w:after="120" w:line="288" w:lineRule="auto"/>
        <w:ind w:left="453"/>
        <w:jc w:val="left"/>
      </w:pPr>
      <w:r>
        <w:rPr>
          <w:rFonts w:eastAsia="等线" w:ascii="Arial" w:cs="Arial" w:hAnsi="Arial"/>
          <w:sz w:val="22"/>
        </w:rPr>
        <w:t xml:space="preserve">未设置特定对象确定程序的公司官方网站、微信朋友圈等互联网媒介； </w:t>
      </w:r>
    </w:p>
    <w:p>
      <w:pPr>
        <w:numPr>
          <w:numId w:val="40"/>
        </w:numPr>
        <w:spacing w:before="120" w:after="120" w:line="288" w:lineRule="auto"/>
        <w:ind w:left="453"/>
        <w:jc w:val="left"/>
      </w:pPr>
      <w:r>
        <w:rPr>
          <w:rFonts w:eastAsia="等线" w:ascii="Arial" w:cs="Arial" w:hAnsi="Arial"/>
          <w:sz w:val="22"/>
        </w:rPr>
        <w:t>未设置特定对象确定程序的讲座、报告会、分析会；</w:t>
      </w:r>
    </w:p>
    <w:p>
      <w:pPr>
        <w:numPr>
          <w:numId w:val="41"/>
        </w:numPr>
        <w:spacing w:before="120" w:after="120" w:line="288" w:lineRule="auto"/>
        <w:ind w:left="453"/>
        <w:jc w:val="left"/>
      </w:pPr>
      <w:r>
        <w:rPr>
          <w:rFonts w:eastAsia="等线" w:ascii="Arial" w:cs="Arial" w:hAnsi="Arial"/>
          <w:sz w:val="22"/>
        </w:rPr>
        <w:t>未设置特定对象确定程序的电话、短信和电子邮件等通讯媒介；</w:t>
      </w:r>
    </w:p>
    <w:p>
      <w:pPr>
        <w:numPr>
          <w:numId w:val="42"/>
        </w:numPr>
        <w:spacing w:before="120" w:after="120" w:line="288" w:lineRule="auto"/>
        <w:ind w:left="453"/>
        <w:jc w:val="left"/>
      </w:pPr>
      <w:r>
        <w:rPr>
          <w:rFonts w:eastAsia="等线" w:ascii="Arial" w:cs="Arial" w:hAnsi="Arial"/>
          <w:sz w:val="22"/>
        </w:rPr>
        <w:t>法律、行政法规、中国证监会规定和中国基金业协会自律规则禁止的其他行为。</w:t>
      </w:r>
    </w:p>
    <w:p>
      <w:pPr>
        <w:spacing w:before="120" w:after="120" w:line="288" w:lineRule="auto"/>
        <w:ind w:left="0" w:firstLine="420"/>
        <w:jc w:val="left"/>
      </w:pPr>
      <w:r>
        <w:rPr>
          <w:rFonts w:eastAsia="等线" w:ascii="Arial" w:cs="Arial" w:hAnsi="Arial"/>
          <w:b w:val="true"/>
          <w:sz w:val="22"/>
        </w:rPr>
        <w:t xml:space="preserve">第二十七条 </w:t>
      </w:r>
      <w:r>
        <w:rPr>
          <w:rFonts w:eastAsia="等线" w:ascii="Arial" w:cs="Arial" w:hAnsi="Arial"/>
          <w:sz w:val="22"/>
        </w:rPr>
        <w:t>在投资者签署基金合同之前，公司应当向投资者说明有关法律法规，说明投资冷静期、回访确认等程序性安排以及投资者的相关权利，重点揭示私募基金风险，并与投资者签署风险揭示书。</w:t>
      </w:r>
    </w:p>
    <w:p>
      <w:pPr>
        <w:spacing w:before="120" w:after="120" w:line="288" w:lineRule="auto"/>
        <w:ind w:left="0" w:firstLine="420"/>
        <w:jc w:val="left"/>
      </w:pPr>
      <w:r>
        <w:rPr>
          <w:rFonts w:eastAsia="等线" w:ascii="Arial" w:cs="Arial" w:hAnsi="Arial"/>
          <w:sz w:val="22"/>
        </w:rPr>
        <w:t>风险揭示书的内容包括但不限于以下方面：</w:t>
      </w:r>
    </w:p>
    <w:p>
      <w:pPr>
        <w:numPr>
          <w:numId w:val="43"/>
        </w:numPr>
        <w:spacing w:before="120" w:after="120" w:line="288" w:lineRule="auto"/>
        <w:ind w:left="453"/>
        <w:jc w:val="left"/>
      </w:pPr>
      <w:r>
        <w:rPr>
          <w:rFonts w:eastAsia="等线" w:ascii="Arial" w:cs="Arial" w:hAnsi="Arial"/>
          <w:sz w:val="22"/>
        </w:rPr>
        <w:t>私募基金的特殊风险，包括基金合同与中国基金业协会合同指引不一致所涉风险、基金未托管所涉风险、基金委托募集所涉风险、外包事项所涉风险、聘请投资顾问所涉风险、未在中国基金业协会登记备案的风险等；</w:t>
      </w:r>
    </w:p>
    <w:p>
      <w:pPr>
        <w:numPr>
          <w:numId w:val="44"/>
        </w:numPr>
        <w:spacing w:before="120" w:after="120" w:line="288" w:lineRule="auto"/>
        <w:ind w:left="453"/>
        <w:jc w:val="left"/>
      </w:pPr>
      <w:r>
        <w:rPr>
          <w:rFonts w:eastAsia="等线" w:ascii="Arial" w:cs="Arial" w:hAnsi="Arial"/>
          <w:sz w:val="22"/>
        </w:rPr>
        <w:t>私募基金的一般风险，包括资金损失风险、基金运营风险、流动性风险、募集失败风险、投资标的的风险、税收风险等；</w:t>
      </w:r>
    </w:p>
    <w:p>
      <w:pPr>
        <w:numPr>
          <w:numId w:val="45"/>
        </w:numPr>
        <w:spacing w:before="120" w:after="120" w:line="288" w:lineRule="auto"/>
        <w:ind w:left="453"/>
        <w:jc w:val="left"/>
      </w:pPr>
      <w:r>
        <w:rPr>
          <w:rFonts w:eastAsia="等线" w:ascii="Arial" w:cs="Arial" w:hAnsi="Arial"/>
          <w:sz w:val="22"/>
        </w:rPr>
        <w:t>投资者对基金合同中投资者权益相关重要条款的逐项确认，包括当事人权利义务、费用及税收、纠纷解决方式等。</w:t>
      </w:r>
    </w:p>
    <w:p>
      <w:pPr>
        <w:spacing w:before="120" w:after="120" w:line="288" w:lineRule="auto"/>
        <w:ind w:left="0" w:firstLine="420"/>
        <w:jc w:val="left"/>
      </w:pPr>
      <w:r>
        <w:rPr>
          <w:rFonts w:eastAsia="等线" w:ascii="Arial" w:cs="Arial" w:hAnsi="Arial"/>
          <w:sz w:val="22"/>
        </w:rPr>
        <w:t>风险揭示书参考文本见公司《合格投资者风险揭示制度》，可由公司不时修订。</w:t>
      </w:r>
    </w:p>
    <w:p>
      <w:pPr>
        <w:spacing w:before="120" w:after="120" w:line="288" w:lineRule="auto"/>
        <w:ind w:left="0" w:firstLine="420"/>
        <w:jc w:val="left"/>
      </w:pPr>
      <w:r>
        <w:rPr>
          <w:rFonts w:eastAsia="等线" w:ascii="Arial" w:cs="Arial" w:hAnsi="Arial"/>
          <w:b w:val="true"/>
          <w:sz w:val="22"/>
        </w:rPr>
        <w:t xml:space="preserve">第二十八条 </w:t>
      </w:r>
      <w:r>
        <w:rPr>
          <w:rFonts w:eastAsia="等线" w:ascii="Arial" w:cs="Arial" w:hAnsi="Arial"/>
          <w:sz w:val="22"/>
        </w:rPr>
        <w:t>在完成私募基金风险揭示后，公司应当要求投资者提供必要的资产证明文件或收入证明。</w:t>
      </w:r>
    </w:p>
    <w:p>
      <w:pPr>
        <w:spacing w:before="120" w:after="120" w:line="288" w:lineRule="auto"/>
        <w:ind w:left="0" w:firstLine="420"/>
        <w:jc w:val="left"/>
      </w:pPr>
      <w:r>
        <w:rPr>
          <w:rFonts w:eastAsia="等线" w:ascii="Arial" w:cs="Arial" w:hAnsi="Arial"/>
          <w:sz w:val="22"/>
        </w:rPr>
        <w:t>公司还应合理审慎地审查投资者是否符合私募基金合格投资者标准，依法履行反洗钱义务，并确保单只私募基金的投资者人数累计不得超过《证券投资基金法》、《公司法》、《合伙企业法》等法律规定的特定数量。</w:t>
      </w:r>
    </w:p>
    <w:p>
      <w:pPr>
        <w:spacing w:before="120" w:after="120" w:line="288" w:lineRule="auto"/>
        <w:ind w:left="0" w:firstLine="420"/>
        <w:jc w:val="left"/>
      </w:pPr>
      <w:r>
        <w:rPr>
          <w:rFonts w:eastAsia="等线" w:ascii="Arial" w:cs="Arial" w:hAnsi="Arial"/>
          <w:b w:val="true"/>
          <w:sz w:val="22"/>
        </w:rPr>
        <w:t xml:space="preserve">第二十九条 </w:t>
      </w:r>
      <w:r>
        <w:rPr>
          <w:rFonts w:eastAsia="等线" w:ascii="Arial" w:cs="Arial" w:hAnsi="Arial"/>
          <w:sz w:val="22"/>
        </w:rPr>
        <w:t>私募基金的合格投资者是指具备相应风险识别能力和风险承担能力，投资于单只私募基金的金额不低于100万元且符合下列相关标准的机构和个人：</w:t>
      </w:r>
    </w:p>
    <w:p>
      <w:pPr>
        <w:numPr>
          <w:numId w:val="46"/>
        </w:numPr>
        <w:spacing w:before="120" w:after="120" w:line="288" w:lineRule="auto"/>
        <w:ind w:left="453"/>
        <w:jc w:val="left"/>
      </w:pPr>
      <w:r>
        <w:rPr>
          <w:rFonts w:eastAsia="等线" w:ascii="Arial" w:cs="Arial" w:hAnsi="Arial"/>
          <w:sz w:val="22"/>
        </w:rPr>
        <w:t>净资产不低于1000万元的机构；</w:t>
      </w:r>
    </w:p>
    <w:p>
      <w:pPr>
        <w:numPr>
          <w:numId w:val="47"/>
        </w:numPr>
        <w:spacing w:before="120" w:after="120" w:line="288" w:lineRule="auto"/>
        <w:ind w:left="453"/>
        <w:jc w:val="left"/>
      </w:pPr>
      <w:r>
        <w:rPr>
          <w:rFonts w:eastAsia="等线" w:ascii="Arial" w:cs="Arial" w:hAnsi="Arial"/>
          <w:sz w:val="22"/>
        </w:rPr>
        <w:t>金融资产不低于300万元或者最近三年个人年均收入不低于50万元的个人。</w:t>
      </w:r>
    </w:p>
    <w:p>
      <w:pPr>
        <w:spacing w:before="120" w:after="120" w:line="288" w:lineRule="auto"/>
        <w:ind w:left="0" w:firstLine="420"/>
        <w:jc w:val="left"/>
      </w:pPr>
      <w:r>
        <w:rPr>
          <w:rFonts w:eastAsia="等线" w:ascii="Arial" w:cs="Arial" w:hAnsi="Arial"/>
          <w:sz w:val="22"/>
        </w:rPr>
        <w:t>前款所称金融资产包括银行存款、股票、债券、基金份额、资产管理计划、银行理财产品、信托计划、保险产品、期货权益等。</w:t>
      </w:r>
    </w:p>
    <w:p>
      <w:pPr>
        <w:spacing w:before="120" w:after="120" w:line="288" w:lineRule="auto"/>
        <w:ind w:left="0" w:firstLine="420"/>
        <w:jc w:val="left"/>
      </w:pPr>
      <w:r>
        <w:rPr>
          <w:rFonts w:eastAsia="等线" w:ascii="Arial" w:cs="Arial" w:hAnsi="Arial"/>
          <w:b w:val="true"/>
          <w:sz w:val="22"/>
        </w:rPr>
        <w:t xml:space="preserve">第三十条 </w:t>
      </w:r>
      <w:r>
        <w:rPr>
          <w:rFonts w:eastAsia="等线" w:ascii="Arial" w:cs="Arial" w:hAnsi="Arial"/>
          <w:sz w:val="22"/>
        </w:rPr>
        <w:t>私募基金合同应当在完成合格投资者确认程序后签署。</w:t>
      </w:r>
    </w:p>
    <w:p>
      <w:pPr>
        <w:spacing w:before="120" w:after="120" w:line="288" w:lineRule="auto"/>
        <w:ind w:left="0" w:firstLine="420"/>
        <w:jc w:val="left"/>
      </w:pPr>
      <w:r>
        <w:rPr>
          <w:rFonts w:eastAsia="等线" w:ascii="Arial" w:cs="Arial" w:hAnsi="Arial"/>
          <w:sz w:val="22"/>
        </w:rPr>
        <w:t>基金合同应当约定给投资者设置不少于二十四小时的投资冷静期，公司及相关人员在投资冷静期内不得主动联系投资者。</w:t>
      </w:r>
    </w:p>
    <w:p>
      <w:pPr>
        <w:numPr>
          <w:numId w:val="48"/>
        </w:numPr>
        <w:spacing w:before="120" w:after="120" w:line="288" w:lineRule="auto"/>
        <w:ind w:left="453"/>
        <w:jc w:val="left"/>
      </w:pPr>
      <w:r>
        <w:rPr>
          <w:rFonts w:eastAsia="等线" w:ascii="Arial" w:cs="Arial" w:hAnsi="Arial"/>
          <w:sz w:val="22"/>
        </w:rPr>
        <w:t>私募证券投资基金合同应当约定，投资冷静期自基金合同签署完毕且投资者交纳认购基金的款项后起算；</w:t>
      </w:r>
    </w:p>
    <w:p>
      <w:pPr>
        <w:numPr>
          <w:numId w:val="49"/>
        </w:numPr>
        <w:spacing w:before="120" w:after="120" w:line="288" w:lineRule="auto"/>
        <w:ind w:left="453"/>
        <w:jc w:val="left"/>
      </w:pPr>
      <w:r>
        <w:rPr>
          <w:rFonts w:eastAsia="等线" w:ascii="Arial" w:cs="Arial" w:hAnsi="Arial"/>
          <w:sz w:val="22"/>
        </w:rPr>
        <w:t>除非基金合同另行约定，私募股权投资基金、创业投资基金及其他私募基金的投资冷静期自投资者签订基金合同时起算。</w:t>
      </w:r>
    </w:p>
    <w:p>
      <w:pPr>
        <w:spacing w:before="120" w:after="120" w:line="288" w:lineRule="auto"/>
        <w:ind w:left="0" w:firstLine="420"/>
        <w:jc w:val="left"/>
      </w:pPr>
      <w:r>
        <w:rPr>
          <w:rFonts w:eastAsia="等线" w:ascii="Arial" w:cs="Arial" w:hAnsi="Arial"/>
          <w:b w:val="true"/>
          <w:sz w:val="22"/>
        </w:rPr>
        <w:t xml:space="preserve">第三十一条 </w:t>
      </w:r>
      <w:r>
        <w:rPr>
          <w:rFonts w:eastAsia="等线" w:ascii="Arial" w:cs="Arial" w:hAnsi="Arial"/>
          <w:sz w:val="22"/>
        </w:rPr>
        <w:t>在投资冷静期满后，应当由公司合规风控部人员以录音电话、电邮、信函等适当方式进行投资回访。回访过程不得出现诱导性陈述。在投资冷静期内进行的回访确认无效。</w:t>
      </w:r>
    </w:p>
    <w:p>
      <w:pPr>
        <w:spacing w:before="120" w:after="120" w:line="288" w:lineRule="auto"/>
        <w:ind w:left="0" w:firstLine="420"/>
        <w:jc w:val="left"/>
      </w:pPr>
      <w:r>
        <w:rPr>
          <w:rFonts w:eastAsia="等线" w:ascii="Arial" w:cs="Arial" w:hAnsi="Arial"/>
          <w:sz w:val="22"/>
        </w:rPr>
        <w:t>回访应当包括但不限于以下内容：</w:t>
      </w:r>
    </w:p>
    <w:p>
      <w:pPr>
        <w:numPr>
          <w:numId w:val="50"/>
        </w:numPr>
        <w:spacing w:before="120" w:after="120" w:line="288" w:lineRule="auto"/>
        <w:ind w:left="453"/>
        <w:jc w:val="left"/>
      </w:pPr>
      <w:r>
        <w:rPr>
          <w:rFonts w:eastAsia="等线" w:ascii="Arial" w:cs="Arial" w:hAnsi="Arial"/>
          <w:sz w:val="22"/>
        </w:rPr>
        <w:t>确认受访人是否为投资者本人或机构；</w:t>
      </w:r>
    </w:p>
    <w:p>
      <w:pPr>
        <w:numPr>
          <w:numId w:val="51"/>
        </w:numPr>
        <w:spacing w:before="120" w:after="120" w:line="288" w:lineRule="auto"/>
        <w:ind w:left="453"/>
        <w:jc w:val="left"/>
      </w:pPr>
      <w:r>
        <w:rPr>
          <w:rFonts w:eastAsia="等线" w:ascii="Arial" w:cs="Arial" w:hAnsi="Arial"/>
          <w:sz w:val="22"/>
        </w:rPr>
        <w:t>确认投资者是否为自己购买了该基金产品以及投资者是否按照要求亲笔签名或盖章；</w:t>
      </w:r>
    </w:p>
    <w:p>
      <w:pPr>
        <w:numPr>
          <w:numId w:val="52"/>
        </w:numPr>
        <w:spacing w:before="120" w:after="120" w:line="288" w:lineRule="auto"/>
        <w:ind w:left="453"/>
        <w:jc w:val="left"/>
      </w:pPr>
      <w:r>
        <w:rPr>
          <w:rFonts w:eastAsia="等线" w:ascii="Arial" w:cs="Arial" w:hAnsi="Arial"/>
          <w:sz w:val="22"/>
        </w:rPr>
        <w:t>确认投资者是否已经阅读并理解基金合同和风险揭示的内容；</w:t>
      </w:r>
    </w:p>
    <w:p>
      <w:pPr>
        <w:numPr>
          <w:numId w:val="53"/>
        </w:numPr>
        <w:spacing w:before="120" w:after="120" w:line="288" w:lineRule="auto"/>
        <w:ind w:left="453"/>
        <w:jc w:val="left"/>
      </w:pPr>
      <w:r>
        <w:rPr>
          <w:rFonts w:eastAsia="等线" w:ascii="Arial" w:cs="Arial" w:hAnsi="Arial"/>
          <w:sz w:val="22"/>
        </w:rPr>
        <w:t>确认投资者的风险识别能力及风险承担能力是否与所投资的私募基金产品相匹配；</w:t>
      </w:r>
    </w:p>
    <w:p>
      <w:pPr>
        <w:numPr>
          <w:numId w:val="54"/>
        </w:numPr>
        <w:spacing w:before="120" w:after="120" w:line="288" w:lineRule="auto"/>
        <w:ind w:left="453"/>
        <w:jc w:val="left"/>
      </w:pPr>
      <w:r>
        <w:rPr>
          <w:rFonts w:eastAsia="等线" w:ascii="Arial" w:cs="Arial" w:hAnsi="Arial"/>
          <w:sz w:val="22"/>
        </w:rPr>
        <w:t>确认投资者是否知悉投资者承担的主要费用及费率，投资者的重要权利、私募基金信息披露的内容、方式及频率；</w:t>
      </w:r>
    </w:p>
    <w:p>
      <w:pPr>
        <w:numPr>
          <w:numId w:val="55"/>
        </w:numPr>
        <w:spacing w:before="120" w:after="120" w:line="288" w:lineRule="auto"/>
        <w:ind w:left="453"/>
        <w:jc w:val="left"/>
      </w:pPr>
      <w:r>
        <w:rPr>
          <w:rFonts w:eastAsia="等线" w:ascii="Arial" w:cs="Arial" w:hAnsi="Arial"/>
          <w:sz w:val="22"/>
        </w:rPr>
        <w:t>确认投资者是否知悉未来可能承担投资损失；</w:t>
      </w:r>
    </w:p>
    <w:p>
      <w:pPr>
        <w:numPr>
          <w:numId w:val="56"/>
        </w:numPr>
        <w:spacing w:before="120" w:after="120" w:line="288" w:lineRule="auto"/>
        <w:ind w:left="453"/>
        <w:jc w:val="left"/>
      </w:pPr>
      <w:r>
        <w:rPr>
          <w:rFonts w:eastAsia="等线" w:ascii="Arial" w:cs="Arial" w:hAnsi="Arial"/>
          <w:sz w:val="22"/>
        </w:rPr>
        <w:t>确认投资者是否知悉投资冷静期的起算时间、期间以及享有的权利；</w:t>
      </w:r>
    </w:p>
    <w:p>
      <w:pPr>
        <w:numPr>
          <w:numId w:val="57"/>
        </w:numPr>
        <w:spacing w:before="120" w:after="120" w:line="288" w:lineRule="auto"/>
        <w:ind w:left="453"/>
        <w:jc w:val="left"/>
      </w:pPr>
      <w:r>
        <w:rPr>
          <w:rFonts w:eastAsia="等线" w:ascii="Arial" w:cs="Arial" w:hAnsi="Arial"/>
          <w:sz w:val="22"/>
        </w:rPr>
        <w:t>确认投资者是否知悉纠纷解决安排。</w:t>
      </w:r>
    </w:p>
    <w:p>
      <w:pPr>
        <w:spacing w:before="120" w:after="120" w:line="288" w:lineRule="auto"/>
        <w:ind w:left="0" w:firstLine="420"/>
        <w:jc w:val="left"/>
      </w:pPr>
      <w:r>
        <w:rPr>
          <w:rFonts w:eastAsia="等线" w:ascii="Arial" w:cs="Arial" w:hAnsi="Arial"/>
          <w:b w:val="true"/>
          <w:sz w:val="22"/>
        </w:rPr>
        <w:t xml:space="preserve">第三十二条 </w:t>
      </w:r>
      <w:r>
        <w:rPr>
          <w:rFonts w:eastAsia="等线" w:ascii="Arial" w:cs="Arial" w:hAnsi="Arial"/>
          <w:sz w:val="22"/>
        </w:rPr>
        <w:t>基金合同应当约定，投资者在公司回访确认成功前有权解除基金合同。出现前述情形时，公司应当按合同约定及时退还投资者的全部认购款项（如认购款已缴纳）。</w:t>
      </w:r>
    </w:p>
    <w:p>
      <w:pPr>
        <w:spacing w:before="120" w:after="120" w:line="288" w:lineRule="auto"/>
        <w:ind w:left="0" w:firstLine="420"/>
        <w:jc w:val="left"/>
      </w:pPr>
      <w:r>
        <w:rPr>
          <w:rFonts w:eastAsia="等线" w:ascii="Arial" w:cs="Arial" w:hAnsi="Arial"/>
          <w:sz w:val="22"/>
        </w:rPr>
        <w:t>未经回访确认成功，投资者交纳的认购基金款项不得由募集账户划转到基金财产账户或托管资金账户，公司不得投资运作投资者交纳的认购基金款项。</w:t>
      </w:r>
    </w:p>
    <w:p>
      <w:pPr>
        <w:spacing w:before="120" w:after="120" w:line="288" w:lineRule="auto"/>
        <w:ind w:left="0" w:firstLine="420"/>
        <w:jc w:val="left"/>
      </w:pPr>
      <w:r>
        <w:rPr>
          <w:rFonts w:eastAsia="等线" w:ascii="Arial" w:cs="Arial" w:hAnsi="Arial"/>
          <w:b w:val="true"/>
          <w:sz w:val="22"/>
        </w:rPr>
        <w:t>第三十三条</w:t>
      </w:r>
      <w:r>
        <w:rPr>
          <w:rFonts w:eastAsia="等线" w:ascii="Arial" w:cs="Arial" w:hAnsi="Arial"/>
          <w:sz w:val="22"/>
        </w:rPr>
        <w:t xml:space="preserve"> 私募基金投资者属于以下情形的，可以不适用本制度第十八条至第二十二条、第二十七条至第三十二条的规定：</w:t>
      </w:r>
    </w:p>
    <w:p>
      <w:pPr>
        <w:numPr>
          <w:numId w:val="58"/>
        </w:numPr>
        <w:spacing w:before="120" w:after="120" w:line="288" w:lineRule="auto"/>
        <w:ind w:left="453"/>
        <w:jc w:val="left"/>
      </w:pPr>
      <w:r>
        <w:rPr>
          <w:rFonts w:eastAsia="等线" w:ascii="Arial" w:cs="Arial" w:hAnsi="Arial"/>
          <w:sz w:val="22"/>
        </w:rPr>
        <w:t>社会保障基金、企业年金等养老基金，慈善基金等社会公益基金；</w:t>
      </w:r>
    </w:p>
    <w:p>
      <w:pPr>
        <w:numPr>
          <w:numId w:val="59"/>
        </w:numPr>
        <w:spacing w:before="120" w:after="120" w:line="288" w:lineRule="auto"/>
        <w:ind w:left="453"/>
        <w:jc w:val="left"/>
      </w:pPr>
      <w:r>
        <w:rPr>
          <w:rFonts w:eastAsia="等线" w:ascii="Arial" w:cs="Arial" w:hAnsi="Arial"/>
          <w:sz w:val="22"/>
        </w:rPr>
        <w:t>依法设立并在中国基金业协会备案的私募基金产品；</w:t>
      </w:r>
    </w:p>
    <w:p>
      <w:pPr>
        <w:numPr>
          <w:numId w:val="60"/>
        </w:numPr>
        <w:spacing w:before="120" w:after="120" w:line="288" w:lineRule="auto"/>
        <w:ind w:left="453"/>
        <w:jc w:val="left"/>
      </w:pPr>
      <w:r>
        <w:rPr>
          <w:rFonts w:eastAsia="等线" w:ascii="Arial" w:cs="Arial" w:hAnsi="Arial"/>
          <w:sz w:val="22"/>
        </w:rPr>
        <w:t>受国务院金融监督管理机构监管的金融产品；</w:t>
      </w:r>
    </w:p>
    <w:p>
      <w:pPr>
        <w:numPr>
          <w:numId w:val="61"/>
        </w:numPr>
        <w:spacing w:before="120" w:after="120" w:line="288" w:lineRule="auto"/>
        <w:ind w:left="453"/>
        <w:jc w:val="left"/>
      </w:pPr>
      <w:r>
        <w:rPr>
          <w:rFonts w:eastAsia="等线" w:ascii="Arial" w:cs="Arial" w:hAnsi="Arial"/>
          <w:sz w:val="22"/>
        </w:rPr>
        <w:t>投资于所管理私募基金的私募基金管理人及其从业人员；</w:t>
      </w:r>
    </w:p>
    <w:p>
      <w:pPr>
        <w:numPr>
          <w:numId w:val="62"/>
        </w:numPr>
        <w:spacing w:before="120" w:after="120" w:line="288" w:lineRule="auto"/>
        <w:ind w:left="453"/>
        <w:jc w:val="left"/>
      </w:pPr>
      <w:r>
        <w:rPr>
          <w:rFonts w:eastAsia="等线" w:ascii="Arial" w:cs="Arial" w:hAnsi="Arial"/>
          <w:sz w:val="22"/>
        </w:rPr>
        <w:t>法律法规、中国证监会和中国基金业协会规定的其他投资者。</w:t>
      </w:r>
    </w:p>
    <w:p>
      <w:pPr>
        <w:spacing w:before="120" w:after="120" w:line="288" w:lineRule="auto"/>
        <w:ind w:left="0" w:firstLine="420"/>
        <w:jc w:val="left"/>
      </w:pPr>
      <w:r>
        <w:rPr>
          <w:rFonts w:eastAsia="等线" w:ascii="Arial" w:cs="Arial" w:hAnsi="Arial"/>
          <w:sz w:val="22"/>
        </w:rPr>
        <w:t>投资者为专业投资机构的，可不适用本制度第三十条至第三十二条的规定。</w:t>
      </w:r>
    </w:p>
    <w:p>
      <w:pPr>
        <w:spacing w:before="120" w:after="120" w:line="288" w:lineRule="auto"/>
        <w:ind w:left="0" w:firstLine="420"/>
        <w:jc w:val="left"/>
      </w:pPr>
      <w:r>
        <w:rPr>
          <w:rFonts w:eastAsia="等线" w:ascii="Arial" w:cs="Arial" w:hAnsi="Arial"/>
          <w:b w:val="true"/>
          <w:sz w:val="22"/>
        </w:rPr>
        <w:t xml:space="preserve">第三十四条 </w:t>
      </w:r>
      <w:r>
        <w:rPr>
          <w:rFonts w:eastAsia="等线" w:ascii="Arial" w:cs="Arial" w:hAnsi="Arial"/>
          <w:sz w:val="22"/>
        </w:rPr>
        <w:t>本制度依据现行有效的法律、法规的有关规定而制定；如遇有关法律、法规调整与本制度不一致时，公司将依据新的法律、法规的规定执行。</w:t>
      </w:r>
    </w:p>
    <w:p>
      <w:pPr>
        <w:spacing w:before="120" w:after="120" w:line="288" w:lineRule="auto"/>
        <w:ind w:left="0" w:firstLine="420"/>
        <w:jc w:val="left"/>
      </w:pPr>
      <w:r>
        <w:rPr>
          <w:rFonts w:eastAsia="等线" w:ascii="Arial" w:cs="Arial" w:hAnsi="Arial"/>
          <w:b w:val="true"/>
          <w:sz w:val="22"/>
        </w:rPr>
        <w:t xml:space="preserve">第三十五条 </w:t>
      </w:r>
      <w:r>
        <w:rPr>
          <w:rFonts w:eastAsia="等线" w:ascii="Arial" w:cs="Arial" w:hAnsi="Arial"/>
          <w:sz w:val="22"/>
        </w:rPr>
        <w:t xml:space="preserve">本制度由合规风控部负责解释和修订，经董事审议批准自发布之日起生效施行。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4" w:id="14"/>
      <w:r>
        <w:rPr>
          <w:rFonts w:eastAsia="等线" w:ascii="Arial" w:cs="Arial" w:hAnsi="Arial"/>
          <w:b w:val="true"/>
          <w:sz w:val="30"/>
        </w:rPr>
        <w:t>第八节 基金托管与外包业务管理制度</w:t>
      </w:r>
      <w:bookmarkEnd w:id="14"/>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规范公司股权投资基金基金托管与运营外包业务。根据《中华人民共和国证券投资基金法》、《私募投资基金监督管理暂行办法》、《私募投资基金管理人内部控制指引》、《私募投资基金服务业务管理办法（试行）》等法律法规、规范性法律文件及相关监管要求制定本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本制度适用于本公司基金托管与外包业务。</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公司合规风控部负责基金托管机构与外包服务机构的选择、评定、确认与监督管理。</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基金托管机构是指依法设立的具有托管资质的商业银行或者其他具备托管资格的金融机构。商业银行担任基金托管机构的，由国务院证券监督管理机构会同国务院银行业监督管理机构核准；其他金融机构担任基金托管机构的，由国务院证券监督管理机构核准。</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外包服务机构是指基金业务外包服务机构（以下简称“外包机构”），主要为基金管理人提供销售、销售支付、份额登记、估值核算、信息技术系统等业务的服务。</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外包机构包括为私募基金管理人提供募集服务的在中国证监会注册取得基金销售业务资格且成为中国基金业协会会员的机构（简称基金销售机构），为私募基金募集机构提供支付结算服务、私募基金募集结算资金监督、份额登记等与私募基金募集业务相关服务的机构。</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公司所管理的产品原则上都应选定托管机构进行托管，如不进行托管的，应在基金合同中进行约定，并建立独立的保障私募基金财产安全的制度措施和纠纷解决机制。</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公司合规风控部负责托管机构遴选工作，遴选工作应主要核查以下内容：</w:t>
      </w:r>
    </w:p>
    <w:p>
      <w:pPr>
        <w:spacing w:before="120" w:after="120" w:line="288" w:lineRule="auto"/>
        <w:ind w:left="0" w:firstLine="420"/>
        <w:jc w:val="left"/>
      </w:pPr>
      <w:r>
        <w:rPr>
          <w:rFonts w:eastAsia="等线" w:ascii="Arial" w:cs="Arial" w:hAnsi="Arial"/>
          <w:sz w:val="22"/>
        </w:rPr>
        <w:t>（一） 属地经营：原则上应当满足基金的托管机构、托管账户与基金注册地需保持一致；</w:t>
      </w:r>
    </w:p>
    <w:p>
      <w:pPr>
        <w:spacing w:before="120" w:after="120" w:line="288" w:lineRule="auto"/>
        <w:ind w:left="0" w:firstLine="420"/>
        <w:jc w:val="left"/>
      </w:pPr>
      <w:r>
        <w:rPr>
          <w:rFonts w:eastAsia="等线" w:ascii="Arial" w:cs="Arial" w:hAnsi="Arial"/>
          <w:sz w:val="22"/>
        </w:rPr>
        <w:t>（二） 资质管理：托管机构需具备托管资质，托管机构的净资产和风险控制指标应当符合相关规定；</w:t>
      </w:r>
    </w:p>
    <w:p>
      <w:pPr>
        <w:spacing w:before="120" w:after="120" w:line="288" w:lineRule="auto"/>
        <w:ind w:left="0" w:firstLine="420"/>
        <w:jc w:val="left"/>
      </w:pPr>
      <w:r>
        <w:rPr>
          <w:rFonts w:eastAsia="等线" w:ascii="Arial" w:cs="Arial" w:hAnsi="Arial"/>
          <w:sz w:val="22"/>
        </w:rPr>
        <w:t>（三） 费率合理：托管机构的费率不得高于同期市场平均水平；</w:t>
      </w:r>
    </w:p>
    <w:p>
      <w:pPr>
        <w:spacing w:before="120" w:after="120" w:line="288" w:lineRule="auto"/>
        <w:ind w:left="0" w:firstLine="420"/>
        <w:jc w:val="left"/>
      </w:pPr>
      <w:r>
        <w:rPr>
          <w:rFonts w:eastAsia="等线" w:ascii="Arial" w:cs="Arial" w:hAnsi="Arial"/>
          <w:sz w:val="22"/>
        </w:rPr>
        <w:t>（四） 协议合规：管理人和托管机构必须签订标准的托管协议；</w:t>
      </w:r>
    </w:p>
    <w:p>
      <w:pPr>
        <w:spacing w:before="120" w:after="120" w:line="288" w:lineRule="auto"/>
        <w:ind w:left="0" w:firstLine="420"/>
        <w:jc w:val="left"/>
      </w:pPr>
      <w:r>
        <w:rPr>
          <w:rFonts w:eastAsia="等线" w:ascii="Arial" w:cs="Arial" w:hAnsi="Arial"/>
          <w:sz w:val="22"/>
        </w:rPr>
        <w:t>（五） 内控规范：托管机构具有完善的内控机制与操作规范，有完善的内部稽核监控制度和风险控制制度；</w:t>
      </w:r>
    </w:p>
    <w:p>
      <w:pPr>
        <w:spacing w:before="120" w:after="120" w:line="288" w:lineRule="auto"/>
        <w:ind w:left="0" w:firstLine="420"/>
        <w:jc w:val="left"/>
      </w:pPr>
      <w:r>
        <w:rPr>
          <w:rFonts w:eastAsia="等线" w:ascii="Arial" w:cs="Arial" w:hAnsi="Arial"/>
          <w:sz w:val="22"/>
        </w:rPr>
        <w:t>（六） 托管机构需要满足公司划款对于时效性的要求；</w:t>
      </w:r>
    </w:p>
    <w:p>
      <w:pPr>
        <w:spacing w:before="120" w:after="120" w:line="288" w:lineRule="auto"/>
        <w:ind w:left="0" w:firstLine="420"/>
        <w:jc w:val="left"/>
      </w:pPr>
      <w:r>
        <w:rPr>
          <w:rFonts w:eastAsia="等线" w:ascii="Arial" w:cs="Arial" w:hAnsi="Arial"/>
          <w:sz w:val="22"/>
        </w:rPr>
        <w:t>（七） 系统支持：托管机构须有相应的IT系统满足管理人的业务需求。托管机构需有安全高效的清算、交割系统；</w:t>
      </w:r>
    </w:p>
    <w:p>
      <w:pPr>
        <w:spacing w:before="120" w:after="120" w:line="288" w:lineRule="auto"/>
        <w:ind w:left="0" w:firstLine="420"/>
        <w:jc w:val="left"/>
      </w:pPr>
      <w:r>
        <w:rPr>
          <w:rFonts w:eastAsia="等线" w:ascii="Arial" w:cs="Arial" w:hAnsi="Arial"/>
          <w:sz w:val="22"/>
        </w:rPr>
        <w:t>（八） 团队配备：托管机构需设有专门基金托管部门，并配备专业的托管团队，取得基金从业资格的专职人员达到法定人数；</w:t>
      </w:r>
    </w:p>
    <w:p>
      <w:pPr>
        <w:spacing w:before="120" w:after="120" w:line="288" w:lineRule="auto"/>
        <w:ind w:left="0" w:firstLine="420"/>
        <w:jc w:val="left"/>
      </w:pPr>
      <w:r>
        <w:rPr>
          <w:rFonts w:eastAsia="等线" w:ascii="Arial" w:cs="Arial" w:hAnsi="Arial"/>
          <w:sz w:val="22"/>
        </w:rPr>
        <w:t>（九） 资金安全：托管机构需有安全保管基金财产的条件；</w:t>
      </w:r>
    </w:p>
    <w:p>
      <w:pPr>
        <w:spacing w:before="120" w:after="120" w:line="288" w:lineRule="auto"/>
        <w:ind w:left="0" w:firstLine="420"/>
        <w:jc w:val="left"/>
      </w:pPr>
      <w:r>
        <w:rPr>
          <w:rFonts w:eastAsia="等线" w:ascii="Arial" w:cs="Arial" w:hAnsi="Arial"/>
          <w:sz w:val="22"/>
        </w:rPr>
        <w:t>（十） 场地安全：托管机构有符合要求的营业场所、安全防范设施和与基金托管业务有关的其他设施。</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公司托管机构的评定流程如下：</w:t>
      </w:r>
    </w:p>
    <w:p>
      <w:pPr>
        <w:spacing w:before="120" w:after="120" w:line="288" w:lineRule="auto"/>
        <w:ind w:left="0" w:firstLine="420"/>
        <w:jc w:val="left"/>
      </w:pPr>
      <w:r>
        <w:rPr>
          <w:rFonts w:eastAsia="等线" w:ascii="Arial" w:cs="Arial" w:hAnsi="Arial"/>
          <w:sz w:val="22"/>
        </w:rPr>
        <w:t>（一） 筛选：必须在具有托管资质的商业银行或其他金融机构中进行选择，前期需对托管机构进行全面了解和沟通，综合比较确定托管机构；</w:t>
      </w:r>
    </w:p>
    <w:p>
      <w:pPr>
        <w:spacing w:before="120" w:after="120" w:line="288" w:lineRule="auto"/>
        <w:ind w:left="0" w:firstLine="420"/>
        <w:jc w:val="left"/>
      </w:pPr>
      <w:r>
        <w:rPr>
          <w:rFonts w:eastAsia="等线" w:ascii="Arial" w:cs="Arial" w:hAnsi="Arial"/>
          <w:sz w:val="22"/>
        </w:rPr>
        <w:t>（二） 反馈：向拟合作的托管机构提供托管机构评估问题清单，由托管机构按要求列明资质和相关条件，在2个工作日内反馈给公司；</w:t>
      </w:r>
    </w:p>
    <w:p>
      <w:pPr>
        <w:spacing w:before="120" w:after="120" w:line="288" w:lineRule="auto"/>
        <w:ind w:left="0" w:firstLine="420"/>
        <w:jc w:val="left"/>
      </w:pPr>
      <w:r>
        <w:rPr>
          <w:rFonts w:eastAsia="等线" w:ascii="Arial" w:cs="Arial" w:hAnsi="Arial"/>
          <w:sz w:val="22"/>
        </w:rPr>
        <w:t>（三） 评估：根据托管机构提供的问题清单反馈中提及的费率等关键因素以及前期沟通了解掌握的信息进行综合评估；</w:t>
      </w:r>
    </w:p>
    <w:p>
      <w:pPr>
        <w:spacing w:before="120" w:after="120" w:line="288" w:lineRule="auto"/>
        <w:ind w:left="0" w:firstLine="420"/>
        <w:jc w:val="left"/>
      </w:pPr>
      <w:r>
        <w:rPr>
          <w:rFonts w:eastAsia="等线" w:ascii="Arial" w:cs="Arial" w:hAnsi="Arial"/>
          <w:sz w:val="22"/>
        </w:rPr>
        <w:t>（四） 选定：根据综合评估情况，选定托管机构。</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托管机构选定后，基金运营部与合规风控部应负责托管协议的起草、审定工作，协议中应明确托管机构的如下义务：</w:t>
      </w:r>
    </w:p>
    <w:p>
      <w:pPr>
        <w:spacing w:before="120" w:after="120" w:line="288" w:lineRule="auto"/>
        <w:ind w:left="0" w:firstLine="420"/>
        <w:jc w:val="left"/>
      </w:pPr>
      <w:r>
        <w:rPr>
          <w:rFonts w:eastAsia="等线" w:ascii="Arial" w:cs="Arial" w:hAnsi="Arial"/>
          <w:sz w:val="22"/>
        </w:rPr>
        <w:t>（一） 托管机构应当按照基金合同的约定，向投资者提供基金信息。托管机构的固有财产应当独立于基金财产，托管机构因基金财产的管理、运用或者其他情形而取得的财产和收益，归入基金财产；</w:t>
      </w:r>
    </w:p>
    <w:p>
      <w:pPr>
        <w:spacing w:before="120" w:after="120" w:line="288" w:lineRule="auto"/>
        <w:ind w:left="0" w:firstLine="420"/>
        <w:jc w:val="left"/>
      </w:pPr>
      <w:r>
        <w:rPr>
          <w:rFonts w:eastAsia="等线" w:ascii="Arial" w:cs="Arial" w:hAnsi="Arial"/>
          <w:sz w:val="22"/>
        </w:rPr>
        <w:t>（二） 公平地对待其管理的不同基金财产；</w:t>
      </w:r>
    </w:p>
    <w:p>
      <w:pPr>
        <w:spacing w:before="120" w:after="120" w:line="288" w:lineRule="auto"/>
        <w:ind w:left="0" w:firstLine="420"/>
        <w:jc w:val="left"/>
      </w:pPr>
      <w:r>
        <w:rPr>
          <w:rFonts w:eastAsia="等线" w:ascii="Arial" w:cs="Arial" w:hAnsi="Arial"/>
          <w:sz w:val="22"/>
        </w:rPr>
        <w:t>（三） 安全保管基金财产；</w:t>
      </w:r>
    </w:p>
    <w:p>
      <w:pPr>
        <w:spacing w:before="120" w:after="120" w:line="288" w:lineRule="auto"/>
        <w:ind w:left="0" w:firstLine="420"/>
        <w:jc w:val="left"/>
      </w:pPr>
      <w:r>
        <w:rPr>
          <w:rFonts w:eastAsia="等线" w:ascii="Arial" w:cs="Arial" w:hAnsi="Arial"/>
          <w:sz w:val="22"/>
        </w:rPr>
        <w:t>（四） 按照规定开设基金财产的资金账户和证券账户；</w:t>
      </w:r>
    </w:p>
    <w:p>
      <w:pPr>
        <w:spacing w:before="120" w:after="120" w:line="288" w:lineRule="auto"/>
        <w:ind w:left="0" w:firstLine="420"/>
        <w:jc w:val="left"/>
      </w:pPr>
      <w:r>
        <w:rPr>
          <w:rFonts w:eastAsia="等线" w:ascii="Arial" w:cs="Arial" w:hAnsi="Arial"/>
          <w:sz w:val="22"/>
        </w:rPr>
        <w:t>（五） 对所托管的不同基金财产分别设置账户，确保基金财产的完整与独立；</w:t>
      </w:r>
    </w:p>
    <w:p>
      <w:pPr>
        <w:spacing w:before="120" w:after="120" w:line="288" w:lineRule="auto"/>
        <w:ind w:left="0" w:firstLine="420"/>
        <w:jc w:val="left"/>
      </w:pPr>
      <w:r>
        <w:rPr>
          <w:rFonts w:eastAsia="等线" w:ascii="Arial" w:cs="Arial" w:hAnsi="Arial"/>
          <w:sz w:val="22"/>
        </w:rPr>
        <w:t>（六） 保存基金托管业务活动的记录、账册、报表和其他相关资料；</w:t>
      </w:r>
    </w:p>
    <w:p>
      <w:pPr>
        <w:spacing w:before="120" w:after="120" w:line="288" w:lineRule="auto"/>
        <w:ind w:left="0" w:firstLine="420"/>
        <w:jc w:val="left"/>
      </w:pPr>
      <w:r>
        <w:rPr>
          <w:rFonts w:eastAsia="等线" w:ascii="Arial" w:cs="Arial" w:hAnsi="Arial"/>
          <w:sz w:val="22"/>
        </w:rPr>
        <w:t>（七） 按照基金合同的约定，根据基金管理人的投资指令，及时办理清算、交割事宜；</w:t>
      </w:r>
    </w:p>
    <w:p>
      <w:pPr>
        <w:spacing w:before="120" w:after="120" w:line="288" w:lineRule="auto"/>
        <w:ind w:left="0" w:firstLine="420"/>
        <w:jc w:val="left"/>
      </w:pPr>
      <w:r>
        <w:rPr>
          <w:rFonts w:eastAsia="等线" w:ascii="Arial" w:cs="Arial" w:hAnsi="Arial"/>
          <w:sz w:val="22"/>
        </w:rPr>
        <w:t>（八） 办理与基金托管业务活动有关的信息披露事项；</w:t>
      </w:r>
    </w:p>
    <w:p>
      <w:pPr>
        <w:spacing w:before="120" w:after="120" w:line="288" w:lineRule="auto"/>
        <w:ind w:left="0" w:firstLine="420"/>
        <w:jc w:val="left"/>
      </w:pPr>
      <w:r>
        <w:rPr>
          <w:rFonts w:eastAsia="等线" w:ascii="Arial" w:cs="Arial" w:hAnsi="Arial"/>
          <w:sz w:val="22"/>
        </w:rPr>
        <w:t>（九） 对基金财务会计报告、中期和年度基金报告出具意见；</w:t>
      </w:r>
    </w:p>
    <w:p>
      <w:pPr>
        <w:spacing w:before="120" w:after="120" w:line="288" w:lineRule="auto"/>
        <w:ind w:left="0" w:firstLine="420"/>
        <w:jc w:val="left"/>
      </w:pPr>
      <w:r>
        <w:rPr>
          <w:rFonts w:eastAsia="等线" w:ascii="Arial" w:cs="Arial" w:hAnsi="Arial"/>
          <w:sz w:val="22"/>
        </w:rPr>
        <w:t>（十） 复核、审查基金管理人计算的基金资产净值和基金份额申购、赎回价格；</w:t>
      </w:r>
    </w:p>
    <w:p>
      <w:pPr>
        <w:spacing w:before="120" w:after="120" w:line="288" w:lineRule="auto"/>
        <w:ind w:left="0" w:firstLine="420"/>
        <w:jc w:val="left"/>
      </w:pPr>
      <w:r>
        <w:rPr>
          <w:rFonts w:eastAsia="等线" w:ascii="Arial" w:cs="Arial" w:hAnsi="Arial"/>
          <w:sz w:val="22"/>
        </w:rPr>
        <w:t>（十一） 按照规定监督基金管理人的投资运作；</w:t>
      </w:r>
    </w:p>
    <w:p>
      <w:pPr>
        <w:spacing w:before="120" w:after="120" w:line="288" w:lineRule="auto"/>
        <w:ind w:left="0" w:firstLine="420"/>
        <w:jc w:val="left"/>
      </w:pPr>
      <w:r>
        <w:rPr>
          <w:rFonts w:eastAsia="等线" w:ascii="Arial" w:cs="Arial" w:hAnsi="Arial"/>
          <w:sz w:val="22"/>
        </w:rPr>
        <w:t>（十二） 国务院证券监督管理机构规定的其他职责。</w:t>
      </w:r>
    </w:p>
    <w:p>
      <w:pPr>
        <w:spacing w:before="120" w:after="120" w:line="288" w:lineRule="auto"/>
        <w:ind w:left="0" w:firstLine="420"/>
        <w:jc w:val="left"/>
      </w:pPr>
      <w:r>
        <w:rPr>
          <w:rFonts w:eastAsia="等线" w:ascii="Arial" w:cs="Arial" w:hAnsi="Arial"/>
          <w:sz w:val="22"/>
        </w:rPr>
        <w:t>（十三） 基金托管机构不得从事内幕交易、操纵交易价格及其他不正当的交易活动。</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托管协议正式签署后，公司基金运营部应负责后续对接工作，包括不限于：根据托管机构提供的资料清单，进行托管账户的开立或委托托管机构进行托管账户的开立；负责开户资料及印鉴卡片等重要凭证的保管；督促托管机构按照托管协议要求履行托管职责。</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公司开展业务外包应根据审慎经营原则制定业务外包实施规划，外包活动范围应与公司经营水平相适宜。同时可为公司员工提供合规管理培训，增强公司员工对外包服务理解。</w:t>
      </w:r>
    </w:p>
    <w:p>
      <w:pPr>
        <w:spacing w:before="120" w:after="120" w:line="288" w:lineRule="auto"/>
        <w:ind w:left="0" w:firstLine="420"/>
        <w:jc w:val="left"/>
      </w:pPr>
      <w:r>
        <w:rPr>
          <w:rFonts w:eastAsia="等线" w:ascii="Arial" w:cs="Arial" w:hAnsi="Arial"/>
          <w:b w:val="true"/>
          <w:sz w:val="22"/>
        </w:rPr>
        <w:t xml:space="preserve">第十三条 </w:t>
      </w:r>
      <w:r>
        <w:rPr>
          <w:rFonts w:eastAsia="等线" w:ascii="Arial" w:cs="Arial" w:hAnsi="Arial"/>
          <w:sz w:val="22"/>
        </w:rPr>
        <w:t>公司可委托外包机构办理基金份额（权益）登记。办理基金份额登记业务的机构应保证登记数据的真实、准确和完整，可开立注册登记账户，用于基金投资人认（申）购资金、赎回资金和分红资金的归集、存放与交收，并设置有效机制，切实保障投资人资金安全。</w:t>
      </w:r>
    </w:p>
    <w:p>
      <w:pPr>
        <w:spacing w:before="120" w:after="120" w:line="288" w:lineRule="auto"/>
        <w:ind w:left="0" w:firstLine="420"/>
        <w:jc w:val="left"/>
      </w:pPr>
      <w:r>
        <w:rPr>
          <w:rFonts w:eastAsia="等线" w:ascii="Arial" w:cs="Arial" w:hAnsi="Arial"/>
          <w:b w:val="true"/>
          <w:sz w:val="22"/>
        </w:rPr>
        <w:t xml:space="preserve">第十四条 </w:t>
      </w:r>
      <w:r>
        <w:rPr>
          <w:rFonts w:eastAsia="等线" w:ascii="Arial" w:cs="Arial" w:hAnsi="Arial"/>
          <w:sz w:val="22"/>
        </w:rPr>
        <w:t>公司可委托外包机构办理估值核算，办理估值核算业务的机构应按照合同或协议的要求，保证估值核算的准确性和及时性。</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 xml:space="preserve">公司合规风控部负责外包机构遴选工作，遴选工作应主要核查以下内容： </w:t>
      </w:r>
    </w:p>
    <w:p>
      <w:pPr>
        <w:spacing w:before="120" w:after="120" w:line="288" w:lineRule="auto"/>
        <w:ind w:left="0" w:firstLine="420"/>
        <w:jc w:val="left"/>
      </w:pPr>
      <w:r>
        <w:rPr>
          <w:rFonts w:eastAsia="等线" w:ascii="Arial" w:cs="Arial" w:hAnsi="Arial"/>
          <w:sz w:val="22"/>
        </w:rPr>
        <w:t>（一） 品牌影响力：外包机构应品牌信誉良好，无不良记录。</w:t>
      </w:r>
    </w:p>
    <w:p>
      <w:pPr>
        <w:spacing w:before="120" w:after="120" w:line="288" w:lineRule="auto"/>
        <w:ind w:left="0" w:firstLine="420"/>
        <w:jc w:val="left"/>
      </w:pPr>
      <w:r>
        <w:rPr>
          <w:rFonts w:eastAsia="等线" w:ascii="Arial" w:cs="Arial" w:hAnsi="Arial"/>
          <w:sz w:val="22"/>
        </w:rPr>
        <w:t>（二） 外包资质：外包机构应为按照《私募投资基金服务业务管理办法（试行）》的要求到中国证券投资基金业协会备案，并加入基金业协会成为会员的机构</w:t>
      </w:r>
    </w:p>
    <w:p>
      <w:pPr>
        <w:spacing w:before="120" w:after="120" w:line="288" w:lineRule="auto"/>
        <w:ind w:left="0" w:firstLine="420"/>
        <w:jc w:val="left"/>
      </w:pPr>
      <w:r>
        <w:rPr>
          <w:rFonts w:eastAsia="等线" w:ascii="Arial" w:cs="Arial" w:hAnsi="Arial"/>
          <w:sz w:val="22"/>
        </w:rPr>
        <w:t>（三） 运营团队：外包机构应拥有稳定、专业的运营团队。外包机构及其从业人员，应当遵守法律法规及合同或协议的规定，诚实信用、勤勉尽责、恪尽职守，防止利益冲突，不得从事侵占基金资产和客户资产、利用基金未公开信息进行交易等违法违规活动。外包机构在开展外包业务的同时，提供托管服务的，应设立专门的团队，外包业务与基金托管业务团队之间应建立必要的业务隔离，有效防范潜在的利益冲突。</w:t>
      </w:r>
    </w:p>
    <w:p>
      <w:pPr>
        <w:spacing w:before="120" w:after="120" w:line="288" w:lineRule="auto"/>
        <w:ind w:left="0" w:firstLine="420"/>
        <w:jc w:val="left"/>
      </w:pPr>
      <w:r>
        <w:rPr>
          <w:rFonts w:eastAsia="等线" w:ascii="Arial" w:cs="Arial" w:hAnsi="Arial"/>
          <w:sz w:val="22"/>
        </w:rPr>
        <w:t>（四） IT系统：外包机构应拥有稳定、专业的系统开发和运维团队，系统配置完善，并且有持续优化的意愿，做好风险隔离，并定期向公司提供数据。</w:t>
      </w:r>
    </w:p>
    <w:p>
      <w:pPr>
        <w:spacing w:before="120" w:after="120" w:line="288" w:lineRule="auto"/>
        <w:ind w:left="0" w:firstLine="420"/>
        <w:jc w:val="left"/>
      </w:pPr>
      <w:r>
        <w:rPr>
          <w:rFonts w:eastAsia="等线" w:ascii="Arial" w:cs="Arial" w:hAnsi="Arial"/>
          <w:sz w:val="22"/>
        </w:rPr>
        <w:t>（五） 风控机制：外包机构应风控机制完备，并与托管业务进行办公场所与团队隔离。外包机构应具备开展外包业务的能力和风险控制能力，审慎评估外包服务的潜在风险与利益冲突，建立严格的防火墙制度与业务隔离制度，有效执行信息隔离等内部控制制度，切实防范利益输送。</w:t>
      </w:r>
    </w:p>
    <w:p>
      <w:pPr>
        <w:spacing w:before="120" w:after="120" w:line="288" w:lineRule="auto"/>
        <w:ind w:left="0" w:firstLine="420"/>
        <w:jc w:val="left"/>
      </w:pPr>
      <w:r>
        <w:rPr>
          <w:rFonts w:eastAsia="等线" w:ascii="Arial" w:cs="Arial" w:hAnsi="Arial"/>
          <w:sz w:val="22"/>
        </w:rPr>
        <w:t>（六） 资源投入：费率合理，并有意愿加大资源投入力度开展长期业务合作。</w:t>
      </w:r>
    </w:p>
    <w:p>
      <w:pPr>
        <w:spacing w:before="120" w:after="120" w:line="288" w:lineRule="auto"/>
        <w:ind w:left="0" w:firstLine="420"/>
        <w:jc w:val="left"/>
      </w:pPr>
      <w:r>
        <w:rPr>
          <w:rFonts w:eastAsia="等线" w:ascii="Arial" w:cs="Arial" w:hAnsi="Arial"/>
          <w:b w:val="true"/>
          <w:sz w:val="22"/>
        </w:rPr>
        <w:t xml:space="preserve">第十六条 </w:t>
      </w:r>
      <w:r>
        <w:rPr>
          <w:rFonts w:eastAsia="等线" w:ascii="Arial" w:cs="Arial" w:hAnsi="Arial"/>
          <w:sz w:val="22"/>
        </w:rPr>
        <w:t>公司对外包机构的评定流程如下：</w:t>
      </w:r>
    </w:p>
    <w:p>
      <w:pPr>
        <w:spacing w:before="120" w:after="120" w:line="288" w:lineRule="auto"/>
        <w:ind w:left="0" w:firstLine="420"/>
        <w:jc w:val="left"/>
      </w:pPr>
      <w:r>
        <w:rPr>
          <w:rFonts w:eastAsia="等线" w:ascii="Arial" w:cs="Arial" w:hAnsi="Arial"/>
          <w:sz w:val="22"/>
        </w:rPr>
        <w:t>（一） 尽职调查：公司在委托外包机构开展外包活动前，应根据备选外包机构的范围，对其人员配备、防火墙制度、业务隔离措施、利益输送防范措施、软硬件设施、专业能力、诚信状况、过往业绩、按时定期向基金业协会报送外包业务情况表和外包运营情况报告等情况进行全面、现场调查。</w:t>
      </w:r>
    </w:p>
    <w:p>
      <w:pPr>
        <w:spacing w:before="120" w:after="120" w:line="288" w:lineRule="auto"/>
        <w:ind w:left="0" w:firstLine="420"/>
        <w:jc w:val="left"/>
      </w:pPr>
      <w:r>
        <w:rPr>
          <w:rFonts w:eastAsia="等线" w:ascii="Arial" w:cs="Arial" w:hAnsi="Arial"/>
          <w:sz w:val="22"/>
        </w:rPr>
        <w:t>（二） 业务谈判：公司合规风控部与运营外包机构成员洽谈详细业务操作流程、费率及协议等重要因素，并达成一致意向。</w:t>
      </w:r>
    </w:p>
    <w:p>
      <w:pPr>
        <w:spacing w:before="120" w:after="120" w:line="288" w:lineRule="auto"/>
        <w:ind w:left="0" w:firstLine="420"/>
        <w:jc w:val="left"/>
      </w:pPr>
      <w:r>
        <w:rPr>
          <w:rFonts w:eastAsia="等线" w:ascii="Arial" w:cs="Arial" w:hAnsi="Arial"/>
          <w:sz w:val="22"/>
        </w:rPr>
        <w:t>（三）选定：根据实际考察结果进行综合评估，确定运营外包机构，签订书面外包服务合同及协议，明确双方权利义务及违约责任，协议条款至少应包括以下内容：</w:t>
      </w:r>
    </w:p>
    <w:p>
      <w:pPr>
        <w:spacing w:before="120" w:after="120" w:line="288" w:lineRule="auto"/>
        <w:ind w:left="0" w:firstLine="420"/>
        <w:jc w:val="left"/>
      </w:pPr>
      <w:r>
        <w:rPr>
          <w:rFonts w:eastAsia="等线" w:ascii="Arial" w:cs="Arial" w:hAnsi="Arial"/>
          <w:sz w:val="22"/>
        </w:rPr>
        <w:t>1.外包服务所涉及的基金资产和客户资产应独立于外包机构的自有财产。外包机构破产或者清算时，外包服务所涉及的基金资产和客户资产不属于其破产财产或清算财产。</w:t>
      </w:r>
    </w:p>
    <w:p>
      <w:pPr>
        <w:spacing w:before="120" w:after="120" w:line="288" w:lineRule="auto"/>
        <w:ind w:left="0" w:firstLine="420"/>
        <w:jc w:val="left"/>
      </w:pPr>
      <w:r>
        <w:rPr>
          <w:rFonts w:eastAsia="等线" w:ascii="Arial" w:cs="Arial" w:hAnsi="Arial"/>
          <w:sz w:val="22"/>
        </w:rPr>
        <w:t>2.外包机构应对提供外包业务所涉及的基金资产和客户资产实行严格的分账管理，保证提供外包业务的不同基金资产和客户资产之间、外包业务所涉基金资产和客户资产与外包机构其他业务之间的账户设置相互独立，确保基金资产和客户资产的安全、独立，任何单位或者个人不得以任何形式挪用基金资产和客户资产。</w:t>
      </w:r>
    </w:p>
    <w:p>
      <w:pPr>
        <w:spacing w:before="120" w:after="120" w:line="288" w:lineRule="auto"/>
        <w:ind w:left="0" w:firstLine="420"/>
        <w:jc w:val="left"/>
      </w:pPr>
      <w:r>
        <w:rPr>
          <w:rFonts w:eastAsia="等线" w:ascii="Arial" w:cs="Arial" w:hAnsi="Arial"/>
          <w:sz w:val="22"/>
        </w:rPr>
        <w:t>3.外包机构在开展外包业务的同时，提供托管服务的，应设立专门的团队与业务系统，外包业务与基金托管业务团队之间建立必要的业务隔离，有效防范潜在的利益冲突。</w:t>
      </w:r>
    </w:p>
    <w:p>
      <w:pPr>
        <w:spacing w:before="120" w:after="120" w:line="288" w:lineRule="auto"/>
        <w:ind w:left="0" w:firstLine="420"/>
        <w:jc w:val="left"/>
      </w:pPr>
      <w:r>
        <w:rPr>
          <w:rFonts w:eastAsia="等线" w:ascii="Arial" w:cs="Arial" w:hAnsi="Arial"/>
          <w:sz w:val="22"/>
        </w:rPr>
        <w:t>4.办理私募基金销售、销售支付业务的机构开立销售结算资金归集账户的，应由监督机构负责实施有效监督，在监督协议中明确保障投资者资金安全的连带责任条款。</w:t>
      </w:r>
    </w:p>
    <w:p>
      <w:pPr>
        <w:spacing w:before="120" w:after="120" w:line="288" w:lineRule="auto"/>
        <w:ind w:left="0" w:firstLine="420"/>
        <w:jc w:val="left"/>
      </w:pPr>
      <w:r>
        <w:rPr>
          <w:rFonts w:eastAsia="等线" w:ascii="Arial" w:cs="Arial" w:hAnsi="Arial"/>
          <w:sz w:val="22"/>
        </w:rPr>
        <w:t>5.开展基金销售业务的各参与方应签署书面协议明确各方权责。协议内容应包括对基金持有人的持续服务责任、反洗钱义务履职及责任划分、基金销售信息交换及资金交收权利义务等。</w:t>
      </w:r>
    </w:p>
    <w:p>
      <w:pPr>
        <w:spacing w:before="120" w:after="120" w:line="288" w:lineRule="auto"/>
        <w:ind w:left="0" w:firstLine="420"/>
        <w:jc w:val="left"/>
      </w:pPr>
      <w:r>
        <w:rPr>
          <w:rFonts w:eastAsia="等线" w:ascii="Arial" w:cs="Arial" w:hAnsi="Arial"/>
          <w:b w:val="true"/>
          <w:sz w:val="22"/>
        </w:rPr>
        <w:t xml:space="preserve">第十七条 </w:t>
      </w:r>
      <w:r>
        <w:rPr>
          <w:rFonts w:eastAsia="等线" w:ascii="Arial" w:cs="Arial" w:hAnsi="Arial"/>
          <w:sz w:val="22"/>
        </w:rPr>
        <w:t>外包机构及其从业人员，应当遵守法律法规及合同或协议的规定，诚实信用、勤勉尽责、恪尽职守，防止利益冲突，不得从事侵占基金资产和客户资产、利用基金未公开信息进行交易等违法违规活动。</w:t>
      </w:r>
    </w:p>
    <w:p>
      <w:pPr>
        <w:spacing w:before="120" w:after="120" w:line="288" w:lineRule="auto"/>
        <w:ind w:left="0" w:firstLine="420"/>
        <w:jc w:val="left"/>
      </w:pPr>
      <w:r>
        <w:rPr>
          <w:rFonts w:eastAsia="等线" w:ascii="Arial" w:cs="Arial" w:hAnsi="Arial"/>
          <w:b w:val="true"/>
          <w:sz w:val="22"/>
        </w:rPr>
        <w:t xml:space="preserve">第十八条 </w:t>
      </w:r>
      <w:r>
        <w:rPr>
          <w:rFonts w:eastAsia="等线" w:ascii="Arial" w:cs="Arial" w:hAnsi="Arial"/>
          <w:sz w:val="22"/>
        </w:rPr>
        <w:t>外包合同签订后，公司基金运营部负责根据项目运营实际情况，确认基金涉及的相关外包业务流程。</w:t>
      </w:r>
    </w:p>
    <w:p>
      <w:pPr>
        <w:spacing w:before="120" w:after="120" w:line="288" w:lineRule="auto"/>
        <w:ind w:left="0" w:firstLine="420"/>
        <w:jc w:val="left"/>
      </w:pPr>
      <w:r>
        <w:rPr>
          <w:rFonts w:eastAsia="等线" w:ascii="Arial" w:cs="Arial" w:hAnsi="Arial"/>
          <w:b w:val="true"/>
          <w:sz w:val="22"/>
        </w:rPr>
        <w:t xml:space="preserve">第十九条 </w:t>
      </w:r>
      <w:r>
        <w:rPr>
          <w:rFonts w:eastAsia="等线" w:ascii="Arial" w:cs="Arial" w:hAnsi="Arial"/>
          <w:sz w:val="22"/>
        </w:rPr>
        <w:t>在开展业务外包的各阶段，公司应关注外包机构是否存在与外包服务相冲突的业务，以及外包机构是否采取有效隔离措施，每年开展一次全面的外包业务风险评估。</w:t>
      </w:r>
    </w:p>
    <w:p>
      <w:pPr>
        <w:spacing w:before="120" w:after="120" w:line="288" w:lineRule="auto"/>
        <w:ind w:left="0" w:firstLine="420"/>
        <w:jc w:val="left"/>
      </w:pPr>
      <w:r>
        <w:rPr>
          <w:rFonts w:eastAsia="等线" w:ascii="Arial" w:cs="Arial" w:hAnsi="Arial"/>
          <w:b w:val="true"/>
          <w:sz w:val="22"/>
        </w:rPr>
        <w:t xml:space="preserve">第二十条 </w:t>
      </w:r>
      <w:r>
        <w:rPr>
          <w:rFonts w:eastAsia="等线" w:ascii="Arial" w:cs="Arial" w:hAnsi="Arial"/>
          <w:sz w:val="22"/>
        </w:rPr>
        <w:t>公司合规风控部应定期与托管机构和运营外包机构召开例会，定期沟通，了解托管机构是否合规运作，同时托管机构应定期向管理人提供托管报告；了解运营外包机构的人员配备情况、业务操作的专业能力、业务隔离措施、软硬件设施等基本运作情况，保证满足业务发展的实际需求。</w:t>
      </w:r>
    </w:p>
    <w:p>
      <w:pPr>
        <w:spacing w:before="120" w:after="120" w:line="288" w:lineRule="auto"/>
        <w:ind w:left="0" w:firstLine="420"/>
        <w:jc w:val="left"/>
      </w:pPr>
      <w:r>
        <w:rPr>
          <w:rFonts w:eastAsia="等线" w:ascii="Arial" w:cs="Arial" w:hAnsi="Arial"/>
          <w:b w:val="true"/>
          <w:sz w:val="22"/>
        </w:rPr>
        <w:t xml:space="preserve">第二十一条 </w:t>
      </w:r>
      <w:r>
        <w:rPr>
          <w:rFonts w:eastAsia="等线" w:ascii="Arial" w:cs="Arial" w:hAnsi="Arial"/>
          <w:sz w:val="22"/>
        </w:rPr>
        <w:t>公司合规风控部应根据签订的托管协议及外包服务协议，不定期考察托管机构及运营外包机构是否严格按合同履行其义务和职责，如若发现未履行或履行不严格，可对其发出口头或书面的警告，情节严重的，可发送公函或律师函。</w:t>
      </w:r>
    </w:p>
    <w:p>
      <w:pPr>
        <w:spacing w:before="120" w:after="120" w:line="288" w:lineRule="auto"/>
        <w:ind w:left="0" w:firstLine="420"/>
        <w:jc w:val="left"/>
      </w:pPr>
      <w:r>
        <w:rPr>
          <w:rFonts w:eastAsia="等线" w:ascii="Arial" w:cs="Arial" w:hAnsi="Arial"/>
          <w:b w:val="true"/>
          <w:sz w:val="22"/>
        </w:rPr>
        <w:t xml:space="preserve">第二十二条 </w:t>
      </w:r>
      <w:r>
        <w:rPr>
          <w:rFonts w:eastAsia="等线" w:ascii="Arial" w:cs="Arial" w:hAnsi="Arial"/>
          <w:sz w:val="22"/>
        </w:rPr>
        <w:t>公司合规风控部应对外包业务报送情况进行监督。根据《私募投资基金服务业务管理办法（试行）》，外包机构应在规定时间内内向基金业协会报送外包业务情况表和外包运营情况报告。</w:t>
      </w:r>
    </w:p>
    <w:p>
      <w:pPr>
        <w:spacing w:before="120" w:after="120" w:line="288" w:lineRule="auto"/>
        <w:ind w:left="0" w:firstLine="420"/>
        <w:jc w:val="left"/>
      </w:pPr>
      <w:r>
        <w:rPr>
          <w:rFonts w:eastAsia="等线" w:ascii="Arial" w:cs="Arial" w:hAnsi="Arial"/>
          <w:b w:val="true"/>
          <w:sz w:val="22"/>
        </w:rPr>
        <w:t xml:space="preserve">第二十三条 </w:t>
      </w:r>
      <w:r>
        <w:rPr>
          <w:rFonts w:eastAsia="等线" w:ascii="Arial" w:cs="Arial" w:hAnsi="Arial"/>
          <w:sz w:val="22"/>
        </w:rPr>
        <w:t>本制度依据现行有效的法律、法规的有关规定而制定，公司将适时根据有关法律、法规的要求和公司业务的发展作进一步的调整和完善；如遇有关法律、法规作出调整与本制度不一致时，公司将依据新的法律、法规的规定执行。</w:t>
      </w:r>
    </w:p>
    <w:p>
      <w:pPr>
        <w:spacing w:before="120" w:after="120" w:line="288" w:lineRule="auto"/>
        <w:ind w:left="0" w:firstLine="420"/>
        <w:jc w:val="left"/>
      </w:pPr>
      <w:r>
        <w:rPr>
          <w:rFonts w:eastAsia="等线" w:ascii="Arial" w:cs="Arial" w:hAnsi="Arial"/>
          <w:b w:val="true"/>
          <w:sz w:val="22"/>
        </w:rPr>
        <w:t>第二十四条</w:t>
      </w:r>
      <w:r>
        <w:rPr>
          <w:rFonts w:eastAsia="等线" w:ascii="Arial" w:cs="Arial" w:hAnsi="Arial"/>
          <w:sz w:val="22"/>
        </w:rPr>
        <w:t xml:space="preserve"> 本制度由合规风控部负责解释和修订，经董事审议批准自发布之日起生效施行。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5" w:id="15"/>
      <w:r>
        <w:rPr>
          <w:rFonts w:eastAsia="等线" w:ascii="Arial" w:cs="Arial" w:hAnsi="Arial"/>
          <w:b w:val="true"/>
          <w:sz w:val="30"/>
        </w:rPr>
        <w:t>第九节 项目尽职调查以及估值制度</w:t>
      </w:r>
      <w:bookmarkEnd w:id="15"/>
    </w:p>
    <w:p>
      <w:pPr>
        <w:spacing w:before="120" w:after="120" w:line="288" w:lineRule="auto"/>
        <w:ind w:left="0" w:firstLine="420"/>
        <w:jc w:val="left"/>
      </w:pPr>
      <w:r>
        <w:rPr>
          <w:rFonts w:eastAsia="等线" w:ascii="Arial" w:cs="Arial" w:hAnsi="Arial"/>
          <w:sz w:val="22"/>
        </w:rPr>
        <w:t>为规范公司尽职调查行为，提高公司尽职调查效率，结合公司实际情况，特制订本制度。</w:t>
      </w:r>
    </w:p>
    <w:p>
      <w:pPr>
        <w:spacing w:before="120" w:after="120" w:line="288" w:lineRule="auto"/>
        <w:ind w:left="0" w:firstLine="420"/>
        <w:jc w:val="left"/>
      </w:pPr>
      <w:r>
        <w:rPr>
          <w:rFonts w:eastAsia="等线" w:ascii="Arial" w:cs="Arial" w:hAnsi="Arial"/>
          <w:b w:val="true"/>
          <w:sz w:val="22"/>
        </w:rPr>
        <w:t>第一条 立项</w:t>
      </w:r>
    </w:p>
    <w:p>
      <w:pPr>
        <w:spacing w:before="120" w:after="120" w:line="288" w:lineRule="auto"/>
        <w:ind w:left="0" w:firstLine="420"/>
        <w:jc w:val="left"/>
      </w:pPr>
      <w:r>
        <w:rPr>
          <w:rFonts w:eastAsia="等线" w:ascii="Arial" w:cs="Arial" w:hAnsi="Arial"/>
          <w:sz w:val="22"/>
        </w:rPr>
        <w:t>公司投资管理部根据项目投资计划，确定项目部成员，召开尽职调查会议，制定具体调查方案，并拟定调查资料清单。</w:t>
      </w:r>
    </w:p>
    <w:p>
      <w:pPr>
        <w:spacing w:before="120" w:after="120" w:line="288" w:lineRule="auto"/>
        <w:ind w:left="0" w:firstLine="420"/>
        <w:jc w:val="left"/>
      </w:pPr>
      <w:r>
        <w:rPr>
          <w:rFonts w:eastAsia="等线" w:ascii="Arial" w:cs="Arial" w:hAnsi="Arial"/>
          <w:sz w:val="22"/>
        </w:rPr>
        <w:t>1、</w:t>
      </w:r>
      <w:r>
        <w:rPr>
          <w:rFonts w:eastAsia="等线" w:ascii="Arial" w:cs="Arial" w:hAnsi="Arial"/>
          <w:b w:val="true"/>
          <w:sz w:val="22"/>
        </w:rPr>
        <w:t>项目部成员的确定</w:t>
      </w:r>
    </w:p>
    <w:p>
      <w:pPr>
        <w:spacing w:before="120" w:after="120" w:line="288" w:lineRule="auto"/>
        <w:ind w:left="0" w:firstLine="420"/>
        <w:jc w:val="left"/>
      </w:pPr>
      <w:r>
        <w:rPr>
          <w:rFonts w:eastAsia="等线" w:ascii="Arial" w:cs="Arial" w:hAnsi="Arial"/>
          <w:sz w:val="22"/>
        </w:rPr>
        <w:t>投资管理部收到尽职调查任务后立即拟定项目部成员名单，并报送投资决策委员会，投资决策委员会无异议的，投资管理部召开首次尽职调查会议。</w:t>
      </w:r>
    </w:p>
    <w:p>
      <w:pPr>
        <w:spacing w:before="120" w:after="120" w:line="288" w:lineRule="auto"/>
        <w:ind w:left="0" w:firstLine="420"/>
        <w:jc w:val="left"/>
      </w:pPr>
      <w:r>
        <w:rPr>
          <w:rFonts w:eastAsia="等线" w:ascii="Arial" w:cs="Arial" w:hAnsi="Arial"/>
          <w:sz w:val="22"/>
        </w:rPr>
        <w:t>首次尽职调查会议根据投资决策委员会的意见确定项目项目部成员，明确各成员的分工和职责。</w:t>
      </w:r>
    </w:p>
    <w:p>
      <w:pPr>
        <w:spacing w:before="120" w:after="120" w:line="288" w:lineRule="auto"/>
        <w:ind w:left="0" w:firstLine="420"/>
        <w:jc w:val="left"/>
      </w:pPr>
      <w:r>
        <w:rPr>
          <w:rFonts w:eastAsia="等线" w:ascii="Arial" w:cs="Arial" w:hAnsi="Arial"/>
          <w:sz w:val="22"/>
        </w:rPr>
        <w:t>调查人员应当根据项目投资计划的要求开展调查，项目部成员应当忠于客观事实，为投资决策委员会制定投资决策提供法律风险评估依据。与投资项目涉及利害关系的调查人员，采用回避原则。</w:t>
      </w:r>
    </w:p>
    <w:p>
      <w:pPr>
        <w:spacing w:before="120" w:after="120" w:line="288" w:lineRule="auto"/>
        <w:ind w:left="0" w:firstLine="420"/>
        <w:jc w:val="left"/>
      </w:pPr>
      <w:r>
        <w:rPr>
          <w:rFonts w:eastAsia="等线" w:ascii="Arial" w:cs="Arial" w:hAnsi="Arial"/>
          <w:b w:val="true"/>
          <w:sz w:val="22"/>
        </w:rPr>
        <w:t>2、制定调查方案</w:t>
      </w:r>
    </w:p>
    <w:p>
      <w:pPr>
        <w:spacing w:before="120" w:after="120" w:line="288" w:lineRule="auto"/>
        <w:ind w:left="0" w:firstLine="420"/>
        <w:jc w:val="left"/>
      </w:pPr>
      <w:r>
        <w:rPr>
          <w:rFonts w:eastAsia="等线" w:ascii="Arial" w:cs="Arial" w:hAnsi="Arial"/>
          <w:sz w:val="22"/>
        </w:rPr>
        <w:t>项目部根据项目投资计划，确定调查方式、计划、进度。</w:t>
      </w:r>
    </w:p>
    <w:p>
      <w:pPr>
        <w:spacing w:before="120" w:after="120" w:line="288" w:lineRule="auto"/>
        <w:ind w:left="0" w:firstLine="420"/>
        <w:jc w:val="left"/>
      </w:pPr>
      <w:r>
        <w:rPr>
          <w:rFonts w:eastAsia="等线" w:ascii="Arial" w:cs="Arial" w:hAnsi="Arial"/>
          <w:b w:val="true"/>
          <w:sz w:val="22"/>
        </w:rPr>
        <w:t>3、拟定调查清单</w:t>
      </w:r>
    </w:p>
    <w:p>
      <w:pPr>
        <w:spacing w:before="120" w:after="120" w:line="288" w:lineRule="auto"/>
        <w:ind w:left="0" w:firstLine="420"/>
        <w:jc w:val="left"/>
      </w:pPr>
      <w:r>
        <w:rPr>
          <w:rFonts w:eastAsia="等线" w:ascii="Arial" w:cs="Arial" w:hAnsi="Arial"/>
          <w:sz w:val="22"/>
        </w:rPr>
        <w:t>项目部根据项目投资合作方式和合作深度拟定具体的调查材料清单。</w:t>
      </w:r>
    </w:p>
    <w:p>
      <w:pPr>
        <w:spacing w:before="120" w:after="120" w:line="288" w:lineRule="auto"/>
        <w:ind w:left="0" w:firstLine="420"/>
        <w:jc w:val="left"/>
      </w:pPr>
      <w:r>
        <w:rPr>
          <w:rFonts w:eastAsia="等线" w:ascii="Arial" w:cs="Arial" w:hAnsi="Arial"/>
          <w:b w:val="true"/>
          <w:sz w:val="22"/>
        </w:rPr>
        <w:t>第二条 调前准备</w:t>
      </w:r>
    </w:p>
    <w:p>
      <w:pPr>
        <w:spacing w:before="120" w:after="120" w:line="288" w:lineRule="auto"/>
        <w:ind w:left="0" w:firstLine="420"/>
        <w:jc w:val="left"/>
      </w:pPr>
      <w:r>
        <w:rPr>
          <w:rFonts w:eastAsia="等线" w:ascii="Arial" w:cs="Arial" w:hAnsi="Arial"/>
          <w:sz w:val="22"/>
        </w:rPr>
        <w:t>项目部人员开展尽职调查工作前向目标公司邮寄或出示下列文件，供目标公司提前准备相应资料：</w:t>
      </w:r>
    </w:p>
    <w:p>
      <w:pPr>
        <w:spacing w:before="120" w:after="120" w:line="288" w:lineRule="auto"/>
        <w:ind w:left="0" w:firstLine="420"/>
        <w:jc w:val="left"/>
      </w:pPr>
      <w:r>
        <w:rPr>
          <w:rFonts w:eastAsia="等线" w:ascii="Arial" w:cs="Arial" w:hAnsi="Arial"/>
          <w:sz w:val="22"/>
        </w:rPr>
        <w:t>1、《关于商请协助开展尽职调查的函》（详见附件1）；</w:t>
      </w:r>
    </w:p>
    <w:p>
      <w:pPr>
        <w:spacing w:before="120" w:after="120" w:line="288" w:lineRule="auto"/>
        <w:ind w:left="0" w:firstLine="420"/>
        <w:jc w:val="left"/>
      </w:pPr>
      <w:r>
        <w:rPr>
          <w:rFonts w:eastAsia="等线" w:ascii="Arial" w:cs="Arial" w:hAnsi="Arial"/>
          <w:sz w:val="22"/>
        </w:rPr>
        <w:t>2、《协助调查人员声明、承诺与保证书》（详见附件2）；</w:t>
      </w:r>
    </w:p>
    <w:p>
      <w:pPr>
        <w:spacing w:before="120" w:after="120" w:line="288" w:lineRule="auto"/>
        <w:ind w:left="0" w:firstLine="420"/>
        <w:jc w:val="left"/>
      </w:pPr>
      <w:r>
        <w:rPr>
          <w:rFonts w:eastAsia="等线" w:ascii="Arial" w:cs="Arial" w:hAnsi="Arial"/>
          <w:sz w:val="22"/>
        </w:rPr>
        <w:t>3、《保密协议》；</w:t>
      </w:r>
    </w:p>
    <w:p>
      <w:pPr>
        <w:spacing w:before="120" w:after="120" w:line="288" w:lineRule="auto"/>
        <w:ind w:left="0" w:firstLine="420"/>
        <w:jc w:val="left"/>
      </w:pPr>
      <w:r>
        <w:rPr>
          <w:rFonts w:eastAsia="等线" w:ascii="Arial" w:cs="Arial" w:hAnsi="Arial"/>
          <w:sz w:val="22"/>
        </w:rPr>
        <w:t>4、《尽职调查文件资料清单》。</w:t>
      </w:r>
    </w:p>
    <w:p>
      <w:pPr>
        <w:spacing w:before="120" w:after="120" w:line="288" w:lineRule="auto"/>
        <w:ind w:left="0" w:firstLine="420"/>
        <w:jc w:val="left"/>
      </w:pPr>
      <w:r>
        <w:rPr>
          <w:rFonts w:eastAsia="等线" w:ascii="Arial" w:cs="Arial" w:hAnsi="Arial"/>
          <w:b w:val="true"/>
          <w:sz w:val="22"/>
        </w:rPr>
        <w:t>第三条 尽职调查</w:t>
      </w:r>
    </w:p>
    <w:p>
      <w:pPr>
        <w:spacing w:before="120" w:after="120" w:line="288" w:lineRule="auto"/>
        <w:ind w:left="0" w:firstLine="420"/>
        <w:jc w:val="left"/>
      </w:pPr>
      <w:r>
        <w:rPr>
          <w:rFonts w:eastAsia="等线" w:ascii="Arial" w:cs="Arial" w:hAnsi="Arial"/>
          <w:b w:val="true"/>
          <w:sz w:val="22"/>
        </w:rPr>
        <w:t>1、资料、文件的审查</w:t>
      </w:r>
    </w:p>
    <w:p>
      <w:pPr>
        <w:spacing w:before="120" w:after="120" w:line="288" w:lineRule="auto"/>
        <w:ind w:left="0" w:firstLine="420"/>
        <w:jc w:val="left"/>
      </w:pPr>
      <w:r>
        <w:rPr>
          <w:rFonts w:eastAsia="等线" w:ascii="Arial" w:cs="Arial" w:hAnsi="Arial"/>
          <w:sz w:val="22"/>
        </w:rPr>
        <w:t>项目部各成员根据各自分工和职责开展尽职调查，审阅目标公司提供的资料、文件，分析潜在的风险，作好审阅笔记，形成尽调工作底稿；对于目标公司未提供的资料、资料提供不全、情况不详的，调查人员应当及时要求目标公司给予解释说明并出具书面的情况说明，并加盖目标公司公章。</w:t>
      </w:r>
    </w:p>
    <w:p>
      <w:pPr>
        <w:spacing w:before="120" w:after="120" w:line="288" w:lineRule="auto"/>
        <w:ind w:left="0" w:firstLine="420"/>
        <w:jc w:val="left"/>
      </w:pPr>
      <w:r>
        <w:rPr>
          <w:rFonts w:eastAsia="等线" w:ascii="Arial" w:cs="Arial" w:hAnsi="Arial"/>
          <w:sz w:val="22"/>
        </w:rPr>
        <w:t>调查人员应按照行业通行的规定和公认的标准在调查中尽到勤勉和注意义务，存在疑问的，应及时要求目标公司给予解释或说明，并作好询问笔录。</w:t>
      </w:r>
    </w:p>
    <w:p>
      <w:pPr>
        <w:spacing w:before="120" w:after="120" w:line="288" w:lineRule="auto"/>
        <w:ind w:left="0" w:firstLine="420"/>
        <w:jc w:val="left"/>
      </w:pPr>
      <w:r>
        <w:rPr>
          <w:rFonts w:eastAsia="等线" w:ascii="Arial" w:cs="Arial" w:hAnsi="Arial"/>
          <w:sz w:val="22"/>
        </w:rPr>
        <w:t>项目资料、文件存在疑问的，调查人员应及时与其他调查人员沟通、求证，作好记录。</w:t>
      </w:r>
    </w:p>
    <w:p>
      <w:pPr>
        <w:spacing w:before="120" w:after="120" w:line="288" w:lineRule="auto"/>
        <w:ind w:left="0" w:firstLine="420"/>
        <w:jc w:val="left"/>
      </w:pPr>
      <w:r>
        <w:rPr>
          <w:rFonts w:eastAsia="等线" w:ascii="Arial" w:cs="Arial" w:hAnsi="Arial"/>
          <w:sz w:val="22"/>
        </w:rPr>
        <w:t>对投资计划有重要影响的资料、文件，应当请求目标公司提供复印件，并加盖公章。</w:t>
      </w:r>
    </w:p>
    <w:p>
      <w:pPr>
        <w:spacing w:before="120" w:after="120" w:line="288" w:lineRule="auto"/>
        <w:ind w:left="0" w:firstLine="420"/>
        <w:jc w:val="left"/>
      </w:pPr>
      <w:r>
        <w:rPr>
          <w:rFonts w:eastAsia="等线" w:ascii="Arial" w:cs="Arial" w:hAnsi="Arial"/>
          <w:b w:val="true"/>
          <w:sz w:val="22"/>
        </w:rPr>
        <w:t>2、现场调查</w:t>
      </w:r>
    </w:p>
    <w:p>
      <w:pPr>
        <w:spacing w:before="120" w:after="120" w:line="288" w:lineRule="auto"/>
        <w:ind w:left="0" w:firstLine="420"/>
        <w:jc w:val="left"/>
      </w:pPr>
      <w:r>
        <w:rPr>
          <w:rFonts w:eastAsia="等线" w:ascii="Arial" w:cs="Arial" w:hAnsi="Arial"/>
          <w:sz w:val="22"/>
        </w:rPr>
        <w:t>调查人员应深入目标公司生产、经营场所进行实地调查，必要时应当对其关联方、主要上下游客户经营场所等进行实地调查。</w:t>
      </w:r>
    </w:p>
    <w:p>
      <w:pPr>
        <w:spacing w:before="120" w:after="120" w:line="288" w:lineRule="auto"/>
        <w:ind w:left="0" w:firstLine="420"/>
        <w:jc w:val="left"/>
      </w:pPr>
      <w:r>
        <w:rPr>
          <w:rFonts w:eastAsia="等线" w:ascii="Arial" w:cs="Arial" w:hAnsi="Arial"/>
          <w:sz w:val="22"/>
        </w:rPr>
        <w:t>对于目标公司主要的实物资产须现场查核，结合目标公司提供的实物资产的权属证明材料、文件、合同，判断实物资产权属状态、实际价值、使用情况，作好相应记录。</w:t>
      </w:r>
    </w:p>
    <w:p>
      <w:pPr>
        <w:spacing w:before="120" w:after="120" w:line="288" w:lineRule="auto"/>
        <w:ind w:left="0" w:firstLine="420"/>
        <w:jc w:val="left"/>
      </w:pPr>
      <w:r>
        <w:rPr>
          <w:rFonts w:eastAsia="等线" w:ascii="Arial" w:cs="Arial" w:hAnsi="Arial"/>
          <w:sz w:val="22"/>
        </w:rPr>
        <w:t>若项目公司为实业或科技公司，则对生产、经营现场进行观摩，了解产品生产、经营工艺和流程，留意生产、经营的饱和度、设施设备的维护情况等。</w:t>
      </w:r>
    </w:p>
    <w:p>
      <w:pPr>
        <w:spacing w:before="120" w:after="120" w:line="288" w:lineRule="auto"/>
        <w:ind w:left="0" w:firstLine="420"/>
        <w:jc w:val="left"/>
      </w:pPr>
      <w:r>
        <w:rPr>
          <w:rFonts w:eastAsia="等线" w:ascii="Arial" w:cs="Arial" w:hAnsi="Arial"/>
          <w:sz w:val="22"/>
        </w:rPr>
        <w:t>若项目公司为互联网公司，则对业务、经营现场进行观摩，了解业务、经营的流程，留意经营的饱和度、产品的流量。</w:t>
      </w:r>
    </w:p>
    <w:p>
      <w:pPr>
        <w:spacing w:before="120" w:after="120" w:line="288" w:lineRule="auto"/>
        <w:ind w:left="0" w:firstLine="420"/>
        <w:jc w:val="left"/>
      </w:pPr>
      <w:r>
        <w:rPr>
          <w:rFonts w:eastAsia="等线" w:ascii="Arial" w:cs="Arial" w:hAnsi="Arial"/>
          <w:sz w:val="22"/>
        </w:rPr>
        <w:t>留心调查现场中的细节问题，对异常情况要反复甄别，不得片面听取目标公司的口头介绍或承诺，对没有确切依据的数据要保守估算。调查人员根据调查提纲进行现场调查时，对于一般性的问题可以采取个别抽查推断的方式，对于异常及重点问题需全面核实，取得充分的依据。</w:t>
      </w:r>
    </w:p>
    <w:p>
      <w:pPr>
        <w:spacing w:before="120" w:after="120" w:line="288" w:lineRule="auto"/>
        <w:ind w:left="0" w:firstLine="420"/>
        <w:jc w:val="left"/>
      </w:pPr>
      <w:r>
        <w:rPr>
          <w:rFonts w:eastAsia="等线" w:ascii="Arial" w:cs="Arial" w:hAnsi="Arial"/>
          <w:sz w:val="22"/>
        </w:rPr>
        <w:t>目标公司的经营、建设等关键问题涉及到政府部门的，须咨询政府职能部门。</w:t>
      </w:r>
    </w:p>
    <w:p>
      <w:pPr>
        <w:spacing w:before="120" w:after="120" w:line="288" w:lineRule="auto"/>
        <w:ind w:left="0" w:firstLine="420"/>
        <w:jc w:val="left"/>
      </w:pPr>
      <w:r>
        <w:rPr>
          <w:rFonts w:eastAsia="等线" w:ascii="Arial" w:cs="Arial" w:hAnsi="Arial"/>
          <w:b w:val="true"/>
          <w:sz w:val="22"/>
        </w:rPr>
        <w:t>3、尽职调查工作底稿的内容及要求</w:t>
      </w:r>
    </w:p>
    <w:p>
      <w:pPr>
        <w:spacing w:before="120" w:after="120" w:line="288" w:lineRule="auto"/>
        <w:ind w:left="0" w:firstLine="420"/>
        <w:jc w:val="left"/>
      </w:pPr>
      <w:r>
        <w:rPr>
          <w:rFonts w:eastAsia="等线" w:ascii="Arial" w:cs="Arial" w:hAnsi="Arial"/>
          <w:sz w:val="22"/>
        </w:rPr>
        <w:t>尽职调查人员在尽职调查过程中，应将整理的资料形成尽职调查工作底稿。尽职调查工作底稿至少应包括工作记录和重要资料两部分。工作底稿要求内容完整、记录清晰、结论明确。</w:t>
      </w:r>
    </w:p>
    <w:p>
      <w:pPr>
        <w:spacing w:before="120" w:after="120" w:line="288" w:lineRule="auto"/>
        <w:ind w:left="0" w:firstLine="420"/>
        <w:jc w:val="left"/>
      </w:pPr>
      <w:r>
        <w:rPr>
          <w:rFonts w:eastAsia="等线" w:ascii="Arial" w:cs="Arial" w:hAnsi="Arial"/>
          <w:sz w:val="22"/>
        </w:rPr>
        <w:t>工作记录用于记录调查过程、调查内容、方法和结论等；工作记录至少包括：目标公司名称、调查时间、调查地点、调查人员、调查过程、调查内容、方法和结论、其他应说明的事项等。</w:t>
      </w:r>
    </w:p>
    <w:p>
      <w:pPr>
        <w:spacing w:before="120" w:after="120" w:line="288" w:lineRule="auto"/>
        <w:ind w:left="0" w:firstLine="420"/>
        <w:jc w:val="left"/>
      </w:pPr>
      <w:r>
        <w:rPr>
          <w:rFonts w:eastAsia="等线" w:ascii="Arial" w:cs="Arial" w:hAnsi="Arial"/>
          <w:sz w:val="22"/>
        </w:rPr>
        <w:t>重要资料是尽职项目部在尽职调查过程中取得或制作的、能够证明所实施的调查工作、支持调查结论的相关资料。</w:t>
      </w:r>
    </w:p>
    <w:p>
      <w:pPr>
        <w:spacing w:before="120" w:after="120" w:line="288" w:lineRule="auto"/>
        <w:ind w:left="0" w:firstLine="420"/>
        <w:jc w:val="left"/>
      </w:pPr>
      <w:r>
        <w:rPr>
          <w:rFonts w:eastAsia="等线" w:ascii="Arial" w:cs="Arial" w:hAnsi="Arial"/>
          <w:sz w:val="22"/>
        </w:rPr>
        <w:t>对于从目标公司或第三方取得并经确认的相关资料应当有资料提供方的签章。</w:t>
      </w:r>
    </w:p>
    <w:p>
      <w:pPr>
        <w:spacing w:before="120" w:after="120" w:line="288" w:lineRule="auto"/>
        <w:ind w:left="0" w:firstLine="420"/>
        <w:jc w:val="left"/>
      </w:pPr>
      <w:r>
        <w:rPr>
          <w:rFonts w:eastAsia="等线" w:ascii="Arial" w:cs="Arial" w:hAnsi="Arial"/>
          <w:sz w:val="22"/>
        </w:rPr>
        <w:t>工作底稿可以纸质文档、电子文档或者其他介质形式的文档留存，其中重要的工作底稿应采用纸质文档的形式。以纸质以外的其它介质形式存在的工作底稿，应以可独立保存的形式留存。</w:t>
      </w:r>
    </w:p>
    <w:p>
      <w:pPr>
        <w:spacing w:before="120" w:after="120" w:line="288" w:lineRule="auto"/>
        <w:ind w:left="0" w:firstLine="420"/>
        <w:jc w:val="left"/>
      </w:pPr>
      <w:r>
        <w:rPr>
          <w:rFonts w:eastAsia="等线" w:ascii="Arial" w:cs="Arial" w:hAnsi="Arial"/>
          <w:b w:val="true"/>
          <w:sz w:val="22"/>
        </w:rPr>
        <w:t>第四条 尽职调查报告合成、定稿</w:t>
      </w:r>
    </w:p>
    <w:p>
      <w:pPr>
        <w:spacing w:before="120" w:after="120" w:line="288" w:lineRule="auto"/>
        <w:ind w:left="0" w:firstLine="420"/>
        <w:jc w:val="left"/>
      </w:pPr>
      <w:r>
        <w:rPr>
          <w:rFonts w:eastAsia="等线" w:ascii="Arial" w:cs="Arial" w:hAnsi="Arial"/>
          <w:sz w:val="22"/>
        </w:rPr>
        <w:t>调查人员根据工作底稿、询问笔录、项目资料撰写尽职调查报告。</w:t>
      </w:r>
    </w:p>
    <w:p>
      <w:pPr>
        <w:spacing w:before="120" w:after="120" w:line="288" w:lineRule="auto"/>
        <w:ind w:left="0" w:firstLine="420"/>
        <w:jc w:val="left"/>
      </w:pPr>
      <w:r>
        <w:rPr>
          <w:rFonts w:eastAsia="等线" w:ascii="Arial" w:cs="Arial" w:hAnsi="Arial"/>
          <w:sz w:val="22"/>
        </w:rPr>
        <w:t>尽职调查报告的顺序根据《尽职调查文件资料清单》确定，报告的具体科目须满足“一科目，一报告，一评析”的要求，即对于每一个科目附载调查实况描述，对每一个科目附载风险小结。</w:t>
      </w:r>
    </w:p>
    <w:p>
      <w:pPr>
        <w:spacing w:before="120" w:after="120" w:line="288" w:lineRule="auto"/>
        <w:ind w:left="0" w:firstLine="420"/>
        <w:jc w:val="left"/>
      </w:pPr>
      <w:r>
        <w:rPr>
          <w:rFonts w:eastAsia="等线" w:ascii="Arial" w:cs="Arial" w:hAnsi="Arial"/>
          <w:sz w:val="22"/>
        </w:rPr>
        <w:t>项目部代表汇总各调查成员的报告，对尽职调查报告进行合成，形成定稿文本。</w:t>
      </w:r>
    </w:p>
    <w:p>
      <w:pPr>
        <w:spacing w:before="120" w:after="120" w:line="288" w:lineRule="auto"/>
        <w:ind w:left="0" w:firstLine="420"/>
        <w:jc w:val="left"/>
      </w:pPr>
      <w:r>
        <w:rPr>
          <w:rFonts w:eastAsia="等线" w:ascii="Arial" w:cs="Arial" w:hAnsi="Arial"/>
          <w:b w:val="true"/>
          <w:sz w:val="22"/>
        </w:rPr>
        <w:t>第五条 尽调报告的审阅与项目估值</w:t>
      </w:r>
    </w:p>
    <w:p>
      <w:pPr>
        <w:spacing w:before="120" w:after="120" w:line="288" w:lineRule="auto"/>
        <w:ind w:left="0" w:firstLine="420"/>
        <w:jc w:val="left"/>
      </w:pPr>
      <w:r>
        <w:rPr>
          <w:rFonts w:eastAsia="等线" w:ascii="Arial" w:cs="Arial" w:hAnsi="Arial"/>
          <w:sz w:val="22"/>
        </w:rPr>
        <w:t>项目部将尽职调查报告的确定稿交投资决策委员会和风险控制委员会审阅，接受投资决策委员会和风险控制委员会的质询，就项目潜在的风险给予阐述和解答。</w:t>
      </w:r>
    </w:p>
    <w:p>
      <w:pPr>
        <w:spacing w:before="120" w:after="120" w:line="288" w:lineRule="auto"/>
        <w:ind w:left="0" w:firstLine="420"/>
        <w:jc w:val="left"/>
      </w:pPr>
      <w:r>
        <w:rPr>
          <w:rFonts w:eastAsia="等线" w:ascii="Arial" w:cs="Arial" w:hAnsi="Arial"/>
          <w:sz w:val="22"/>
        </w:rPr>
        <w:t>项目部在尽职调查报告中，应结合尽职调查情况、行业未来发展、项目公司商业模式以及市场法、收益法、成本法等估值方法对项目公司进行估值。投资决策委员会和风险控制委员会对估值价格的合理性进行审核评判。</w:t>
      </w:r>
    </w:p>
    <w:p>
      <w:pPr>
        <w:spacing w:before="120" w:after="120" w:line="288" w:lineRule="auto"/>
        <w:ind w:left="0" w:firstLine="420"/>
        <w:jc w:val="left"/>
      </w:pPr>
      <w:r>
        <w:rPr>
          <w:rFonts w:eastAsia="等线" w:ascii="Arial" w:cs="Arial" w:hAnsi="Arial"/>
          <w:b w:val="true"/>
          <w:sz w:val="22"/>
        </w:rPr>
        <w:t>第六条 项目投资协议的起草、定稿</w:t>
      </w:r>
    </w:p>
    <w:p>
      <w:pPr>
        <w:spacing w:before="120" w:after="120" w:line="288" w:lineRule="auto"/>
        <w:ind w:left="0" w:firstLine="420"/>
        <w:jc w:val="left"/>
      </w:pPr>
      <w:r>
        <w:rPr>
          <w:rFonts w:eastAsia="等线" w:ascii="Arial" w:cs="Arial" w:hAnsi="Arial"/>
          <w:sz w:val="22"/>
        </w:rPr>
        <w:t>投资决策委员会和风险控制委员会表决通过的投资项目，投资管理部应当立即根据项目历次会议纪要、合作要求、项目尽职调查工作底稿，起草项目投资协议。</w:t>
      </w:r>
    </w:p>
    <w:p>
      <w:pPr>
        <w:spacing w:before="120" w:after="120" w:line="288" w:lineRule="auto"/>
        <w:ind w:left="0" w:firstLine="420"/>
        <w:jc w:val="left"/>
      </w:pPr>
      <w:r>
        <w:rPr>
          <w:rFonts w:eastAsia="等线" w:ascii="Arial" w:cs="Arial" w:hAnsi="Arial"/>
          <w:sz w:val="22"/>
        </w:rPr>
        <w:t>合规风控部负责对项目投资协议进行审阅并定稿。</w:t>
      </w:r>
    </w:p>
    <w:p>
      <w:pPr>
        <w:spacing w:before="120" w:after="120" w:line="288" w:lineRule="auto"/>
        <w:ind w:left="0" w:firstLine="420"/>
        <w:jc w:val="left"/>
      </w:pPr>
      <w:r>
        <w:rPr>
          <w:rFonts w:eastAsia="等线" w:ascii="Arial" w:cs="Arial" w:hAnsi="Arial"/>
          <w:b w:val="true"/>
          <w:sz w:val="22"/>
        </w:rPr>
        <w:t>第七条 资料整理、归档</w:t>
      </w:r>
    </w:p>
    <w:p>
      <w:pPr>
        <w:spacing w:before="120" w:after="120" w:line="288" w:lineRule="auto"/>
        <w:ind w:left="0" w:firstLine="420"/>
        <w:jc w:val="left"/>
      </w:pPr>
      <w:r>
        <w:rPr>
          <w:rFonts w:eastAsia="等线" w:ascii="Arial" w:cs="Arial" w:hAnsi="Arial"/>
          <w:sz w:val="22"/>
        </w:rPr>
        <w:t>投资管理部根据《尽职调查文件资料清单》的顺序整理资料，装订档案，编制档案索引目录。</w:t>
      </w:r>
    </w:p>
    <w:p>
      <w:pPr>
        <w:spacing w:before="120" w:after="120" w:line="288" w:lineRule="auto"/>
        <w:ind w:left="0" w:firstLine="420"/>
        <w:jc w:val="left"/>
      </w:pPr>
      <w:r>
        <w:rPr>
          <w:rFonts w:eastAsia="等线" w:ascii="Arial" w:cs="Arial" w:hAnsi="Arial"/>
          <w:sz w:val="22"/>
        </w:rPr>
        <w:t>档案装订完成后，按照公司规定，交由综合管理部集中管理。</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6" w:id="16"/>
      <w:r>
        <w:rPr>
          <w:rFonts w:eastAsia="等线" w:ascii="Arial" w:cs="Arial" w:hAnsi="Arial"/>
          <w:b w:val="true"/>
          <w:sz w:val="30"/>
        </w:rPr>
        <w:t xml:space="preserve">第十节 关联交易管理制度 </w:t>
      </w:r>
      <w:bookmarkEnd w:id="16"/>
    </w:p>
    <w:p>
      <w:pPr>
        <w:spacing w:before="120" w:after="120" w:line="288" w:lineRule="auto"/>
        <w:ind w:left="0" w:firstLine="0"/>
        <w:jc w:val="left"/>
      </w:pPr>
      <w:r>
        <w:rPr>
          <w:rFonts w:eastAsia="等线" w:ascii="Arial" w:cs="Arial" w:hAnsi="Arial"/>
          <w:b w:val="true"/>
          <w:sz w:val="22"/>
        </w:rPr>
        <w:t xml:space="preserve">第一条 </w:t>
      </w:r>
      <w:r>
        <w:rPr>
          <w:rFonts w:eastAsia="等线" w:ascii="Arial" w:cs="Arial" w:hAnsi="Arial"/>
          <w:sz w:val="22"/>
        </w:rPr>
        <w:t xml:space="preserve">为规范上海同登九和私募基金管理有限公司（以下简称“本公司”）所管理的私募产品运作及公司经营活动中的关联交易，保障投资人的合法权益，确保公司及全体股东的利益，根据《中华人民共和国公司法》、《中华人民共和国证券投资基金法》、《私募投资基金监督管理条例》、《私募投资基金监督管理暂行办法》、《私募基金管理人内部控制指引》、《私募投资基金登记备案办法》及《公司章程》等有关规定，结合公司实际情况，特制定本制度。 </w:t>
      </w:r>
    </w:p>
    <w:p>
      <w:pPr>
        <w:spacing w:before="120" w:after="120" w:line="288" w:lineRule="auto"/>
        <w:ind w:left="0" w:firstLine="0"/>
        <w:jc w:val="left"/>
      </w:pPr>
      <w:r>
        <w:rPr>
          <w:rFonts w:eastAsia="等线" w:ascii="Arial" w:cs="Arial" w:hAnsi="Arial"/>
          <w:b w:val="true"/>
          <w:sz w:val="22"/>
        </w:rPr>
        <w:t xml:space="preserve">第二条 </w:t>
      </w:r>
      <w:r>
        <w:rPr>
          <w:rFonts w:eastAsia="等线" w:ascii="Arial" w:cs="Arial" w:hAnsi="Arial"/>
          <w:sz w:val="22"/>
        </w:rPr>
        <w:t>关联交易应当遵循以下基本原则</w:t>
      </w:r>
    </w:p>
    <w:p>
      <w:pPr>
        <w:spacing w:before="120" w:after="120" w:line="288" w:lineRule="auto"/>
        <w:ind w:left="0" w:firstLine="0"/>
        <w:jc w:val="left"/>
      </w:pPr>
      <w:r>
        <w:rPr>
          <w:rFonts w:eastAsia="等线" w:ascii="Arial" w:cs="Arial" w:hAnsi="Arial"/>
          <w:sz w:val="22"/>
        </w:rPr>
        <w:t xml:space="preserve">2.1 诚实信用与避免利益冲突的原则，最大限度地保护投资人和公司的利益； </w:t>
      </w:r>
    </w:p>
    <w:p>
      <w:pPr>
        <w:spacing w:before="120" w:after="120" w:line="288" w:lineRule="auto"/>
        <w:ind w:left="0" w:firstLine="0"/>
        <w:jc w:val="left"/>
      </w:pPr>
      <w:r>
        <w:rPr>
          <w:rFonts w:eastAsia="等线" w:ascii="Arial" w:cs="Arial" w:hAnsi="Arial"/>
          <w:sz w:val="22"/>
        </w:rPr>
        <w:t xml:space="preserve">2.2 利害关系人回避的原则； </w:t>
      </w:r>
    </w:p>
    <w:p>
      <w:pPr>
        <w:spacing w:before="120" w:after="120" w:line="288" w:lineRule="auto"/>
        <w:ind w:left="0" w:firstLine="0"/>
        <w:jc w:val="left"/>
      </w:pPr>
      <w:r>
        <w:rPr>
          <w:rFonts w:eastAsia="等线" w:ascii="Arial" w:cs="Arial" w:hAnsi="Arial"/>
          <w:sz w:val="22"/>
        </w:rPr>
        <w:t xml:space="preserve">2.3 遵循诚实信用、平等自愿、等价有偿的原则就任何关联方交易签订书面协议， 协议内容明确、具体； </w:t>
      </w:r>
    </w:p>
    <w:p>
      <w:pPr>
        <w:spacing w:before="120" w:after="120" w:line="288" w:lineRule="auto"/>
        <w:ind w:left="0" w:firstLine="0"/>
        <w:jc w:val="left"/>
      </w:pPr>
      <w:r>
        <w:rPr>
          <w:rFonts w:eastAsia="等线" w:ascii="Arial" w:cs="Arial" w:hAnsi="Arial"/>
          <w:sz w:val="22"/>
        </w:rPr>
        <w:t xml:space="preserve">2.4 尽力避免公司任何股东或公司股东的其他关联方通过任何关联方交易垄断公司销售或其他业务渠道、或干涉公司运营或损害公司利益的原则； </w:t>
      </w:r>
    </w:p>
    <w:p>
      <w:pPr>
        <w:spacing w:before="120" w:after="120" w:line="288" w:lineRule="auto"/>
        <w:ind w:left="0" w:firstLine="0"/>
        <w:jc w:val="left"/>
      </w:pPr>
      <w:r>
        <w:rPr>
          <w:rFonts w:eastAsia="等线" w:ascii="Arial" w:cs="Arial" w:hAnsi="Arial"/>
          <w:sz w:val="22"/>
        </w:rPr>
        <w:t xml:space="preserve">2.5 遵循商业惯例，公平交易的原则。 </w:t>
      </w:r>
    </w:p>
    <w:p>
      <w:pPr>
        <w:spacing w:before="120" w:after="120" w:line="288" w:lineRule="auto"/>
        <w:ind w:left="0" w:firstLine="0"/>
        <w:jc w:val="left"/>
      </w:pPr>
      <w:r>
        <w:rPr>
          <w:rFonts w:eastAsia="等线" w:ascii="Arial" w:cs="Arial" w:hAnsi="Arial"/>
          <w:b w:val="true"/>
          <w:sz w:val="22"/>
        </w:rPr>
        <w:t xml:space="preserve">第三条 </w:t>
      </w:r>
      <w:r>
        <w:rPr>
          <w:rFonts w:eastAsia="等线" w:ascii="Arial" w:cs="Arial" w:hAnsi="Arial"/>
          <w:sz w:val="22"/>
        </w:rPr>
        <w:t xml:space="preserve">关联交易应当遵守法律法规、中国基金业协会及《公司章程》的有关规定。关联交易应当以不优于对非关联方同类交易的条件进行。 </w:t>
      </w:r>
    </w:p>
    <w:p>
      <w:pPr>
        <w:spacing w:before="120" w:after="120" w:line="288" w:lineRule="auto"/>
        <w:ind w:left="0" w:firstLine="0"/>
        <w:jc w:val="left"/>
      </w:pPr>
      <w:r>
        <w:rPr>
          <w:rFonts w:eastAsia="等线" w:ascii="Arial" w:cs="Arial" w:hAnsi="Arial"/>
          <w:b w:val="true"/>
          <w:sz w:val="22"/>
        </w:rPr>
        <w:t xml:space="preserve">第四条 </w:t>
      </w:r>
      <w:r>
        <w:rPr>
          <w:rFonts w:eastAsia="等线" w:ascii="Arial" w:cs="Arial" w:hAnsi="Arial"/>
          <w:sz w:val="22"/>
        </w:rPr>
        <w:t xml:space="preserve">禁止从事不正当的关联交易，确保投资人和公司的利益不受侵害。 </w:t>
      </w:r>
    </w:p>
    <w:p>
      <w:pPr>
        <w:spacing w:before="120" w:after="120" w:line="288" w:lineRule="auto"/>
        <w:ind w:left="0" w:firstLine="0"/>
        <w:jc w:val="left"/>
      </w:pPr>
      <w:r>
        <w:rPr>
          <w:rFonts w:eastAsia="等线" w:ascii="Arial" w:cs="Arial" w:hAnsi="Arial"/>
          <w:b w:val="true"/>
          <w:sz w:val="22"/>
        </w:rPr>
        <w:t xml:space="preserve">第五条 </w:t>
      </w:r>
      <w:r>
        <w:rPr>
          <w:rFonts w:eastAsia="等线" w:ascii="Arial" w:cs="Arial" w:hAnsi="Arial"/>
          <w:sz w:val="22"/>
        </w:rPr>
        <w:t xml:space="preserve">基金关联方及关联交易公司管理的私募投资基金（以下简称“基金”）的关联方主要包括：基金管理人以及基金管理人管理的私募基金，基金管理人管理的私募基金控股的机构，基金管理人的控股股东、控股股东管理的账户以及与控股股东有上下游控股关系的机构和个人，基金管理人的子公司以及子公司管理的账户，基金托管人以及与托管人有上下游控股关系的机构和个人，与基金管理人或托管人有重大利害关系的机构。 </w:t>
      </w:r>
    </w:p>
    <w:p>
      <w:pPr>
        <w:spacing w:before="120" w:after="120" w:line="288" w:lineRule="auto"/>
        <w:ind w:left="0" w:firstLine="0"/>
        <w:jc w:val="left"/>
      </w:pPr>
      <w:r>
        <w:rPr>
          <w:rFonts w:eastAsia="等线" w:ascii="Arial" w:cs="Arial" w:hAnsi="Arial"/>
          <w:b w:val="true"/>
          <w:sz w:val="22"/>
        </w:rPr>
        <w:t xml:space="preserve">第六条 </w:t>
      </w:r>
      <w:r>
        <w:rPr>
          <w:rFonts w:eastAsia="等线" w:ascii="Arial" w:cs="Arial" w:hAnsi="Arial"/>
          <w:sz w:val="22"/>
        </w:rPr>
        <w:t xml:space="preserve">根据是否为法律所禁止这一标准，基金关联交易分为禁止性关联交易和非禁止性关联交易。 </w:t>
      </w:r>
    </w:p>
    <w:p>
      <w:pPr>
        <w:spacing w:before="120" w:after="120" w:line="288" w:lineRule="auto"/>
        <w:ind w:left="0" w:firstLine="0"/>
        <w:jc w:val="left"/>
      </w:pPr>
      <w:r>
        <w:rPr>
          <w:rFonts w:eastAsia="等线" w:ascii="Arial" w:cs="Arial" w:hAnsi="Arial"/>
          <w:b w:val="true"/>
          <w:sz w:val="22"/>
        </w:rPr>
        <w:t xml:space="preserve">第七条 </w:t>
      </w:r>
      <w:r>
        <w:rPr>
          <w:rFonts w:eastAsia="等线" w:ascii="Arial" w:cs="Arial" w:hAnsi="Arial"/>
          <w:sz w:val="22"/>
        </w:rPr>
        <w:t xml:space="preserve">基金的关联方与基金之间的交易视为基金的关联交易，包括但不限于： </w:t>
      </w:r>
    </w:p>
    <w:p>
      <w:pPr>
        <w:spacing w:before="120" w:after="120" w:line="288" w:lineRule="auto"/>
        <w:ind w:left="0" w:firstLine="0"/>
        <w:jc w:val="left"/>
      </w:pPr>
      <w:r>
        <w:rPr>
          <w:rFonts w:eastAsia="等线" w:ascii="Arial" w:cs="Arial" w:hAnsi="Arial"/>
          <w:sz w:val="22"/>
        </w:rPr>
        <w:t xml:space="preserve">7.1 向基金关联方支付报酬； </w:t>
      </w:r>
    </w:p>
    <w:p>
      <w:pPr>
        <w:spacing w:before="120" w:after="120" w:line="288" w:lineRule="auto"/>
        <w:ind w:left="0" w:firstLine="0"/>
        <w:jc w:val="left"/>
      </w:pPr>
      <w:r>
        <w:rPr>
          <w:rFonts w:eastAsia="等线" w:ascii="Arial" w:cs="Arial" w:hAnsi="Arial"/>
          <w:sz w:val="22"/>
        </w:rPr>
        <w:t xml:space="preserve">7.2 其他导致基金与关联方之间利益转移的活动。 </w:t>
      </w:r>
    </w:p>
    <w:p>
      <w:pPr>
        <w:spacing w:before="120" w:after="120" w:line="288" w:lineRule="auto"/>
        <w:ind w:left="0" w:firstLine="0"/>
        <w:jc w:val="left"/>
      </w:pPr>
      <w:r>
        <w:rPr>
          <w:rFonts w:eastAsia="等线" w:ascii="Arial" w:cs="Arial" w:hAnsi="Arial"/>
          <w:b w:val="true"/>
          <w:sz w:val="22"/>
        </w:rPr>
        <w:t xml:space="preserve">第八条 </w:t>
      </w:r>
      <w:r>
        <w:rPr>
          <w:rFonts w:eastAsia="等线" w:ascii="Arial" w:cs="Arial" w:hAnsi="Arial"/>
          <w:sz w:val="22"/>
        </w:rPr>
        <w:t xml:space="preserve">基金的禁止性关联交易包括： </w:t>
      </w:r>
    </w:p>
    <w:p>
      <w:pPr>
        <w:spacing w:before="120" w:after="120" w:line="288" w:lineRule="auto"/>
        <w:ind w:left="0" w:firstLine="0"/>
        <w:jc w:val="left"/>
      </w:pPr>
      <w:r>
        <w:rPr>
          <w:rFonts w:eastAsia="等线" w:ascii="Arial" w:cs="Arial" w:hAnsi="Arial"/>
          <w:sz w:val="22"/>
        </w:rPr>
        <w:t xml:space="preserve">8.1 以基金财产向本公司或基金托管人出资； </w:t>
      </w:r>
    </w:p>
    <w:p>
      <w:pPr>
        <w:spacing w:before="120" w:after="120" w:line="288" w:lineRule="auto"/>
        <w:ind w:left="0" w:firstLine="0"/>
        <w:jc w:val="left"/>
      </w:pPr>
      <w:r>
        <w:rPr>
          <w:rFonts w:eastAsia="等线" w:ascii="Arial" w:cs="Arial" w:hAnsi="Arial"/>
          <w:sz w:val="22"/>
        </w:rPr>
        <w:t xml:space="preserve">8.2 法律法规、证监会及基金业协会禁止的其他关联交易。 </w:t>
      </w:r>
    </w:p>
    <w:p>
      <w:pPr>
        <w:spacing w:before="120" w:after="120" w:line="288" w:lineRule="auto"/>
        <w:ind w:left="0" w:firstLine="0"/>
        <w:jc w:val="left"/>
      </w:pPr>
      <w:r>
        <w:rPr>
          <w:rFonts w:eastAsia="等线" w:ascii="Arial" w:cs="Arial" w:hAnsi="Arial"/>
          <w:b w:val="true"/>
          <w:sz w:val="22"/>
        </w:rPr>
        <w:t xml:space="preserve">第九条 </w:t>
      </w:r>
      <w:r>
        <w:rPr>
          <w:rFonts w:eastAsia="等线" w:ascii="Arial" w:cs="Arial" w:hAnsi="Arial"/>
          <w:sz w:val="22"/>
        </w:rPr>
        <w:t xml:space="preserve">本制度所提到的“控股股东”是指：出资额占本公司或基金托管人资本总额50%以上，或者出资额虽然不足50%，但依其出资额或者持有的股份所享有的表决权已足以对股东会、股东大会的决议产生重大影响的股东。如持有本公司或基金托管人股权比例最高的两个或两个以上的彼此不构成关联方的股东持有或控制相同比例的表决权资本，则本公司或基金托管人的任何股东均非控股股东。 </w:t>
      </w:r>
    </w:p>
    <w:p>
      <w:pPr>
        <w:spacing w:before="120" w:after="120" w:line="288" w:lineRule="auto"/>
        <w:ind w:left="0" w:firstLine="0"/>
        <w:jc w:val="left"/>
      </w:pPr>
      <w:r>
        <w:rPr>
          <w:rFonts w:eastAsia="等线" w:ascii="Arial" w:cs="Arial" w:hAnsi="Arial"/>
          <w:b w:val="true"/>
          <w:sz w:val="22"/>
        </w:rPr>
        <w:t xml:space="preserve">第十条 </w:t>
      </w:r>
      <w:r>
        <w:rPr>
          <w:rFonts w:eastAsia="等线" w:ascii="Arial" w:cs="Arial" w:hAnsi="Arial"/>
          <w:sz w:val="22"/>
        </w:rPr>
        <w:t xml:space="preserve">本制度所提到的“重大利害关系”是指：交易对方与本公司或基金托管人之间具有的重要的利益依赖关系，以致可以影响本公司对基金投资的决策。 </w:t>
      </w:r>
    </w:p>
    <w:p>
      <w:pPr>
        <w:spacing w:before="120" w:after="120" w:line="288" w:lineRule="auto"/>
        <w:ind w:left="0" w:firstLine="0"/>
        <w:jc w:val="left"/>
      </w:pPr>
      <w:r>
        <w:rPr>
          <w:rFonts w:eastAsia="等线" w:ascii="Arial" w:cs="Arial" w:hAnsi="Arial"/>
          <w:sz w:val="22"/>
        </w:rPr>
        <w:t xml:space="preserve">法律法规、中国证监会或基金业协会对“重大利害关系”有其他判断标准的，以其标准为准。 </w:t>
      </w:r>
    </w:p>
    <w:p>
      <w:pPr>
        <w:spacing w:before="120" w:after="120" w:line="288" w:lineRule="auto"/>
        <w:ind w:left="0" w:firstLine="0"/>
        <w:jc w:val="left"/>
      </w:pPr>
      <w:r>
        <w:rPr>
          <w:rFonts w:eastAsia="等线" w:ascii="Arial" w:cs="Arial" w:hAnsi="Arial"/>
          <w:b w:val="true"/>
          <w:sz w:val="22"/>
        </w:rPr>
        <w:t xml:space="preserve">第十一条 </w:t>
      </w:r>
      <w:r>
        <w:rPr>
          <w:rFonts w:eastAsia="等线" w:ascii="Arial" w:cs="Arial" w:hAnsi="Arial"/>
          <w:sz w:val="22"/>
        </w:rPr>
        <w:t xml:space="preserve">基金的非禁止性关联交易：除第八条中提到的情形外，基金与关联方之间的其他交易视为非禁止性关联交易。 </w:t>
      </w:r>
    </w:p>
    <w:p>
      <w:pPr>
        <w:spacing w:before="120" w:after="120" w:line="288" w:lineRule="auto"/>
        <w:ind w:left="0" w:firstLine="0"/>
        <w:jc w:val="left"/>
      </w:pPr>
      <w:r>
        <w:rPr>
          <w:rFonts w:eastAsia="等线" w:ascii="Arial" w:cs="Arial" w:hAnsi="Arial"/>
          <w:b w:val="true"/>
          <w:sz w:val="22"/>
        </w:rPr>
        <w:t xml:space="preserve">第十二条 </w:t>
      </w:r>
      <w:r>
        <w:rPr>
          <w:rFonts w:eastAsia="等线" w:ascii="Arial" w:cs="Arial" w:hAnsi="Arial"/>
          <w:sz w:val="22"/>
        </w:rPr>
        <w:t xml:space="preserve">中国法律、中国证监会或中国基金业协会对上述关联方交易另有规定的，以其规定为准。 </w:t>
      </w:r>
      <w:r>
        <w:rPr>
          <w:rFonts w:eastAsia="等线" w:ascii="Arial" w:cs="Arial" w:hAnsi="Arial"/>
          <w:b w:val="true"/>
          <w:sz w:val="22"/>
        </w:rPr>
        <w:t xml:space="preserve"> </w:t>
      </w:r>
    </w:p>
    <w:p>
      <w:pPr>
        <w:spacing w:before="120" w:after="120" w:line="288" w:lineRule="auto"/>
        <w:ind w:left="0" w:firstLine="0"/>
        <w:jc w:val="left"/>
      </w:pPr>
      <w:r>
        <w:rPr>
          <w:rFonts w:eastAsia="等线" w:ascii="Arial" w:cs="Arial" w:hAnsi="Arial"/>
          <w:b w:val="true"/>
          <w:sz w:val="22"/>
        </w:rPr>
        <w:t xml:space="preserve">第十三条 </w:t>
      </w:r>
      <w:r>
        <w:rPr>
          <w:rFonts w:eastAsia="等线" w:ascii="Arial" w:cs="Arial" w:hAnsi="Arial"/>
          <w:sz w:val="22"/>
        </w:rPr>
        <w:t xml:space="preserve">公司的关联方主要包括： </w:t>
      </w:r>
    </w:p>
    <w:p>
      <w:pPr>
        <w:spacing w:before="120" w:after="120" w:line="288" w:lineRule="auto"/>
        <w:ind w:left="0" w:firstLine="0"/>
        <w:jc w:val="left"/>
      </w:pPr>
      <w:r>
        <w:rPr>
          <w:rFonts w:eastAsia="等线" w:ascii="Arial" w:cs="Arial" w:hAnsi="Arial"/>
          <w:sz w:val="22"/>
        </w:rPr>
        <w:t xml:space="preserve">13.1 公司的股东。 </w:t>
      </w:r>
    </w:p>
    <w:p>
      <w:pPr>
        <w:spacing w:before="120" w:after="120" w:line="288" w:lineRule="auto"/>
        <w:ind w:left="0" w:firstLine="0"/>
        <w:jc w:val="left"/>
      </w:pPr>
      <w:r>
        <w:rPr>
          <w:rFonts w:eastAsia="等线" w:ascii="Arial" w:cs="Arial" w:hAnsi="Arial"/>
          <w:sz w:val="22"/>
        </w:rPr>
        <w:t xml:space="preserve">13.2 公司的股东控制、与他人共同控制或施加重大影响的法人或其他组织。 </w:t>
      </w:r>
    </w:p>
    <w:p>
      <w:pPr>
        <w:spacing w:before="120" w:after="120" w:line="288" w:lineRule="auto"/>
        <w:ind w:left="0" w:firstLine="0"/>
        <w:jc w:val="left"/>
      </w:pPr>
      <w:r>
        <w:rPr>
          <w:rFonts w:eastAsia="等线" w:ascii="Arial" w:cs="Arial" w:hAnsi="Arial"/>
          <w:sz w:val="22"/>
        </w:rPr>
        <w:t xml:space="preserve">13.3 公司控制、与他人共同控制或施加重大影响的法人或其他组织。 </w:t>
      </w:r>
    </w:p>
    <w:p>
      <w:pPr>
        <w:spacing w:before="120" w:after="120" w:line="288" w:lineRule="auto"/>
        <w:ind w:left="0" w:firstLine="0"/>
        <w:jc w:val="left"/>
      </w:pPr>
      <w:r>
        <w:rPr>
          <w:rFonts w:eastAsia="等线" w:ascii="Arial" w:cs="Arial" w:hAnsi="Arial"/>
          <w:sz w:val="22"/>
        </w:rPr>
        <w:t>13.4 公司或其股东的关键管理人员及与其关系密切的家庭成员。关键管理人员，是指有权力并负责计划、指挥和控制企业活动的人员。与主要投资者个人或关键管理人员关系密切的家庭成员，是指在处理与企业的交易时可能影响该个人或受该个人影响的家庭成员。</w:t>
      </w:r>
    </w:p>
    <w:p>
      <w:pPr>
        <w:spacing w:before="120" w:after="120" w:line="288" w:lineRule="auto"/>
        <w:ind w:left="0" w:firstLine="0"/>
        <w:jc w:val="left"/>
      </w:pPr>
      <w:r>
        <w:rPr>
          <w:rFonts w:eastAsia="等线" w:ascii="Arial" w:cs="Arial" w:hAnsi="Arial"/>
          <w:sz w:val="22"/>
        </w:rPr>
        <w:t xml:space="preserve">13.5 公司关键管理人员或与其关系密切的家庭成员控制、共同控制或施加重大影响的其他企业。 </w:t>
      </w:r>
    </w:p>
    <w:p>
      <w:pPr>
        <w:spacing w:before="120" w:after="120" w:line="288" w:lineRule="auto"/>
        <w:ind w:left="0" w:firstLine="0"/>
        <w:jc w:val="left"/>
      </w:pPr>
      <w:r>
        <w:rPr>
          <w:rFonts w:eastAsia="等线" w:ascii="Arial" w:cs="Arial" w:hAnsi="Arial"/>
          <w:sz w:val="22"/>
        </w:rPr>
        <w:t xml:space="preserve">13.6 公司所管理的基金或其它资产/账户。 </w:t>
      </w:r>
    </w:p>
    <w:p>
      <w:pPr>
        <w:spacing w:before="120" w:after="120" w:line="288" w:lineRule="auto"/>
        <w:ind w:left="0" w:firstLine="0"/>
        <w:jc w:val="left"/>
      </w:pPr>
      <w:r>
        <w:rPr>
          <w:rFonts w:eastAsia="等线" w:ascii="Arial" w:cs="Arial" w:hAnsi="Arial"/>
          <w:sz w:val="22"/>
        </w:rPr>
        <w:t xml:space="preserve">13.7 其他不属于上述1至6项规定的关联方范围，但是能够对公司施加重大影响，不按市场独立第三方价格或者收费标准与公司进行交易的自然人、法人或者其他组织。 </w:t>
      </w:r>
    </w:p>
    <w:p>
      <w:pPr>
        <w:spacing w:before="120" w:after="120" w:line="288" w:lineRule="auto"/>
        <w:ind w:left="0" w:firstLine="0"/>
        <w:jc w:val="left"/>
      </w:pPr>
      <w:r>
        <w:rPr>
          <w:rFonts w:eastAsia="等线" w:ascii="Arial" w:cs="Arial" w:hAnsi="Arial"/>
          <w:b w:val="true"/>
          <w:sz w:val="22"/>
        </w:rPr>
        <w:t xml:space="preserve">第十四条 </w:t>
      </w:r>
      <w:r>
        <w:rPr>
          <w:rFonts w:eastAsia="等线" w:ascii="Arial" w:cs="Arial" w:hAnsi="Arial"/>
          <w:sz w:val="22"/>
        </w:rPr>
        <w:t xml:space="preserve">公司的关联交易是指公司与关联方之间发生转移资源或义务的事项，通常包括： </w:t>
      </w:r>
    </w:p>
    <w:p>
      <w:pPr>
        <w:spacing w:before="120" w:after="120" w:line="288" w:lineRule="auto"/>
        <w:ind w:left="0" w:firstLine="0"/>
        <w:jc w:val="left"/>
      </w:pPr>
      <w:r>
        <w:rPr>
          <w:rFonts w:eastAsia="等线" w:ascii="Arial" w:cs="Arial" w:hAnsi="Arial"/>
          <w:sz w:val="22"/>
        </w:rPr>
        <w:t xml:space="preserve">14.1 购买或销售商品。 </w:t>
      </w:r>
    </w:p>
    <w:p>
      <w:pPr>
        <w:spacing w:before="120" w:after="120" w:line="288" w:lineRule="auto"/>
        <w:ind w:left="0" w:firstLine="0"/>
        <w:jc w:val="left"/>
      </w:pPr>
      <w:r>
        <w:rPr>
          <w:rFonts w:eastAsia="等线" w:ascii="Arial" w:cs="Arial" w:hAnsi="Arial"/>
          <w:sz w:val="22"/>
        </w:rPr>
        <w:t xml:space="preserve">14.2 购买或销售商品以外的其他资产。 </w:t>
      </w:r>
    </w:p>
    <w:p>
      <w:pPr>
        <w:spacing w:before="120" w:after="120" w:line="288" w:lineRule="auto"/>
        <w:ind w:left="0" w:firstLine="0"/>
        <w:jc w:val="left"/>
      </w:pPr>
      <w:r>
        <w:rPr>
          <w:rFonts w:eastAsia="等线" w:ascii="Arial" w:cs="Arial" w:hAnsi="Arial"/>
          <w:sz w:val="22"/>
        </w:rPr>
        <w:t xml:space="preserve">14.3 提供或接受劳务。 </w:t>
      </w:r>
    </w:p>
    <w:p>
      <w:pPr>
        <w:spacing w:before="120" w:after="120" w:line="288" w:lineRule="auto"/>
        <w:ind w:left="0" w:firstLine="0"/>
        <w:jc w:val="left"/>
      </w:pPr>
      <w:r>
        <w:rPr>
          <w:rFonts w:eastAsia="等线" w:ascii="Arial" w:cs="Arial" w:hAnsi="Arial"/>
          <w:sz w:val="22"/>
        </w:rPr>
        <w:t xml:space="preserve">14.4 担保。 </w:t>
      </w:r>
    </w:p>
    <w:p>
      <w:pPr>
        <w:spacing w:before="120" w:after="120" w:line="288" w:lineRule="auto"/>
        <w:ind w:left="0" w:firstLine="0"/>
        <w:jc w:val="left"/>
      </w:pPr>
      <w:r>
        <w:rPr>
          <w:rFonts w:eastAsia="等线" w:ascii="Arial" w:cs="Arial" w:hAnsi="Arial"/>
          <w:sz w:val="22"/>
        </w:rPr>
        <w:t xml:space="preserve">14.5 提供资金（贷款或股权投资）。 </w:t>
      </w:r>
    </w:p>
    <w:p>
      <w:pPr>
        <w:spacing w:before="120" w:after="120" w:line="288" w:lineRule="auto"/>
        <w:ind w:left="0" w:firstLine="0"/>
        <w:jc w:val="left"/>
      </w:pPr>
      <w:r>
        <w:rPr>
          <w:rFonts w:eastAsia="等线" w:ascii="Arial" w:cs="Arial" w:hAnsi="Arial"/>
          <w:sz w:val="22"/>
        </w:rPr>
        <w:t xml:space="preserve">14.6 租赁。 </w:t>
      </w:r>
    </w:p>
    <w:p>
      <w:pPr>
        <w:spacing w:before="120" w:after="120" w:line="288" w:lineRule="auto"/>
        <w:ind w:left="0" w:firstLine="0"/>
        <w:jc w:val="left"/>
      </w:pPr>
      <w:r>
        <w:rPr>
          <w:rFonts w:eastAsia="等线" w:ascii="Arial" w:cs="Arial" w:hAnsi="Arial"/>
          <w:sz w:val="22"/>
        </w:rPr>
        <w:t xml:space="preserve">14.7 代理。 </w:t>
      </w:r>
    </w:p>
    <w:p>
      <w:pPr>
        <w:spacing w:before="120" w:after="120" w:line="288" w:lineRule="auto"/>
        <w:ind w:left="0" w:firstLine="0"/>
        <w:jc w:val="left"/>
      </w:pPr>
      <w:r>
        <w:rPr>
          <w:rFonts w:eastAsia="等线" w:ascii="Arial" w:cs="Arial" w:hAnsi="Arial"/>
          <w:sz w:val="22"/>
        </w:rPr>
        <w:t xml:space="preserve">14.8 研究与开发项目的转移。 </w:t>
      </w:r>
    </w:p>
    <w:p>
      <w:pPr>
        <w:spacing w:before="120" w:after="120" w:line="288" w:lineRule="auto"/>
        <w:ind w:left="0" w:firstLine="0"/>
        <w:jc w:val="left"/>
      </w:pPr>
      <w:r>
        <w:rPr>
          <w:rFonts w:eastAsia="等线" w:ascii="Arial" w:cs="Arial" w:hAnsi="Arial"/>
          <w:sz w:val="22"/>
        </w:rPr>
        <w:t xml:space="preserve">14.9 许可协议。 </w:t>
      </w:r>
    </w:p>
    <w:p>
      <w:pPr>
        <w:spacing w:before="120" w:after="120" w:line="288" w:lineRule="auto"/>
        <w:ind w:left="0" w:firstLine="0"/>
        <w:jc w:val="left"/>
      </w:pPr>
      <w:r>
        <w:rPr>
          <w:rFonts w:eastAsia="等线" w:ascii="Arial" w:cs="Arial" w:hAnsi="Arial"/>
          <w:sz w:val="22"/>
        </w:rPr>
        <w:t xml:space="preserve">14.10 代表企业或由企业代表另一方进行债务结算。 </w:t>
      </w:r>
    </w:p>
    <w:p>
      <w:pPr>
        <w:spacing w:before="120" w:after="120" w:line="288" w:lineRule="auto"/>
        <w:ind w:left="0" w:firstLine="0"/>
        <w:jc w:val="left"/>
      </w:pPr>
      <w:r>
        <w:rPr>
          <w:rFonts w:eastAsia="等线" w:ascii="Arial" w:cs="Arial" w:hAnsi="Arial"/>
          <w:sz w:val="22"/>
        </w:rPr>
        <w:t xml:space="preserve">14.11 支付关键管理人员薪酬。 </w:t>
      </w:r>
    </w:p>
    <w:p>
      <w:pPr>
        <w:spacing w:before="120" w:after="120" w:line="288" w:lineRule="auto"/>
        <w:ind w:left="0" w:firstLine="0"/>
        <w:jc w:val="left"/>
      </w:pPr>
      <w:r>
        <w:rPr>
          <w:rFonts w:eastAsia="等线" w:ascii="Arial" w:cs="Arial" w:hAnsi="Arial"/>
          <w:sz w:val="22"/>
        </w:rPr>
        <w:t xml:space="preserve">14.12 其他导致公司利益转移的交易活动。 </w:t>
      </w:r>
    </w:p>
    <w:p>
      <w:pPr>
        <w:spacing w:before="120" w:after="120" w:line="288" w:lineRule="auto"/>
        <w:ind w:left="0" w:firstLine="0"/>
        <w:jc w:val="left"/>
      </w:pPr>
      <w:r>
        <w:rPr>
          <w:rFonts w:eastAsia="等线" w:ascii="Arial" w:cs="Arial" w:hAnsi="Arial"/>
          <w:b w:val="true"/>
          <w:sz w:val="22"/>
        </w:rPr>
        <w:t xml:space="preserve">第十五条 </w:t>
      </w:r>
      <w:r>
        <w:rPr>
          <w:rFonts w:eastAsia="等线" w:ascii="Arial" w:cs="Arial" w:hAnsi="Arial"/>
          <w:sz w:val="22"/>
        </w:rPr>
        <w:t xml:space="preserve">公司在进行交易时，要区分正当关联交易与不正当关联交易。 所谓正当关联交易是指：满足正常的经营和业务合作需要、按公平合理的交易价格和交易条件交易，按规定程序进行报告、董事会审议和信息披露。在公允商业条件下的关联交易是正常和合理的，有利于促进规模经营，降低交易成本，维护投资人利益和提高公司整体收益。 </w:t>
      </w:r>
    </w:p>
    <w:p>
      <w:pPr>
        <w:spacing w:before="120" w:after="120" w:line="288" w:lineRule="auto"/>
        <w:ind w:left="0" w:firstLine="0"/>
        <w:jc w:val="left"/>
      </w:pPr>
      <w:r>
        <w:rPr>
          <w:rFonts w:eastAsia="等线" w:ascii="Arial" w:cs="Arial" w:hAnsi="Arial"/>
          <w:sz w:val="22"/>
        </w:rPr>
        <w:t xml:space="preserve">所谓不正当关联交易是指：违背市场交易的公平、合法、诚实信用的商业原则，损害交易中一方或其有利益关系的相关者，或投资人利益的行为，以调节利润、粉饰报表、转移资产、转移利润、逃税避税、逃废债务为目的。 </w:t>
      </w:r>
    </w:p>
    <w:p>
      <w:pPr>
        <w:spacing w:before="120" w:after="120" w:line="288" w:lineRule="auto"/>
        <w:ind w:left="0" w:firstLine="0"/>
        <w:jc w:val="left"/>
      </w:pPr>
      <w:r>
        <w:rPr>
          <w:rFonts w:eastAsia="等线" w:ascii="Arial" w:cs="Arial" w:hAnsi="Arial"/>
          <w:b w:val="true"/>
          <w:sz w:val="22"/>
        </w:rPr>
        <w:t xml:space="preserve">第十六条 </w:t>
      </w:r>
      <w:r>
        <w:rPr>
          <w:rFonts w:eastAsia="等线" w:ascii="Arial" w:cs="Arial" w:hAnsi="Arial"/>
          <w:sz w:val="22"/>
        </w:rPr>
        <w:t>公司禁止以下关联交易：</w:t>
      </w:r>
    </w:p>
    <w:p>
      <w:pPr>
        <w:spacing w:before="120" w:after="120" w:line="288" w:lineRule="auto"/>
        <w:ind w:left="0" w:firstLine="0"/>
        <w:jc w:val="left"/>
      </w:pPr>
      <w:r>
        <w:rPr>
          <w:rFonts w:eastAsia="等线" w:ascii="Arial" w:cs="Arial" w:hAnsi="Arial"/>
          <w:sz w:val="22"/>
        </w:rPr>
        <w:t xml:space="preserve">16.1 直接或间接为公司股东提供融资或者担保； </w:t>
      </w:r>
    </w:p>
    <w:p>
      <w:pPr>
        <w:spacing w:before="120" w:after="120" w:line="288" w:lineRule="auto"/>
        <w:ind w:left="0" w:firstLine="0"/>
        <w:jc w:val="left"/>
      </w:pPr>
      <w:r>
        <w:rPr>
          <w:rFonts w:eastAsia="等线" w:ascii="Arial" w:cs="Arial" w:hAnsi="Arial"/>
          <w:sz w:val="22"/>
        </w:rPr>
        <w:t xml:space="preserve">16.2 其他不正当关联交易。 </w:t>
      </w:r>
    </w:p>
    <w:p>
      <w:pPr>
        <w:spacing w:before="120" w:after="120" w:line="288" w:lineRule="auto"/>
        <w:ind w:left="0" w:firstLine="0"/>
        <w:jc w:val="left"/>
      </w:pPr>
      <w:r>
        <w:rPr>
          <w:rFonts w:eastAsia="等线" w:ascii="Arial" w:cs="Arial" w:hAnsi="Arial"/>
          <w:b w:val="true"/>
          <w:sz w:val="22"/>
        </w:rPr>
        <w:t xml:space="preserve">第十七条 </w:t>
      </w:r>
      <w:r>
        <w:rPr>
          <w:rFonts w:eastAsia="等线" w:ascii="Arial" w:cs="Arial" w:hAnsi="Arial"/>
          <w:sz w:val="22"/>
        </w:rPr>
        <w:t xml:space="preserve">公司正当的关联交易分为重大关联交易和一般关联交易。重大关联交易：公司的单笔关联方交易超过公司净资产5%的，或同一交易对方连续多笔关联方交易总额超过公司净资产的5%的，皆视为公司的重大关联交易。公司净资产，是指最近一次编制的会计报表中的公司净资产。 </w:t>
      </w:r>
    </w:p>
    <w:p>
      <w:pPr>
        <w:spacing w:before="120" w:after="120" w:line="288" w:lineRule="auto"/>
        <w:ind w:left="0" w:firstLine="0"/>
        <w:jc w:val="left"/>
      </w:pPr>
      <w:r>
        <w:rPr>
          <w:rFonts w:eastAsia="等线" w:ascii="Arial" w:cs="Arial" w:hAnsi="Arial"/>
          <w:sz w:val="22"/>
        </w:rPr>
        <w:t xml:space="preserve">一般关联交易：公司的单笔关联方交易不超过公司净资产 5%（含5%）的，或同一交易对方连续多笔关联方交易总额不超过公司净资产的 5%（含 5%）的，视为公司的一般关联交易。 </w:t>
      </w:r>
      <w:r>
        <w:rPr>
          <w:rFonts w:eastAsia="等线" w:ascii="Arial" w:cs="Arial" w:hAnsi="Arial"/>
          <w:b w:val="true"/>
          <w:sz w:val="22"/>
        </w:rPr>
        <w:t xml:space="preserve"> </w:t>
      </w:r>
    </w:p>
    <w:p>
      <w:pPr>
        <w:spacing w:before="120" w:after="120" w:line="288" w:lineRule="auto"/>
        <w:ind w:left="0" w:firstLine="0"/>
        <w:jc w:val="left"/>
      </w:pPr>
      <w:r>
        <w:rPr>
          <w:rFonts w:eastAsia="等线" w:ascii="Arial" w:cs="Arial" w:hAnsi="Arial"/>
          <w:b w:val="true"/>
          <w:sz w:val="22"/>
        </w:rPr>
        <w:t xml:space="preserve">第十八条 </w:t>
      </w:r>
      <w:r>
        <w:rPr>
          <w:rFonts w:eastAsia="等线" w:ascii="Arial" w:cs="Arial" w:hAnsi="Arial"/>
          <w:sz w:val="22"/>
        </w:rPr>
        <w:t xml:space="preserve">公司应分别指定专人每季定期收集整理公司的关联方名单、基金的关联方，建立公司、基金以及专户关联方信息档案。每次更新后，关联方信息需报合规风控部备案并在公司内部发布。 </w:t>
      </w:r>
    </w:p>
    <w:p>
      <w:pPr>
        <w:spacing w:before="120" w:after="120" w:line="288" w:lineRule="auto"/>
        <w:ind w:left="0" w:firstLine="0"/>
        <w:jc w:val="left"/>
      </w:pPr>
      <w:r>
        <w:rPr>
          <w:rFonts w:eastAsia="等线" w:ascii="Arial" w:cs="Arial" w:hAnsi="Arial"/>
          <w:b w:val="true"/>
          <w:sz w:val="22"/>
        </w:rPr>
        <w:t xml:space="preserve">第十九条 </w:t>
      </w:r>
      <w:r>
        <w:rPr>
          <w:rFonts w:eastAsia="等线" w:ascii="Arial" w:cs="Arial" w:hAnsi="Arial"/>
          <w:sz w:val="22"/>
        </w:rPr>
        <w:t xml:space="preserve">公司及基金的重大关联方交易应由公司董事会根据公司章程相关规定进行审议和决策。 </w:t>
      </w:r>
    </w:p>
    <w:p>
      <w:pPr>
        <w:spacing w:before="120" w:after="120" w:line="288" w:lineRule="auto"/>
        <w:ind w:left="0" w:firstLine="0"/>
        <w:jc w:val="left"/>
      </w:pPr>
      <w:r>
        <w:rPr>
          <w:rFonts w:eastAsia="等线" w:ascii="Arial" w:cs="Arial" w:hAnsi="Arial"/>
          <w:sz w:val="22"/>
        </w:rPr>
        <w:t xml:space="preserve">公司董事会在审议重大关联方交易事项时，应当根据客观标准判断该关联方交易是否对投资人和公司有利，在必要的情况下可以聘请一家独立的会计师事务所或其他相关专业机构就重大关联方交易的公允性和合法性出具意见，费用由公司承担。 </w:t>
      </w:r>
    </w:p>
    <w:p>
      <w:pPr>
        <w:spacing w:before="120" w:after="120" w:line="288" w:lineRule="auto"/>
        <w:ind w:left="0" w:firstLine="0"/>
        <w:jc w:val="left"/>
      </w:pPr>
      <w:r>
        <w:rPr>
          <w:rFonts w:eastAsia="等线" w:ascii="Arial" w:cs="Arial" w:hAnsi="Arial"/>
          <w:b w:val="true"/>
          <w:sz w:val="22"/>
        </w:rPr>
        <w:t xml:space="preserve">第二十条 </w:t>
      </w:r>
      <w:r>
        <w:rPr>
          <w:rFonts w:eastAsia="等线" w:ascii="Arial" w:cs="Arial" w:hAnsi="Arial"/>
          <w:sz w:val="22"/>
        </w:rPr>
        <w:t xml:space="preserve">公司、基金关联交易的风险控制纳入公司风险控制委员会的职责范围。 </w:t>
      </w:r>
    </w:p>
    <w:p>
      <w:pPr>
        <w:spacing w:before="120" w:after="120" w:line="288" w:lineRule="auto"/>
        <w:ind w:left="0" w:firstLine="0"/>
        <w:jc w:val="left"/>
      </w:pPr>
      <w:r>
        <w:rPr>
          <w:rFonts w:eastAsia="等线" w:ascii="Arial" w:cs="Arial" w:hAnsi="Arial"/>
          <w:b w:val="true"/>
          <w:sz w:val="22"/>
        </w:rPr>
        <w:t xml:space="preserve">第二十一条 </w:t>
      </w:r>
      <w:r>
        <w:rPr>
          <w:rFonts w:eastAsia="等线" w:ascii="Arial" w:cs="Arial" w:hAnsi="Arial"/>
          <w:sz w:val="22"/>
        </w:rPr>
        <w:t xml:space="preserve">公司合规风控部定期组织关联交易专项稽核，并将核查结果报公司董事会。 </w:t>
      </w:r>
    </w:p>
    <w:p>
      <w:pPr>
        <w:spacing w:before="120" w:after="120" w:line="288" w:lineRule="auto"/>
        <w:ind w:left="0" w:firstLine="0"/>
        <w:jc w:val="left"/>
      </w:pPr>
      <w:r>
        <w:rPr>
          <w:rFonts w:eastAsia="等线" w:ascii="Arial" w:cs="Arial" w:hAnsi="Arial"/>
          <w:b w:val="true"/>
          <w:sz w:val="22"/>
        </w:rPr>
        <w:t xml:space="preserve">第二十二条 </w:t>
      </w:r>
      <w:r>
        <w:rPr>
          <w:rFonts w:eastAsia="等线" w:ascii="Arial" w:cs="Arial" w:hAnsi="Arial"/>
          <w:sz w:val="22"/>
        </w:rPr>
        <w:t xml:space="preserve">公司不得聘用公司、基金或专户的关联方控制的中介机构为公司或该基金提供审计服务。 </w:t>
      </w:r>
    </w:p>
    <w:p>
      <w:pPr>
        <w:spacing w:before="120" w:after="120" w:line="288" w:lineRule="auto"/>
        <w:ind w:left="0" w:firstLine="0"/>
        <w:jc w:val="left"/>
      </w:pPr>
      <w:r>
        <w:rPr>
          <w:rFonts w:eastAsia="等线" w:ascii="Arial" w:cs="Arial" w:hAnsi="Arial"/>
          <w:b w:val="true"/>
          <w:sz w:val="22"/>
        </w:rPr>
        <w:t xml:space="preserve">第二十三条 </w:t>
      </w:r>
      <w:r>
        <w:rPr>
          <w:rFonts w:eastAsia="等线" w:ascii="Arial" w:cs="Arial" w:hAnsi="Arial"/>
          <w:sz w:val="22"/>
        </w:rPr>
        <w:t xml:space="preserve">公司应当按照相关法律法规要求披露关联方关系及关联交易。 </w:t>
      </w:r>
    </w:p>
    <w:p>
      <w:pPr>
        <w:spacing w:before="120" w:after="120" w:line="288" w:lineRule="auto"/>
        <w:ind w:left="0" w:firstLine="0"/>
        <w:jc w:val="left"/>
      </w:pPr>
      <w:r>
        <w:rPr>
          <w:rFonts w:eastAsia="等线" w:ascii="Arial" w:cs="Arial" w:hAnsi="Arial"/>
          <w:b w:val="true"/>
          <w:sz w:val="22"/>
        </w:rPr>
        <w:t xml:space="preserve">第二十四条 </w:t>
      </w:r>
      <w:r>
        <w:rPr>
          <w:rFonts w:eastAsia="等线" w:ascii="Arial" w:cs="Arial" w:hAnsi="Arial"/>
          <w:sz w:val="22"/>
        </w:rPr>
        <w:t xml:space="preserve">基金会计报表附注应按如下要求披露： </w:t>
      </w:r>
    </w:p>
    <w:p>
      <w:pPr>
        <w:spacing w:before="120" w:after="120" w:line="288" w:lineRule="auto"/>
        <w:ind w:left="0" w:firstLine="0"/>
        <w:jc w:val="left"/>
      </w:pPr>
      <w:r>
        <w:rPr>
          <w:rFonts w:eastAsia="等线" w:ascii="Arial" w:cs="Arial" w:hAnsi="Arial"/>
          <w:sz w:val="22"/>
        </w:rPr>
        <w:t>24.1 关联方关系披露基金管理人、基金托管人、基金管理人的股东等与基金存在重大利益关系的主要关联方的名称及关联关系。当基金与其关联方发生交易时，则应披露发生交易的所有关联方的名称及关联关系。</w:t>
      </w:r>
    </w:p>
    <w:p>
      <w:pPr>
        <w:spacing w:before="120" w:after="120" w:line="288" w:lineRule="auto"/>
        <w:ind w:left="0" w:firstLine="0"/>
        <w:jc w:val="left"/>
      </w:pPr>
      <w:r>
        <w:rPr>
          <w:rFonts w:eastAsia="等线" w:ascii="Arial" w:cs="Arial" w:hAnsi="Arial"/>
          <w:sz w:val="22"/>
        </w:rPr>
        <w:t xml:space="preserve">24.2 关联方交易 </w:t>
      </w:r>
    </w:p>
    <w:p>
      <w:pPr>
        <w:spacing w:before="120" w:after="120" w:line="288" w:lineRule="auto"/>
        <w:ind w:left="0" w:firstLine="0"/>
        <w:jc w:val="left"/>
      </w:pPr>
      <w:r>
        <w:rPr>
          <w:rFonts w:eastAsia="等线" w:ascii="Arial" w:cs="Arial" w:hAnsi="Arial"/>
          <w:sz w:val="22"/>
        </w:rPr>
        <w:t xml:space="preserve">若关联方同基金进行交易，则至少应列示关联交易的类型、交易金额、定价政策及确认该种交易是在正常业务中按照一般商业条款而订立的声明。 </w:t>
      </w:r>
    </w:p>
    <w:p>
      <w:pPr>
        <w:spacing w:before="120" w:after="120" w:line="288" w:lineRule="auto"/>
        <w:ind w:left="0" w:firstLine="0"/>
        <w:jc w:val="left"/>
      </w:pPr>
      <w:r>
        <w:rPr>
          <w:rFonts w:eastAsia="等线" w:ascii="Arial" w:cs="Arial" w:hAnsi="Arial"/>
          <w:b w:val="true"/>
          <w:sz w:val="22"/>
        </w:rPr>
        <w:t xml:space="preserve">第二十五条 </w:t>
      </w:r>
      <w:r>
        <w:rPr>
          <w:rFonts w:eastAsia="等线" w:ascii="Arial" w:cs="Arial" w:hAnsi="Arial"/>
          <w:sz w:val="22"/>
        </w:rPr>
        <w:t xml:space="preserve">关联交易若涉及到其他信息披露，按照相关法规执行。 </w:t>
      </w:r>
    </w:p>
    <w:p>
      <w:pPr>
        <w:spacing w:before="120" w:after="120" w:line="288" w:lineRule="auto"/>
        <w:ind w:left="0" w:firstLine="0"/>
        <w:jc w:val="left"/>
      </w:pPr>
      <w:r>
        <w:rPr>
          <w:rFonts w:eastAsia="等线" w:ascii="Arial" w:cs="Arial" w:hAnsi="Arial"/>
          <w:b w:val="true"/>
          <w:sz w:val="22"/>
        </w:rPr>
        <w:t xml:space="preserve">第二十六条 </w:t>
      </w:r>
      <w:r>
        <w:rPr>
          <w:rFonts w:eastAsia="等线" w:ascii="Arial" w:cs="Arial" w:hAnsi="Arial"/>
          <w:sz w:val="22"/>
        </w:rPr>
        <w:t xml:space="preserve">本制度依据现行有效的法律、法规的有关规定而制定，公司将适时根据有关法律、法规的要求和公司业务的发展作进一步的调整和完善；如遇有关法律、法规作出调整与本制度不一致时，公司将依据新的法律、法规的规定执行。 </w:t>
      </w:r>
      <w:r>
        <w:rPr>
          <w:rFonts w:eastAsia="等线" w:ascii="Arial" w:cs="Arial" w:hAnsi="Arial"/>
          <w:b w:val="true"/>
          <w:sz w:val="22"/>
        </w:rPr>
        <w:t>第二十七条</w:t>
      </w:r>
      <w:r>
        <w:rPr>
          <w:rFonts w:eastAsia="等线" w:ascii="Arial" w:cs="Arial" w:hAnsi="Arial"/>
          <w:sz w:val="22"/>
        </w:rPr>
        <w:t xml:space="preserve"> 本制度由合规风控部负责解释和修订，经公司董事会审议批准后自发布之日起生效施行。</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7" w:id="17"/>
      <w:r>
        <w:rPr>
          <w:rFonts w:eastAsia="等线" w:ascii="Arial" w:cs="Arial" w:hAnsi="Arial"/>
          <w:b w:val="true"/>
          <w:sz w:val="30"/>
        </w:rPr>
        <w:t>第十一节 私募基金产品风险评级制度</w:t>
      </w:r>
      <w:bookmarkEnd w:id="17"/>
    </w:p>
    <w:p>
      <w:pPr>
        <w:spacing w:before="120" w:after="120" w:line="288" w:lineRule="auto"/>
        <w:ind w:left="0" w:firstLine="420"/>
        <w:jc w:val="left"/>
      </w:pPr>
      <w:r>
        <w:rPr>
          <w:rFonts w:eastAsia="等线" w:ascii="Arial" w:cs="Arial" w:hAnsi="Arial"/>
          <w:sz w:val="22"/>
        </w:rPr>
        <w:t>为客观揭示上海同登九和私募基金管理有限公司（以下简称“公司”）所募集的私募股权投资基金风险等级，本公司根据《证券投资基金法》、《私募投资基金监督管理暂行办法》、《私募投资基金募集行为管理办法》、《证券期货投资者适当性管理办法》、《基金募集机构投资者适当性管理实施指引（试行）》等相关法律法规的规定，将对所有基金进行风险评级，并根据评级结果向投资者推介与其风险识别能力和风险承受能力相匹配的基金产品。</w:t>
      </w:r>
    </w:p>
    <w:p>
      <w:pPr>
        <w:numPr>
          <w:numId w:val="63"/>
        </w:numPr>
        <w:spacing w:before="120" w:after="120" w:line="288" w:lineRule="auto"/>
        <w:ind w:left="453"/>
        <w:jc w:val="left"/>
      </w:pPr>
      <w:r>
        <w:rPr>
          <w:rFonts w:eastAsia="等线" w:ascii="Arial" w:cs="Arial" w:hAnsi="Arial"/>
          <w:b w:val="true"/>
          <w:sz w:val="22"/>
        </w:rPr>
        <w:t>基金风险评级的主要因素</w:t>
      </w:r>
    </w:p>
    <w:p>
      <w:pPr>
        <w:spacing w:before="120" w:after="120" w:line="288" w:lineRule="auto"/>
        <w:ind w:left="0" w:firstLine="420"/>
        <w:jc w:val="left"/>
      </w:pPr>
      <w:r>
        <w:rPr>
          <w:rFonts w:eastAsia="等线" w:ascii="Arial" w:cs="Arial" w:hAnsi="Arial"/>
          <w:sz w:val="22"/>
        </w:rPr>
        <w:t>本公司对所管理的私募基金进行评级时，应充分考虑以下相关因素：</w:t>
      </w:r>
    </w:p>
    <w:p>
      <w:pPr>
        <w:numPr>
          <w:numId w:val="64"/>
        </w:numPr>
        <w:spacing w:before="120" w:after="120" w:line="288" w:lineRule="auto"/>
        <w:ind w:left="453"/>
        <w:jc w:val="left"/>
      </w:pPr>
      <w:r>
        <w:rPr>
          <w:rFonts w:eastAsia="等线" w:ascii="Arial" w:cs="Arial" w:hAnsi="Arial"/>
          <w:sz w:val="22"/>
        </w:rPr>
        <w:t>基金管理人成立时间，治理结构，资本金规模，管理基金规模，投研团队稳定性，资产配置能力、内部控制制度健全性及执行度，风险控制完备性，是否有风险准备金制度安排，从业人员合规性，股东、高级管理人员及基金经理的稳定性等；</w:t>
      </w:r>
    </w:p>
    <w:p>
      <w:pPr>
        <w:numPr>
          <w:numId w:val="65"/>
        </w:numPr>
        <w:spacing w:before="120" w:after="120" w:line="288" w:lineRule="auto"/>
        <w:ind w:left="453"/>
        <w:jc w:val="left"/>
      </w:pPr>
      <w:r>
        <w:rPr>
          <w:rFonts w:eastAsia="等线" w:ascii="Arial" w:cs="Arial" w:hAnsi="Arial"/>
          <w:sz w:val="22"/>
        </w:rPr>
        <w:t>基金产品或者服务的结构（如有），投资方向、投资范围和投资比例，募集方式及最低认缴金额，运作方式，存续期限，过往业绩及净值的历史波动程度，成立以来有无违规行为发生，基金估值政策、程序和定价模式，申购和赎回安排，杠杆运用情况等。</w:t>
      </w:r>
    </w:p>
    <w:p>
      <w:pPr>
        <w:numPr>
          <w:numId w:val="66"/>
        </w:numPr>
        <w:spacing w:before="120" w:after="120" w:line="288" w:lineRule="auto"/>
        <w:ind w:left="453"/>
        <w:jc w:val="left"/>
      </w:pPr>
      <w:r>
        <w:rPr>
          <w:rFonts w:eastAsia="等线" w:ascii="Arial" w:cs="Arial" w:hAnsi="Arial"/>
          <w:b w:val="true"/>
          <w:sz w:val="22"/>
        </w:rPr>
        <w:t>基金风险评级的其他因素</w:t>
      </w:r>
    </w:p>
    <w:p>
      <w:pPr>
        <w:spacing w:before="120" w:after="120" w:line="288" w:lineRule="auto"/>
        <w:ind w:left="0" w:firstLine="420"/>
        <w:jc w:val="left"/>
      </w:pPr>
      <w:r>
        <w:rPr>
          <w:rFonts w:eastAsia="等线" w:ascii="Arial" w:cs="Arial" w:hAnsi="Arial"/>
          <w:sz w:val="22"/>
        </w:rPr>
        <w:t>本公司所管理的私募基金产品存在下列因素的，应当审慎评估其风险等级：</w:t>
      </w:r>
    </w:p>
    <w:p>
      <w:pPr>
        <w:numPr>
          <w:numId w:val="67"/>
        </w:numPr>
        <w:spacing w:before="120" w:after="120" w:line="288" w:lineRule="auto"/>
        <w:ind w:left="453"/>
        <w:jc w:val="left"/>
      </w:pPr>
      <w:r>
        <w:rPr>
          <w:rFonts w:eastAsia="等线" w:ascii="Arial" w:cs="Arial" w:hAnsi="Arial"/>
          <w:sz w:val="22"/>
        </w:rPr>
        <w:t>基金产品合同存在特殊免责条款、结构性安排、投资标的具有衍生品性质等导致普通投资者难以理解的；</w:t>
      </w:r>
    </w:p>
    <w:p>
      <w:pPr>
        <w:numPr>
          <w:numId w:val="68"/>
        </w:numPr>
        <w:spacing w:before="120" w:after="120" w:line="288" w:lineRule="auto"/>
        <w:ind w:left="453"/>
        <w:jc w:val="left"/>
      </w:pPr>
      <w:r>
        <w:rPr>
          <w:rFonts w:eastAsia="等线" w:ascii="Arial" w:cs="Arial" w:hAnsi="Arial"/>
          <w:sz w:val="22"/>
        </w:rPr>
        <w:t>基金产品不存在公开交易市场，或因参与投资者少等因素导致难以在短期内以合理价格顺利变现的；</w:t>
      </w:r>
    </w:p>
    <w:p>
      <w:pPr>
        <w:numPr>
          <w:numId w:val="69"/>
        </w:numPr>
        <w:spacing w:before="120" w:after="120" w:line="288" w:lineRule="auto"/>
        <w:ind w:left="453"/>
        <w:jc w:val="left"/>
      </w:pPr>
      <w:r>
        <w:rPr>
          <w:rFonts w:eastAsia="等线" w:ascii="Arial" w:cs="Arial" w:hAnsi="Arial"/>
          <w:sz w:val="22"/>
        </w:rPr>
        <w:t>影响投资者利益的其他重大事项；</w:t>
      </w:r>
    </w:p>
    <w:p>
      <w:pPr>
        <w:numPr>
          <w:numId w:val="70"/>
        </w:numPr>
        <w:spacing w:before="120" w:after="120" w:line="288" w:lineRule="auto"/>
        <w:ind w:left="453"/>
        <w:jc w:val="left"/>
      </w:pPr>
      <w:r>
        <w:rPr>
          <w:rFonts w:eastAsia="等线" w:ascii="Arial" w:cs="Arial" w:hAnsi="Arial"/>
          <w:sz w:val="22"/>
        </w:rPr>
        <w:t>协会认定的高风险基金产品。</w:t>
      </w:r>
    </w:p>
    <w:p>
      <w:pPr>
        <w:numPr>
          <w:numId w:val="71"/>
        </w:numPr>
        <w:spacing w:before="120" w:after="120" w:line="288" w:lineRule="auto"/>
        <w:ind w:left="453"/>
        <w:jc w:val="left"/>
      </w:pPr>
      <w:r>
        <w:rPr>
          <w:rFonts w:eastAsia="等线" w:ascii="Arial" w:cs="Arial" w:hAnsi="Arial"/>
          <w:b w:val="true"/>
          <w:sz w:val="22"/>
        </w:rPr>
        <w:t>基金产品的风险等级：</w:t>
      </w:r>
    </w:p>
    <w:p>
      <w:pPr>
        <w:spacing w:before="120" w:after="120" w:line="288" w:lineRule="auto"/>
        <w:ind w:left="0" w:firstLine="420"/>
        <w:jc w:val="left"/>
      </w:pPr>
      <w:r>
        <w:rPr>
          <w:rFonts w:eastAsia="等线" w:ascii="Arial" w:cs="Arial" w:hAnsi="Arial"/>
          <w:sz w:val="22"/>
        </w:rPr>
        <w:t>本公司基金产品的风险分为五级：低风险（R1）、较低风险（R2）、中等风险（R3）、较高风险（R4）、高风险（R5），根据附件1《私募投资基金产品风险等级评估表》对基金产品风险等级进行测评，合计100分，具体对应分值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25"/>
        <w:gridCol w:w="4155"/>
      </w:tblGrid>
      <w:tr>
        <w:tc>
          <w:tcPr>
            <w:tcW w:w="41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产品风险等级</w:t>
            </w:r>
          </w:p>
        </w:tc>
        <w:tc>
          <w:tcPr>
            <w:tcW w:w="41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产品风险等级测评分数</w:t>
            </w:r>
          </w:p>
        </w:tc>
      </w:tr>
      <w:tr>
        <w:tc>
          <w:tcPr>
            <w:tcW w:w="4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（低风险）R1</w:t>
            </w:r>
          </w:p>
        </w:tc>
        <w:tc>
          <w:tcPr>
            <w:tcW w:w="4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（0，15]</w:t>
            </w:r>
          </w:p>
        </w:tc>
      </w:tr>
      <w:tr>
        <w:tc>
          <w:tcPr>
            <w:tcW w:w="4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（较低风险）R2</w:t>
            </w:r>
          </w:p>
        </w:tc>
        <w:tc>
          <w:tcPr>
            <w:tcW w:w="4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（15，30]</w:t>
            </w:r>
          </w:p>
        </w:tc>
      </w:tr>
      <w:tr>
        <w:tc>
          <w:tcPr>
            <w:tcW w:w="4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（中等风险）R3</w:t>
            </w:r>
          </w:p>
        </w:tc>
        <w:tc>
          <w:tcPr>
            <w:tcW w:w="4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（30，40]</w:t>
            </w:r>
          </w:p>
        </w:tc>
      </w:tr>
      <w:tr>
        <w:tc>
          <w:tcPr>
            <w:tcW w:w="4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（较高风险）R4</w:t>
            </w:r>
          </w:p>
        </w:tc>
        <w:tc>
          <w:tcPr>
            <w:tcW w:w="4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（40，60]</w:t>
            </w:r>
          </w:p>
        </w:tc>
      </w:tr>
      <w:tr>
        <w:tc>
          <w:tcPr>
            <w:tcW w:w="4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（高风险）R5</w:t>
            </w:r>
          </w:p>
        </w:tc>
        <w:tc>
          <w:tcPr>
            <w:tcW w:w="4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（60，100]</w:t>
            </w:r>
          </w:p>
        </w:tc>
      </w:tr>
    </w:tbl>
    <w:p>
      <w:pPr>
        <w:spacing w:before="120" w:after="120" w:line="288" w:lineRule="auto"/>
        <w:ind w:left="0" w:firstLine="0"/>
        <w:jc w:val="left"/>
      </w:pPr>
      <w:r>
        <w:rPr>
          <w:rFonts w:eastAsia="等线" w:ascii="Arial" w:cs="Arial" w:hAnsi="Arial"/>
          <w:b w:val="true"/>
          <w:sz w:val="22"/>
        </w:rPr>
        <w:t xml:space="preserve"> </w:t>
      </w:r>
    </w:p>
    <w:p>
      <w:pPr>
        <w:numPr>
          <w:numId w:val="72"/>
        </w:numPr>
        <w:spacing w:before="120" w:after="120" w:line="288" w:lineRule="auto"/>
        <w:ind w:left="453"/>
        <w:jc w:val="left"/>
      </w:pPr>
      <w:r>
        <w:rPr>
          <w:rFonts w:eastAsia="等线" w:ascii="Arial" w:cs="Arial" w:hAnsi="Arial"/>
          <w:b w:val="true"/>
          <w:sz w:val="22"/>
        </w:rPr>
        <w:t>普通投资者的风险承受能力类型：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350"/>
        <w:gridCol w:w="3930"/>
      </w:tblGrid>
      <w:tr>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风险测评得分</w:t>
            </w:r>
          </w:p>
        </w:tc>
        <w:tc>
          <w:tcPr>
            <w:tcW w:w="39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普通投资者类型</w:t>
            </w:r>
          </w:p>
        </w:tc>
      </w:tr>
      <w:tr>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0-19</w:t>
            </w:r>
          </w:p>
        </w:tc>
        <w:tc>
          <w:tcPr>
            <w:tcW w:w="3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保守型（C1）</w:t>
            </w:r>
          </w:p>
        </w:tc>
      </w:tr>
      <w:tr>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20-39</w:t>
            </w:r>
          </w:p>
        </w:tc>
        <w:tc>
          <w:tcPr>
            <w:tcW w:w="3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稳健型（C2）</w:t>
            </w:r>
          </w:p>
        </w:tc>
      </w:tr>
      <w:tr>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40-59</w:t>
            </w:r>
          </w:p>
        </w:tc>
        <w:tc>
          <w:tcPr>
            <w:tcW w:w="3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平衡型（C3）</w:t>
            </w:r>
          </w:p>
        </w:tc>
      </w:tr>
      <w:tr>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60-74</w:t>
            </w:r>
          </w:p>
        </w:tc>
        <w:tc>
          <w:tcPr>
            <w:tcW w:w="3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成长型（C4）</w:t>
            </w:r>
          </w:p>
        </w:tc>
      </w:tr>
      <w:tr>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75-100</w:t>
            </w:r>
          </w:p>
        </w:tc>
        <w:tc>
          <w:tcPr>
            <w:tcW w:w="3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进取型（C5）</w:t>
            </w:r>
          </w:p>
        </w:tc>
      </w:tr>
    </w:tbl>
    <w:p>
      <w:pPr>
        <w:spacing w:before="120" w:after="120" w:line="288" w:lineRule="auto"/>
        <w:ind w:left="0" w:firstLine="420"/>
        <w:jc w:val="left"/>
      </w:pPr>
      <w:r>
        <w:rPr>
          <w:rFonts w:eastAsia="等线" w:ascii="Arial" w:cs="Arial" w:hAnsi="Arial"/>
          <w:sz w:val="22"/>
        </w:rPr>
        <w:t>保守型（C1）：承受风险的能力低，比较关注结构简单、遭受损失可能性低的基金产品；</w:t>
      </w:r>
    </w:p>
    <w:p>
      <w:pPr>
        <w:spacing w:before="120" w:after="120" w:line="288" w:lineRule="auto"/>
        <w:ind w:left="0" w:firstLine="420"/>
        <w:jc w:val="left"/>
      </w:pPr>
      <w:r>
        <w:rPr>
          <w:rFonts w:eastAsia="等线" w:ascii="Arial" w:cs="Arial" w:hAnsi="Arial"/>
          <w:sz w:val="22"/>
        </w:rPr>
        <w:t>稳健性（C2）：承受风险的能力较低，比较关注结构简单、遭受损失可能性较低的基金产品；</w:t>
      </w:r>
    </w:p>
    <w:p>
      <w:pPr>
        <w:spacing w:before="120" w:after="120" w:line="288" w:lineRule="auto"/>
        <w:ind w:left="0" w:firstLine="420"/>
        <w:jc w:val="left"/>
      </w:pPr>
      <w:r>
        <w:rPr>
          <w:rFonts w:eastAsia="等线" w:ascii="Arial" w:cs="Arial" w:hAnsi="Arial"/>
          <w:sz w:val="22"/>
        </w:rPr>
        <w:t>平衡型（C3）：承受风险的能力中等，能接受结构相对复杂的基金产品，比较关注产品的投资收益，能承受产品的投资收益具有一定不确定性；</w:t>
      </w:r>
    </w:p>
    <w:p>
      <w:pPr>
        <w:spacing w:before="120" w:after="120" w:line="288" w:lineRule="auto"/>
        <w:ind w:left="0" w:firstLine="420"/>
        <w:jc w:val="left"/>
      </w:pPr>
      <w:r>
        <w:rPr>
          <w:rFonts w:eastAsia="等线" w:ascii="Arial" w:cs="Arial" w:hAnsi="Arial"/>
          <w:sz w:val="22"/>
        </w:rPr>
        <w:t>成长型（C4）：承受风险的能力较高，能接受结构复杂的基金产品，比较关注潜在投资收益较高的产品，意识到产品的投资收益可能面临较大的不确定性；</w:t>
      </w:r>
    </w:p>
    <w:p>
      <w:pPr>
        <w:spacing w:before="120" w:after="120" w:line="288" w:lineRule="auto"/>
        <w:ind w:left="0" w:firstLine="420"/>
        <w:jc w:val="left"/>
      </w:pPr>
      <w:r>
        <w:rPr>
          <w:rFonts w:eastAsia="等线" w:ascii="Arial" w:cs="Arial" w:hAnsi="Arial"/>
          <w:sz w:val="22"/>
        </w:rPr>
        <w:t>进取型（C5）：承受风险的能力高，能接受结构复杂的基金产品，比较关注高投资收益产品，了解最坏的情况下，有可能会失去全部投资本金。</w:t>
      </w:r>
    </w:p>
    <w:p>
      <w:pPr>
        <w:spacing w:before="120" w:after="120" w:line="288" w:lineRule="auto"/>
        <w:ind w:left="0" w:firstLine="420"/>
        <w:jc w:val="left"/>
      </w:pPr>
      <w:r>
        <w:rPr>
          <w:rFonts w:eastAsia="等线" w:ascii="Arial" w:cs="Arial" w:hAnsi="Arial"/>
          <w:sz w:val="22"/>
        </w:rPr>
        <w:t xml:space="preserve"> </w:t>
      </w:r>
    </w:p>
    <w:p>
      <w:pPr>
        <w:numPr>
          <w:numId w:val="73"/>
        </w:numPr>
        <w:spacing w:before="120" w:after="120" w:line="288" w:lineRule="auto"/>
        <w:ind w:left="453"/>
        <w:jc w:val="left"/>
      </w:pPr>
      <w:r>
        <w:rPr>
          <w:rFonts w:eastAsia="等线" w:ascii="Arial" w:cs="Arial" w:hAnsi="Arial"/>
          <w:b w:val="true"/>
          <w:sz w:val="22"/>
        </w:rPr>
        <w:t>不同类型基金产品对应的风险级别及投资者如下：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30"/>
        <w:gridCol w:w="1305"/>
        <w:gridCol w:w="1830"/>
      </w:tblGrid>
      <w:tr>
        <w:tc>
          <w:tcPr>
            <w:tcW w:w="51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基金产品类型</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基金风险等级</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普通投资者</w:t>
            </w:r>
          </w:p>
          <w:p>
            <w:pPr>
              <w:spacing w:before="120" w:after="120" w:line="288" w:lineRule="auto"/>
              <w:ind w:left="0"/>
              <w:jc w:val="center"/>
            </w:pPr>
            <w:r>
              <w:rPr>
                <w:rFonts w:eastAsia="等线" w:ascii="Arial" w:cs="Arial" w:hAnsi="Arial"/>
                <w:b w:val="true"/>
                <w:sz w:val="22"/>
              </w:rPr>
              <w:t>风险承受等级</w:t>
            </w:r>
          </w:p>
        </w:tc>
      </w:tr>
      <w:tr>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产品结构简单，过往业绩及净值的历史波动率低，投资标的流动性很好、不含衍生品，估值政策清晰，杠杆不超监管部门规定的标准。</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R1</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C1、C2、C3、C4、C5</w:t>
            </w:r>
          </w:p>
        </w:tc>
      </w:tr>
      <w:tr>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产品结构简单，过往业绩及净值的历史波动率较低，投资标的流动性好、投资衍生品以套期保值为目的，估值政策清晰，杠杆不超监管部门规定的标准。</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R2</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C2、C3、C4、C5</w:t>
            </w:r>
          </w:p>
        </w:tc>
      </w:tr>
      <w:tr>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产品结构较简单，过往业绩及净值的历史波动率较高，投资标的流动性较好、投资衍生品以对冲为目的，估值政策清晰，杠杆不超监管部门规定的标准。</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R3</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C3、C4、C5</w:t>
            </w:r>
          </w:p>
        </w:tc>
      </w:tr>
      <w:tr>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产品结构较复杂，过往业绩及净值的历史波动率高，投资标的流动性较差，估值政策较清晰，一倍（不含）以上至三倍（不含）以下杠杆。</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R4</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C4、C5</w:t>
            </w:r>
          </w:p>
        </w:tc>
      </w:tr>
      <w:tr>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产品结构复杂，过往业绩及净值的历史波动率很高，投资标的流动性差，估值政策不清晰，三倍（含）以上杠杆。</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R5</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C5</w:t>
            </w:r>
          </w:p>
        </w:tc>
      </w:tr>
    </w:tbl>
    <w:p>
      <w:pPr>
        <w:spacing w:before="120" w:after="120" w:line="288" w:lineRule="auto"/>
        <w:ind w:left="0" w:firstLine="420"/>
        <w:jc w:val="left"/>
      </w:pPr>
      <w:r>
        <w:rPr>
          <w:rFonts w:eastAsia="等线" w:ascii="Arial" w:cs="Arial" w:hAnsi="Arial"/>
          <w:b w:val="true"/>
          <w:sz w:val="22"/>
        </w:rPr>
        <w:t xml:space="preserve"> </w:t>
      </w:r>
    </w:p>
    <w:p>
      <w:pPr>
        <w:numPr>
          <w:numId w:val="74"/>
        </w:numPr>
        <w:spacing w:before="120" w:after="120" w:line="288" w:lineRule="auto"/>
        <w:ind w:left="453"/>
        <w:jc w:val="left"/>
      </w:pPr>
      <w:r>
        <w:rPr>
          <w:rFonts w:eastAsia="等线" w:ascii="Arial" w:cs="Arial" w:hAnsi="Arial"/>
          <w:sz w:val="22"/>
        </w:rPr>
        <w:t>本办法由本公司负责修订和解释。</w:t>
      </w:r>
    </w:p>
    <w:p>
      <w:pPr>
        <w:numPr>
          <w:numId w:val="75"/>
        </w:numPr>
        <w:spacing w:before="120" w:after="120" w:line="288" w:lineRule="auto"/>
        <w:ind w:left="453"/>
        <w:jc w:val="left"/>
      </w:pPr>
      <w:r>
        <w:rPr>
          <w:rFonts w:eastAsia="等线" w:ascii="Arial" w:cs="Arial" w:hAnsi="Arial"/>
          <w:sz w:val="22"/>
        </w:rPr>
        <w:t>本办法自发布之日起施行。当国家有关法律、法规与市场状况发生变化时，本办法的相关内容应及时调整。</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附件：</w:t>
      </w:r>
    </w:p>
    <w:p>
      <w:pPr>
        <w:spacing w:before="120" w:after="120" w:line="288" w:lineRule="auto"/>
        <w:ind w:left="0" w:firstLine="0"/>
        <w:jc w:val="left"/>
      </w:pPr>
      <w:r>
        <w:rPr>
          <w:rFonts w:eastAsia="等线" w:ascii="Arial" w:cs="Arial" w:hAnsi="Arial"/>
          <w:sz w:val="22"/>
        </w:rPr>
        <w:t xml:space="preserve">21111-私募投资基金产品风险等级评估表 </w:t>
      </w:r>
    </w:p>
    <w:p>
      <w:pPr>
        <w:spacing w:before="120" w:after="120" w:line="288" w:lineRule="auto"/>
        <w:ind w:left="0" w:firstLine="0"/>
        <w:jc w:val="left"/>
      </w:pPr>
      <w:r>
        <w:rPr>
          <w:rFonts w:eastAsia="等线" w:ascii="Arial" w:cs="Arial" w:hAnsi="Arial"/>
          <w:sz w:val="22"/>
        </w:rPr>
        <w:t>21112-基金风险评级确认函</w:t>
      </w:r>
    </w:p>
    <w:p>
      <w:pPr>
        <w:spacing w:before="120" w:after="120" w:line="288" w:lineRule="auto"/>
        <w:ind w:left="0" w:firstLine="0"/>
        <w:jc w:val="left"/>
      </w:pPr>
      <w:r>
        <w:rPr>
          <w:rFonts w:eastAsia="等线" w:ascii="Arial" w:cs="Arial" w:hAnsi="Arial"/>
          <w:b w:val="true"/>
          <w:sz w:val="22"/>
        </w:rPr>
        <w:t xml:space="preserve"> </w:t>
      </w:r>
    </w:p>
    <w:p>
      <w:pPr>
        <w:spacing w:before="120" w:after="120" w:line="288" w:lineRule="auto"/>
        <w:ind w:left="0" w:firstLine="0"/>
        <w:jc w:val="left"/>
      </w:pPr>
    </w:p>
    <w:p>
      <w:pPr>
        <w:spacing w:before="120" w:after="120" w:line="288" w:lineRule="auto"/>
        <w:ind w:left="0" w:firstLine="0"/>
        <w:jc w:val="left"/>
      </w:pPr>
    </w:p>
    <w:p>
      <w:pPr>
        <w:pStyle w:val="3"/>
        <w:spacing w:before="300" w:after="120" w:line="288" w:lineRule="auto"/>
        <w:ind w:left="0"/>
        <w:jc w:val="center"/>
        <w:outlineLvl w:val="2"/>
      </w:pPr>
      <w:bookmarkStart w:name="heading_18" w:id="18"/>
      <w:r>
        <w:rPr>
          <w:rFonts w:eastAsia="等线" w:ascii="Arial" w:cs="Arial" w:hAnsi="Arial"/>
          <w:b w:val="true"/>
          <w:sz w:val="30"/>
        </w:rPr>
        <w:t>第十二节 非居民金融账户涉税信息（CRS)尽职调查、报送制度</w:t>
      </w:r>
      <w:bookmarkEnd w:id="18"/>
    </w:p>
    <w:p>
      <w:pPr>
        <w:numPr>
          <w:numId w:val="76"/>
        </w:numPr>
        <w:spacing w:before="120" w:after="120" w:line="288" w:lineRule="auto"/>
        <w:ind w:left="0"/>
        <w:jc w:val="left"/>
      </w:pPr>
      <w:r>
        <w:rPr>
          <w:rFonts w:eastAsia="等线" w:ascii="Arial" w:cs="Arial" w:hAnsi="Arial"/>
          <w:sz w:val="22"/>
        </w:rPr>
        <w:t>总则</w:t>
      </w:r>
    </w:p>
    <w:p>
      <w:pPr>
        <w:numPr>
          <w:numId w:val="77"/>
        </w:numPr>
        <w:spacing w:before="120" w:after="120" w:line="288" w:lineRule="auto"/>
        <w:ind w:left="453"/>
        <w:jc w:val="left"/>
      </w:pPr>
      <w:r>
        <w:rPr>
          <w:rFonts w:eastAsia="等线" w:ascii="Arial" w:cs="Arial" w:hAnsi="Arial"/>
          <w:sz w:val="22"/>
        </w:rPr>
        <w:t>为了规范上海同登九和私募基金管理有限公司（以下简称“公司”或“同登九和”）对非居民金融账户涉税信息的尽职调查行为，履行《多边税收征管互助公约》和《金融账户涉税信息自动交换多边主管当局间协议》规定的义务，规范金融机构对非居民金融账户涉税信息的尽职调查行为，根据《中华人民共和国税收征收管理法》、《中华人民共和国反洗钱法》、《非居民金融账户涉税信息尽职调查管理办法》等法律、法规的规定，制定本制度。</w:t>
      </w:r>
    </w:p>
    <w:p>
      <w:pPr>
        <w:numPr>
          <w:numId w:val="78"/>
        </w:numPr>
        <w:spacing w:before="120" w:after="120" w:line="288" w:lineRule="auto"/>
        <w:ind w:left="453"/>
        <w:jc w:val="left"/>
      </w:pPr>
      <w:r>
        <w:rPr>
          <w:rFonts w:eastAsia="等线" w:ascii="Arial" w:cs="Arial" w:hAnsi="Arial"/>
          <w:sz w:val="22"/>
        </w:rPr>
        <w:t>在公司购买基金产品的自然人、法人、基金产品、资管计划、公益组织等适用本制度。政府机构、国际组织、中央银行、金融机构或者在证券市场上市交易的公司及其关联机构，以及事业单位、军队、武警部队、居委会、村委会、社区委员会、社会团体等单位不适用。本制度适用于本公司基金托管及外包业务。</w:t>
      </w:r>
    </w:p>
    <w:p>
      <w:pPr>
        <w:numPr>
          <w:numId w:val="79"/>
        </w:numPr>
        <w:spacing w:before="120" w:after="120" w:line="288" w:lineRule="auto"/>
        <w:ind w:left="453"/>
        <w:jc w:val="left"/>
      </w:pPr>
      <w:r>
        <w:rPr>
          <w:rFonts w:eastAsia="等线" w:ascii="Arial" w:cs="Arial" w:hAnsi="Arial"/>
          <w:sz w:val="22"/>
        </w:rPr>
        <w:t>公司应当遵循诚实信用、谨慎勤勉的原则，针对不同类型账户，按照本制度规定，了解账户持有人或者有关控制人的税收居民身份，识别非居民金融账户，收集并报送账户相关信息。公司风控部负责运营外包机构的选择、评定、确认与监督管理。</w:t>
      </w:r>
    </w:p>
    <w:p>
      <w:pPr>
        <w:numPr>
          <w:numId w:val="80"/>
        </w:numPr>
        <w:spacing w:before="120" w:after="120" w:line="288" w:lineRule="auto"/>
        <w:ind w:left="453"/>
        <w:jc w:val="left"/>
      </w:pPr>
      <w:r>
        <w:rPr>
          <w:rFonts w:eastAsia="等线" w:ascii="Arial" w:cs="Arial" w:hAnsi="Arial"/>
          <w:sz w:val="22"/>
        </w:rPr>
        <w:t>公司及从业人员应当向账户持有人充分说明公司需履行的信息收集和报送义务，不得明示、暗示或者帮助账户持有人隐匿身份信息，不得协助账户持有人隐匿资产。外包服务机构是指基金业务外包服务机构（以下简称“外包机构”）为基金管理人提供销售、销售支付、份额登记、估值核算、信息技术系统等业务的服务。</w:t>
      </w:r>
    </w:p>
    <w:p>
      <w:pPr>
        <w:numPr>
          <w:numId w:val="81"/>
        </w:numPr>
        <w:spacing w:before="120" w:after="120" w:line="288" w:lineRule="auto"/>
        <w:ind w:left="453"/>
        <w:jc w:val="left"/>
      </w:pPr>
      <w:r>
        <w:rPr>
          <w:rFonts w:eastAsia="等线" w:ascii="Arial" w:cs="Arial" w:hAnsi="Arial"/>
          <w:sz w:val="22"/>
        </w:rPr>
        <w:t>公司每年年末对本制度执行落实情况进行评估，妥善保管尽职调查过程中收集的资料，严格进行信息保密。</w:t>
      </w:r>
    </w:p>
    <w:p>
      <w:pPr>
        <w:numPr>
          <w:numId w:val="82"/>
        </w:numPr>
        <w:spacing w:before="120" w:after="120" w:line="288" w:lineRule="auto"/>
        <w:ind w:left="0"/>
        <w:jc w:val="left"/>
      </w:pPr>
      <w:r>
        <w:rPr>
          <w:rFonts w:eastAsia="等线" w:ascii="Arial" w:cs="Arial" w:hAnsi="Arial"/>
          <w:sz w:val="22"/>
        </w:rPr>
        <w:t>基本定义</w:t>
      </w:r>
    </w:p>
    <w:p>
      <w:pPr>
        <w:numPr>
          <w:numId w:val="83"/>
        </w:numPr>
        <w:spacing w:before="120" w:after="120" w:line="288" w:lineRule="auto"/>
        <w:ind w:left="453"/>
        <w:jc w:val="left"/>
      </w:pPr>
      <w:r>
        <w:rPr>
          <w:rFonts w:eastAsia="等线" w:ascii="Arial" w:cs="Arial" w:hAnsi="Arial"/>
          <w:sz w:val="22"/>
        </w:rPr>
        <w:t>本制度所称非居民是指中国税收居民以外的个人和企业（包括其他组织），但不包括政府机构、国际组织、中央银行、金融机构或者在证券市场上市交易的公司及其关联机构。中国税收居民是指中国税法规定的居民企业或者居民个人。非居民金融账户是指在我国境内的金融机构开立或者保有的、由非居民或者有非居民控制人的消极非金融机构持有的金融账户。公司应当在识别出非居民金融账户之日起将其归入非居民金融账户进行管理。账户持有人同时构成中国税收居民和其他国家（地区）税收居民的，金融机构应当按照规定收集并报送其账户信息。</w:t>
      </w:r>
    </w:p>
    <w:p>
      <w:pPr>
        <w:numPr>
          <w:numId w:val="84"/>
        </w:numPr>
        <w:spacing w:before="120" w:after="120" w:line="288" w:lineRule="auto"/>
        <w:ind w:left="453"/>
        <w:jc w:val="left"/>
      </w:pPr>
      <w:r>
        <w:rPr>
          <w:rFonts w:eastAsia="等线" w:ascii="Arial" w:cs="Arial" w:hAnsi="Arial"/>
          <w:sz w:val="22"/>
        </w:rPr>
        <w:t>本制度所称消极非金融机构是指符合下列条件之一的机构：</w:t>
      </w:r>
    </w:p>
    <w:p>
      <w:pPr>
        <w:numPr>
          <w:numId w:val="85"/>
        </w:numPr>
        <w:spacing w:before="120" w:after="120" w:line="288" w:lineRule="auto"/>
        <w:ind w:left="453"/>
        <w:jc w:val="left"/>
      </w:pPr>
      <w:r>
        <w:rPr>
          <w:rFonts w:eastAsia="等线" w:ascii="Arial" w:cs="Arial" w:hAnsi="Arial"/>
          <w:sz w:val="22"/>
        </w:rPr>
        <w:t>上一公历年度内，股息、利息、租金、特许权使用费收入等不属于积极经营活动的收入，以及据以产生前述收入的金融资产的转让收入占总收入比重百分之五十以上的非金融机构；</w:t>
      </w:r>
    </w:p>
    <w:p>
      <w:pPr>
        <w:numPr>
          <w:numId w:val="86"/>
        </w:numPr>
        <w:spacing w:before="120" w:after="120" w:line="288" w:lineRule="auto"/>
        <w:ind w:left="453"/>
        <w:jc w:val="left"/>
      </w:pPr>
      <w:r>
        <w:rPr>
          <w:rFonts w:eastAsia="等线" w:ascii="Arial" w:cs="Arial" w:hAnsi="Arial"/>
          <w:sz w:val="22"/>
        </w:rPr>
        <w:t>上一公历年度末，拥有可以产生上述第一项所述收入的金融资产占总资产比重百分之五十以上的非金融机构；</w:t>
      </w:r>
    </w:p>
    <w:p>
      <w:pPr>
        <w:numPr>
          <w:numId w:val="87"/>
        </w:numPr>
        <w:spacing w:before="120" w:after="120" w:line="288" w:lineRule="auto"/>
        <w:ind w:left="453"/>
        <w:jc w:val="left"/>
      </w:pPr>
      <w:r>
        <w:rPr>
          <w:rFonts w:eastAsia="等线" w:ascii="Arial" w:cs="Arial" w:hAnsi="Arial"/>
          <w:sz w:val="22"/>
        </w:rPr>
        <w:t>税收居民国（地区）不实施金融账户涉税信息自动交换标准的投资机构。</w:t>
      </w:r>
    </w:p>
    <w:p>
      <w:pPr>
        <w:spacing w:before="120" w:after="120" w:line="288" w:lineRule="auto"/>
        <w:ind w:left="0" w:firstLine="420"/>
        <w:jc w:val="left"/>
      </w:pPr>
      <w:r>
        <w:rPr>
          <w:rFonts w:eastAsia="等线" w:ascii="Arial" w:cs="Arial" w:hAnsi="Arial"/>
          <w:sz w:val="22"/>
        </w:rPr>
        <w:t>下列非金融机构不属于消极非金融机构：</w:t>
      </w:r>
    </w:p>
    <w:p>
      <w:pPr>
        <w:numPr>
          <w:numId w:val="88"/>
        </w:numPr>
        <w:spacing w:before="120" w:after="120" w:line="288" w:lineRule="auto"/>
        <w:ind w:left="453"/>
        <w:jc w:val="left"/>
      </w:pPr>
      <w:r>
        <w:rPr>
          <w:rFonts w:eastAsia="等线" w:ascii="Arial" w:cs="Arial" w:hAnsi="Arial"/>
          <w:sz w:val="22"/>
        </w:rPr>
        <w:t>上市公司及其关联机构；</w:t>
      </w:r>
    </w:p>
    <w:p>
      <w:pPr>
        <w:numPr>
          <w:numId w:val="89"/>
        </w:numPr>
        <w:spacing w:before="120" w:after="120" w:line="288" w:lineRule="auto"/>
        <w:ind w:left="453"/>
        <w:jc w:val="left"/>
      </w:pPr>
      <w:r>
        <w:rPr>
          <w:rFonts w:eastAsia="等线" w:ascii="Arial" w:cs="Arial" w:hAnsi="Arial"/>
          <w:sz w:val="22"/>
        </w:rPr>
        <w:t>政府机构或者履行公共服务职能的机构；</w:t>
      </w:r>
    </w:p>
    <w:p>
      <w:pPr>
        <w:numPr>
          <w:numId w:val="90"/>
        </w:numPr>
        <w:spacing w:before="120" w:after="120" w:line="288" w:lineRule="auto"/>
        <w:ind w:left="453"/>
        <w:jc w:val="left"/>
      </w:pPr>
      <w:r>
        <w:rPr>
          <w:rFonts w:eastAsia="等线" w:ascii="Arial" w:cs="Arial" w:hAnsi="Arial"/>
          <w:sz w:val="22"/>
        </w:rPr>
        <w:t>仅为了持有非金融机构股权或者向其提供融资和服务而设立的控股公司；</w:t>
      </w:r>
    </w:p>
    <w:p>
      <w:pPr>
        <w:numPr>
          <w:numId w:val="91"/>
        </w:numPr>
        <w:spacing w:before="120" w:after="120" w:line="288" w:lineRule="auto"/>
        <w:ind w:left="453"/>
        <w:jc w:val="left"/>
      </w:pPr>
      <w:r>
        <w:rPr>
          <w:rFonts w:eastAsia="等线" w:ascii="Arial" w:cs="Arial" w:hAnsi="Arial"/>
          <w:sz w:val="22"/>
        </w:rPr>
        <w:t>成立时间不足二十四个月且尚未开展业务的企业；</w:t>
      </w:r>
    </w:p>
    <w:p>
      <w:pPr>
        <w:numPr>
          <w:numId w:val="92"/>
        </w:numPr>
        <w:spacing w:before="120" w:after="120" w:line="288" w:lineRule="auto"/>
        <w:ind w:left="453"/>
        <w:jc w:val="left"/>
      </w:pPr>
      <w:r>
        <w:rPr>
          <w:rFonts w:eastAsia="等线" w:ascii="Arial" w:cs="Arial" w:hAnsi="Arial"/>
          <w:sz w:val="22"/>
        </w:rPr>
        <w:t>正处于资产清算或者重组过程中的企业；</w:t>
      </w:r>
    </w:p>
    <w:p>
      <w:pPr>
        <w:numPr>
          <w:numId w:val="93"/>
        </w:numPr>
        <w:spacing w:before="120" w:after="120" w:line="288" w:lineRule="auto"/>
        <w:ind w:left="453"/>
        <w:jc w:val="left"/>
      </w:pPr>
      <w:r>
        <w:rPr>
          <w:rFonts w:eastAsia="等线" w:ascii="Arial" w:cs="Arial" w:hAnsi="Arial"/>
          <w:sz w:val="22"/>
        </w:rPr>
        <w:t>仅与本集团（该集团内机构均为非金融机构）内关联机构开展融资或者对冲交易的企业；</w:t>
      </w:r>
    </w:p>
    <w:p>
      <w:pPr>
        <w:numPr>
          <w:numId w:val="94"/>
        </w:numPr>
        <w:spacing w:before="120" w:after="120" w:line="288" w:lineRule="auto"/>
        <w:ind w:left="453"/>
        <w:jc w:val="left"/>
      </w:pPr>
      <w:r>
        <w:rPr>
          <w:rFonts w:eastAsia="等线" w:ascii="Arial" w:cs="Arial" w:hAnsi="Arial"/>
          <w:sz w:val="22"/>
        </w:rPr>
        <w:t>非营利组织。</w:t>
      </w:r>
    </w:p>
    <w:p>
      <w:pPr>
        <w:numPr>
          <w:numId w:val="95"/>
        </w:numPr>
        <w:spacing w:before="120" w:after="120" w:line="288" w:lineRule="auto"/>
        <w:ind w:left="453"/>
        <w:jc w:val="left"/>
      </w:pPr>
      <w:r>
        <w:rPr>
          <w:rFonts w:eastAsia="等线" w:ascii="Arial" w:cs="Arial" w:hAnsi="Arial"/>
          <w:sz w:val="22"/>
        </w:rPr>
        <w:t>本制度所称控制人是指对某一机构实施控制的个人，公司的控制人按照以下规则依次判定：</w:t>
      </w:r>
    </w:p>
    <w:p>
      <w:pPr>
        <w:numPr>
          <w:numId w:val="96"/>
        </w:numPr>
        <w:spacing w:before="120" w:after="120" w:line="288" w:lineRule="auto"/>
        <w:ind w:left="453"/>
        <w:jc w:val="left"/>
      </w:pPr>
      <w:r>
        <w:rPr>
          <w:rFonts w:eastAsia="等线" w:ascii="Arial" w:cs="Arial" w:hAnsi="Arial"/>
          <w:sz w:val="22"/>
        </w:rPr>
        <w:t>直接或者间接拥有超过百分之二十五公司股权或者表决权的个人；</w:t>
      </w:r>
    </w:p>
    <w:p>
      <w:pPr>
        <w:numPr>
          <w:numId w:val="97"/>
        </w:numPr>
        <w:spacing w:before="120" w:after="120" w:line="288" w:lineRule="auto"/>
        <w:ind w:left="453"/>
        <w:jc w:val="left"/>
      </w:pPr>
      <w:r>
        <w:rPr>
          <w:rFonts w:eastAsia="等线" w:ascii="Arial" w:cs="Arial" w:hAnsi="Arial"/>
          <w:sz w:val="22"/>
        </w:rPr>
        <w:t>通过人事、财务等其他方式对公司进行控制的个人；</w:t>
      </w:r>
    </w:p>
    <w:p>
      <w:pPr>
        <w:numPr>
          <w:numId w:val="98"/>
        </w:numPr>
        <w:spacing w:before="120" w:after="120" w:line="288" w:lineRule="auto"/>
        <w:ind w:left="453"/>
        <w:jc w:val="left"/>
      </w:pPr>
      <w:r>
        <w:rPr>
          <w:rFonts w:eastAsia="等线" w:ascii="Arial" w:cs="Arial" w:hAnsi="Arial"/>
          <w:sz w:val="22"/>
        </w:rPr>
        <w:t>公司的高级管理人员。</w:t>
      </w:r>
    </w:p>
    <w:p>
      <w:pPr>
        <w:spacing w:before="120" w:after="120" w:line="288" w:lineRule="auto"/>
        <w:ind w:left="0" w:firstLine="420"/>
        <w:jc w:val="left"/>
      </w:pPr>
      <w:r>
        <w:rPr>
          <w:rFonts w:eastAsia="等线" w:ascii="Arial" w:cs="Arial" w:hAnsi="Arial"/>
          <w:sz w:val="22"/>
        </w:rPr>
        <w:t>合伙企业的控制人是拥有超过百分之二十五合伙权益的个人。</w:t>
      </w:r>
    </w:p>
    <w:p>
      <w:pPr>
        <w:spacing w:before="120" w:after="120" w:line="288" w:lineRule="auto"/>
        <w:ind w:left="0" w:firstLine="420"/>
        <w:jc w:val="left"/>
      </w:pPr>
      <w:r>
        <w:rPr>
          <w:rFonts w:eastAsia="等线" w:ascii="Arial" w:cs="Arial" w:hAnsi="Arial"/>
          <w:sz w:val="22"/>
        </w:rPr>
        <w:t>信托的控制人是指信托的委托人、受托人、受益人以及其他对信托实施最终有效控制的个人。</w:t>
      </w:r>
    </w:p>
    <w:p>
      <w:pPr>
        <w:spacing w:before="120" w:after="120" w:line="288" w:lineRule="auto"/>
        <w:ind w:left="0" w:firstLine="420"/>
        <w:jc w:val="left"/>
      </w:pPr>
      <w:r>
        <w:rPr>
          <w:rFonts w:eastAsia="等线" w:ascii="Arial" w:cs="Arial" w:hAnsi="Arial"/>
          <w:sz w:val="22"/>
        </w:rPr>
        <w:t>基金的控制人是指拥有超过百分之二十五权益份额或者其他对基金进行控制的个人。</w:t>
      </w:r>
    </w:p>
    <w:p>
      <w:pPr>
        <w:numPr>
          <w:numId w:val="99"/>
        </w:numPr>
        <w:spacing w:before="120" w:after="120" w:line="288" w:lineRule="auto"/>
        <w:ind w:left="453"/>
        <w:jc w:val="left"/>
      </w:pPr>
      <w:r>
        <w:rPr>
          <w:rFonts w:eastAsia="等线" w:ascii="Arial" w:cs="Arial" w:hAnsi="Arial"/>
          <w:sz w:val="22"/>
        </w:rPr>
        <w:t>本制度所称非居民标识是指公司用于检索判断存量个人账户持有人和新开账户持有人是否为非居民个人的有关要素，具体包括：</w:t>
      </w:r>
    </w:p>
    <w:p>
      <w:pPr>
        <w:numPr>
          <w:numId w:val="100"/>
        </w:numPr>
        <w:spacing w:before="120" w:after="120" w:line="288" w:lineRule="auto"/>
        <w:ind w:left="453"/>
        <w:jc w:val="left"/>
      </w:pPr>
      <w:r>
        <w:rPr>
          <w:rFonts w:eastAsia="等线" w:ascii="Arial" w:cs="Arial" w:hAnsi="Arial"/>
          <w:sz w:val="22"/>
        </w:rPr>
        <w:t>账户持有人的境外身份证明；</w:t>
      </w:r>
    </w:p>
    <w:p>
      <w:pPr>
        <w:numPr>
          <w:numId w:val="101"/>
        </w:numPr>
        <w:spacing w:before="120" w:after="120" w:line="288" w:lineRule="auto"/>
        <w:ind w:left="453"/>
        <w:jc w:val="left"/>
      </w:pPr>
      <w:r>
        <w:rPr>
          <w:rFonts w:eastAsia="等线" w:ascii="Arial" w:cs="Arial" w:hAnsi="Arial"/>
          <w:sz w:val="22"/>
        </w:rPr>
        <w:t>账户持有人的境外现居地址或者邮寄地址，包括邮政信箱；</w:t>
      </w:r>
    </w:p>
    <w:p>
      <w:pPr>
        <w:numPr>
          <w:numId w:val="102"/>
        </w:numPr>
        <w:spacing w:before="120" w:after="120" w:line="288" w:lineRule="auto"/>
        <w:ind w:left="453"/>
        <w:jc w:val="left"/>
      </w:pPr>
      <w:r>
        <w:rPr>
          <w:rFonts w:eastAsia="等线" w:ascii="Arial" w:cs="Arial" w:hAnsi="Arial"/>
          <w:sz w:val="22"/>
        </w:rPr>
        <w:t>账户持有人的境外电话号码，且没有我国境内电话号码；</w:t>
      </w:r>
    </w:p>
    <w:p>
      <w:pPr>
        <w:numPr>
          <w:numId w:val="103"/>
        </w:numPr>
        <w:spacing w:before="120" w:after="120" w:line="288" w:lineRule="auto"/>
        <w:ind w:left="453"/>
        <w:jc w:val="left"/>
      </w:pPr>
      <w:r>
        <w:rPr>
          <w:rFonts w:eastAsia="等线" w:ascii="Arial" w:cs="Arial" w:hAnsi="Arial"/>
          <w:sz w:val="22"/>
        </w:rPr>
        <w:t>存款账户以外的账户向境外账户定期转账的指令；</w:t>
      </w:r>
    </w:p>
    <w:p>
      <w:pPr>
        <w:numPr>
          <w:numId w:val="104"/>
        </w:numPr>
        <w:spacing w:before="120" w:after="120" w:line="288" w:lineRule="auto"/>
        <w:ind w:left="453"/>
        <w:jc w:val="left"/>
      </w:pPr>
      <w:r>
        <w:rPr>
          <w:rFonts w:eastAsia="等线" w:ascii="Arial" w:cs="Arial" w:hAnsi="Arial"/>
          <w:sz w:val="22"/>
        </w:rPr>
        <w:t>账户代理人或者授权签字人的境外地址；</w:t>
      </w:r>
    </w:p>
    <w:p>
      <w:pPr>
        <w:numPr>
          <w:numId w:val="105"/>
        </w:numPr>
        <w:spacing w:before="120" w:after="120" w:line="288" w:lineRule="auto"/>
        <w:ind w:left="453"/>
        <w:jc w:val="left"/>
      </w:pPr>
      <w:r>
        <w:rPr>
          <w:rFonts w:eastAsia="等线" w:ascii="Arial" w:cs="Arial" w:hAnsi="Arial"/>
          <w:sz w:val="22"/>
        </w:rPr>
        <w:t>境外的转交地址或者留交地址，并且是唯一地址。转交地址是指账户持有人要求将其相关信函寄给转交人的地址，转交人收到信函后再交给账户持有人。留交地址是指账户持有人要求将其相关信函暂时存放的地址。</w:t>
      </w:r>
    </w:p>
    <w:p>
      <w:pPr>
        <w:numPr>
          <w:numId w:val="106"/>
        </w:numPr>
        <w:spacing w:before="120" w:after="120" w:line="288" w:lineRule="auto"/>
        <w:ind w:left="453"/>
        <w:jc w:val="left"/>
      </w:pPr>
      <w:r>
        <w:rPr>
          <w:rFonts w:eastAsia="等线" w:ascii="Arial" w:cs="Arial" w:hAnsi="Arial"/>
          <w:sz w:val="22"/>
        </w:rPr>
        <w:t>本制度所称证明材料是指：</w:t>
      </w:r>
    </w:p>
    <w:p>
      <w:pPr>
        <w:numPr>
          <w:numId w:val="107"/>
        </w:numPr>
        <w:spacing w:before="120" w:after="120" w:line="288" w:lineRule="auto"/>
        <w:ind w:left="453"/>
        <w:jc w:val="left"/>
      </w:pPr>
      <w:r>
        <w:rPr>
          <w:rFonts w:eastAsia="等线" w:ascii="Arial" w:cs="Arial" w:hAnsi="Arial"/>
          <w:sz w:val="22"/>
        </w:rPr>
        <w:t>由政府出具的税收居民身份证明；</w:t>
      </w:r>
    </w:p>
    <w:p>
      <w:pPr>
        <w:numPr>
          <w:numId w:val="108"/>
        </w:numPr>
        <w:spacing w:before="120" w:after="120" w:line="288" w:lineRule="auto"/>
        <w:ind w:left="453"/>
        <w:jc w:val="left"/>
      </w:pPr>
      <w:r>
        <w:rPr>
          <w:rFonts w:eastAsia="等线" w:ascii="Arial" w:cs="Arial" w:hAnsi="Arial"/>
          <w:sz w:val="22"/>
        </w:rPr>
        <w:t>由政府出具的含有个人姓名且通常用于身份识别的有效身份证明，或者由政府出具的含有机构名称以及主要办公地址或者注册成立地址等信息的官方文件。</w:t>
      </w:r>
    </w:p>
    <w:p>
      <w:pPr>
        <w:spacing w:before="120" w:after="120" w:line="288" w:lineRule="auto"/>
        <w:ind w:left="0" w:firstLine="0"/>
        <w:jc w:val="center"/>
      </w:pPr>
      <w:r>
        <w:rPr>
          <w:rFonts w:eastAsia="等线" w:ascii="Arial" w:cs="Arial" w:hAnsi="Arial"/>
          <w:sz w:val="22"/>
        </w:rPr>
        <w:t>三、个人账户尽职调查</w:t>
      </w:r>
    </w:p>
    <w:p>
      <w:pPr>
        <w:numPr>
          <w:numId w:val="109"/>
        </w:numPr>
        <w:spacing w:before="120" w:after="120" w:line="288" w:lineRule="auto"/>
        <w:ind w:left="453"/>
        <w:jc w:val="left"/>
      </w:pPr>
      <w:r>
        <w:rPr>
          <w:rFonts w:eastAsia="等线" w:ascii="Arial" w:cs="Arial" w:hAnsi="Arial"/>
          <w:sz w:val="22"/>
        </w:rPr>
        <w:t>公司基金运营部门应当按照以下规定，对新开个人账户开展尽职调查：</w:t>
      </w:r>
    </w:p>
    <w:p>
      <w:pPr>
        <w:numPr>
          <w:numId w:val="110"/>
        </w:numPr>
        <w:spacing w:before="120" w:after="120" w:line="288" w:lineRule="auto"/>
        <w:ind w:left="453"/>
        <w:jc w:val="left"/>
      </w:pPr>
      <w:r>
        <w:rPr>
          <w:rFonts w:eastAsia="等线" w:ascii="Arial" w:cs="Arial" w:hAnsi="Arial"/>
          <w:sz w:val="22"/>
        </w:rPr>
        <w:t xml:space="preserve"> 个人开立账户时，尽职调查基金运营部门应当获取由账户持有人签署的税收居民身份声明文件，识别账户持有人是否为非居民个人。尽职调查基金运营部门通过电子渠道接收个人账户开户申请时，应当要求账户持有人提供电子声明文件。声明文件应当作为开户资料的一部分，声明文件相关信息可并入开户申请书中。个人代理他人开立金融账户以及单位代理个人开立金融账户时，经账户持有人书面授权后可由代理人签署声明文件。</w:t>
      </w:r>
    </w:p>
    <w:p>
      <w:pPr>
        <w:numPr>
          <w:numId w:val="111"/>
        </w:numPr>
        <w:spacing w:before="120" w:after="120" w:line="288" w:lineRule="auto"/>
        <w:ind w:left="453"/>
        <w:jc w:val="left"/>
      </w:pPr>
      <w:r>
        <w:rPr>
          <w:rFonts w:eastAsia="等线" w:ascii="Arial" w:cs="Arial" w:hAnsi="Arial"/>
          <w:sz w:val="22"/>
        </w:rPr>
        <w:t>公司尽职调查基金运营部门应当根据开户资料（包括通过反洗钱客户身份识别程序收集的资料），对声明文件的合理性进行审核，主要确认填写信息是否与其他信息存在明显矛盾。尽职调查基金运营部门认为声明文件存在不合理信息时，应当要求账户持有人提供有效声明文件或者进行解释。不提供有效声明文件或者合理解释的，不得开立账户。</w:t>
      </w:r>
    </w:p>
    <w:p>
      <w:pPr>
        <w:numPr>
          <w:numId w:val="112"/>
        </w:numPr>
        <w:spacing w:before="120" w:after="120" w:line="288" w:lineRule="auto"/>
        <w:ind w:left="453"/>
        <w:jc w:val="left"/>
      </w:pPr>
      <w:r>
        <w:rPr>
          <w:rFonts w:eastAsia="等线" w:ascii="Arial" w:cs="Arial" w:hAnsi="Arial"/>
          <w:sz w:val="22"/>
        </w:rPr>
        <w:t>识别为非居民个人的，尽职调查基金运营部门应当收集并记录报送所需信息。</w:t>
      </w:r>
    </w:p>
    <w:p>
      <w:pPr>
        <w:numPr>
          <w:numId w:val="113"/>
        </w:numPr>
        <w:spacing w:before="120" w:after="120" w:line="288" w:lineRule="auto"/>
        <w:ind w:left="453"/>
        <w:jc w:val="left"/>
      </w:pPr>
      <w:r>
        <w:rPr>
          <w:rFonts w:eastAsia="等线" w:ascii="Arial" w:cs="Arial" w:hAnsi="Arial"/>
          <w:sz w:val="22"/>
        </w:rPr>
        <w:t>尽职调查基金运营部门知道或者应当知道新开个人账户情况发生变化导致原有声明文件信息不准确或者不可靠的，应当要求账户持有人提供有效声明文件。账户持有人自被要求提供之日起九十日内未能提供声明文件的，应当将其账户视为非居民账户管理。</w:t>
      </w:r>
    </w:p>
    <w:p>
      <w:pPr>
        <w:numPr>
          <w:numId w:val="114"/>
        </w:numPr>
        <w:spacing w:before="120" w:after="120" w:line="288" w:lineRule="auto"/>
        <w:ind w:left="453"/>
        <w:jc w:val="left"/>
      </w:pPr>
      <w:r>
        <w:rPr>
          <w:rFonts w:eastAsia="等线" w:ascii="Arial" w:cs="Arial" w:hAnsi="Arial"/>
          <w:sz w:val="22"/>
        </w:rPr>
        <w:t>尽职调查基金运营部门应当于每年12月31日前选择以下方式完成对存量个人低净值账户的尽职调查：</w:t>
      </w:r>
    </w:p>
    <w:p>
      <w:pPr>
        <w:numPr>
          <w:numId w:val="115"/>
        </w:numPr>
        <w:spacing w:before="120" w:after="120" w:line="288" w:lineRule="auto"/>
        <w:ind w:left="453"/>
        <w:jc w:val="left"/>
      </w:pPr>
      <w:r>
        <w:rPr>
          <w:rFonts w:eastAsia="等线" w:ascii="Arial" w:cs="Arial" w:hAnsi="Arial"/>
          <w:sz w:val="22"/>
        </w:rPr>
        <w:t>对于在现有客户资料（包括通过反洗钱客户身份识别程序收集的资料，下同）中留有地址，且有证明材料证明是现居地址或者地址位于现居国家（地区）的账户持有人，可以根据账户持有人的地址确定是否为非居民个人。邮寄无法送达的，不得将客户资料所留地址视为现居地址。</w:t>
      </w:r>
    </w:p>
    <w:p>
      <w:pPr>
        <w:numPr>
          <w:numId w:val="116"/>
        </w:numPr>
        <w:spacing w:before="120" w:after="120" w:line="288" w:lineRule="auto"/>
        <w:ind w:left="453"/>
        <w:jc w:val="left"/>
      </w:pPr>
      <w:r>
        <w:rPr>
          <w:rFonts w:eastAsia="等线" w:ascii="Arial" w:cs="Arial" w:hAnsi="Arial"/>
          <w:sz w:val="22"/>
        </w:rPr>
        <w:t>利用现有信息系统开展电子记录检索，识别账户是否存在任一非居民标识。</w:t>
      </w:r>
    </w:p>
    <w:p>
      <w:pPr>
        <w:numPr>
          <w:numId w:val="117"/>
        </w:numPr>
        <w:spacing w:before="120" w:after="120" w:line="288" w:lineRule="auto"/>
        <w:ind w:left="453"/>
        <w:jc w:val="left"/>
      </w:pPr>
      <w:r>
        <w:rPr>
          <w:rFonts w:eastAsia="等线" w:ascii="Arial" w:cs="Arial" w:hAnsi="Arial"/>
          <w:sz w:val="22"/>
        </w:rPr>
        <w:t>现有客户资料中没有现居地址信息的，或者账户情况发生变化导致现居地址证明材料不再准确的，尽职调查基金运营部门应当采用前款第二项方式开展尽职调查。</w:t>
      </w:r>
    </w:p>
    <w:p>
      <w:pPr>
        <w:numPr>
          <w:numId w:val="118"/>
        </w:numPr>
        <w:spacing w:before="120" w:after="120" w:line="288" w:lineRule="auto"/>
        <w:ind w:left="453"/>
        <w:jc w:val="left"/>
      </w:pPr>
      <w:r>
        <w:rPr>
          <w:rFonts w:eastAsia="等线" w:ascii="Arial" w:cs="Arial" w:hAnsi="Arial"/>
          <w:sz w:val="22"/>
        </w:rPr>
        <w:t>尽职调查基金运营部门应当对存量个人高净值账户依次完成以下尽职调查程序：</w:t>
      </w:r>
    </w:p>
    <w:p>
      <w:pPr>
        <w:numPr>
          <w:numId w:val="119"/>
        </w:numPr>
        <w:spacing w:before="120" w:after="120" w:line="288" w:lineRule="auto"/>
        <w:ind w:left="453"/>
        <w:jc w:val="left"/>
      </w:pPr>
      <w:r>
        <w:rPr>
          <w:rFonts w:eastAsia="等线" w:ascii="Arial" w:cs="Arial" w:hAnsi="Arial"/>
          <w:sz w:val="22"/>
        </w:rPr>
        <w:t>开展电子记录检索和纸质记录检索，识别账户是否存在任一非居民标识。应当检索的纸质记录包括过去五年中获取的、与账户有关的全部纸质资料</w:t>
      </w:r>
    </w:p>
    <w:p>
      <w:pPr>
        <w:numPr>
          <w:numId w:val="120"/>
        </w:numPr>
        <w:spacing w:before="120" w:after="120" w:line="288" w:lineRule="auto"/>
        <w:ind w:left="453"/>
        <w:jc w:val="left"/>
      </w:pPr>
      <w:r>
        <w:rPr>
          <w:rFonts w:eastAsia="等线" w:ascii="Arial" w:cs="Arial" w:hAnsi="Arial"/>
          <w:sz w:val="22"/>
        </w:rPr>
        <w:t>尽职调查基金运营部门利用现有信息系统可电子检索出全部非居民标识字段信息的，可以不开展纸质记录检索。</w:t>
      </w:r>
    </w:p>
    <w:p>
      <w:pPr>
        <w:numPr>
          <w:numId w:val="121"/>
        </w:numPr>
        <w:spacing w:before="120" w:after="120" w:line="288" w:lineRule="auto"/>
        <w:ind w:left="453"/>
        <w:jc w:val="left"/>
      </w:pPr>
      <w:r>
        <w:rPr>
          <w:rFonts w:eastAsia="等线" w:ascii="Arial" w:cs="Arial" w:hAnsi="Arial"/>
          <w:sz w:val="22"/>
        </w:rPr>
        <w:t>询问客户负责人/渠道其客户是否为非居民个人。</w:t>
      </w:r>
    </w:p>
    <w:p>
      <w:pPr>
        <w:numPr>
          <w:numId w:val="122"/>
        </w:numPr>
        <w:spacing w:before="120" w:after="120" w:line="288" w:lineRule="auto"/>
        <w:ind w:left="453"/>
        <w:jc w:val="left"/>
      </w:pPr>
      <w:r>
        <w:rPr>
          <w:rFonts w:eastAsia="等线" w:ascii="Arial" w:cs="Arial" w:hAnsi="Arial"/>
          <w:sz w:val="22"/>
        </w:rPr>
        <w:t>对于存量个人低净值账户，2023年6月30日之后任一公历年度末账户加总余额超过一百万美元时，尽职调查基金运营部门应当在次年12月31日前，按照本制度第十四条规定程序完成对账户的尽职调查。</w:t>
      </w:r>
    </w:p>
    <w:p>
      <w:pPr>
        <w:numPr>
          <w:numId w:val="123"/>
        </w:numPr>
        <w:spacing w:before="120" w:after="120" w:line="288" w:lineRule="auto"/>
        <w:ind w:left="453"/>
        <w:jc w:val="left"/>
      </w:pPr>
      <w:r>
        <w:rPr>
          <w:rFonts w:eastAsia="等线" w:ascii="Arial" w:cs="Arial" w:hAnsi="Arial"/>
          <w:sz w:val="22"/>
        </w:rPr>
        <w:t>对发现存在非居民标识的存量个人账户，尽职调查基金运营部门可以通过现有客户资料确认账户持有人为非居民个人的，应当收集并记录报送部门所需信息。无法确认的，应当要求账户持有人提供声明文件。声明为中国税收居民个人的，尽职调查基金运营部门应当要求其提供相应证明材料；声明为非居民个人的，尽职调查基金运营部门应当收集并记录报送部门所需信息。账户持有人自被要求提供之日起九十日内未能提供声明文件的，尽职调查基金运营部门应当将其账户视为非居民账户管理。</w:t>
      </w:r>
    </w:p>
    <w:p>
      <w:pPr>
        <w:numPr>
          <w:numId w:val="124"/>
        </w:numPr>
        <w:spacing w:before="120" w:after="120" w:line="288" w:lineRule="auto"/>
        <w:ind w:left="453"/>
        <w:jc w:val="left"/>
      </w:pPr>
      <w:r>
        <w:rPr>
          <w:rFonts w:eastAsia="等线" w:ascii="Arial" w:cs="Arial" w:hAnsi="Arial"/>
          <w:sz w:val="22"/>
        </w:rPr>
        <w:t>对未发现存在非居民标识的存量个人账户，尽职调查基金运营部门无需作进一步处理，但应当建立持续监控机制。当账户情况变化出现非居民标识时，应当执行前款规定程序。</w:t>
      </w:r>
    </w:p>
    <w:p>
      <w:pPr>
        <w:spacing w:before="120" w:after="120" w:line="288" w:lineRule="auto"/>
        <w:ind w:left="0" w:firstLine="0"/>
        <w:jc w:val="center"/>
      </w:pPr>
      <w:r>
        <w:rPr>
          <w:rFonts w:eastAsia="等线" w:ascii="Arial" w:cs="Arial" w:hAnsi="Arial"/>
          <w:sz w:val="22"/>
        </w:rPr>
        <w:t>四、机构账户尽职调查</w:t>
      </w:r>
    </w:p>
    <w:p>
      <w:pPr>
        <w:numPr>
          <w:numId w:val="125"/>
        </w:numPr>
        <w:spacing w:before="120" w:after="120" w:line="288" w:lineRule="auto"/>
        <w:ind w:left="453"/>
        <w:jc w:val="left"/>
      </w:pPr>
      <w:r>
        <w:rPr>
          <w:rFonts w:eastAsia="等线" w:ascii="Arial" w:cs="Arial" w:hAnsi="Arial"/>
          <w:sz w:val="22"/>
        </w:rPr>
        <w:t>尽职调查基金运营部门应当按照以下规定，对新开机构账户开展尽职调查：</w:t>
      </w:r>
    </w:p>
    <w:p>
      <w:pPr>
        <w:numPr>
          <w:numId w:val="126"/>
        </w:numPr>
        <w:spacing w:before="120" w:after="120" w:line="288" w:lineRule="auto"/>
        <w:ind w:left="453"/>
        <w:jc w:val="left"/>
      </w:pPr>
      <w:r>
        <w:rPr>
          <w:rFonts w:eastAsia="等线" w:ascii="Arial" w:cs="Arial" w:hAnsi="Arial"/>
          <w:sz w:val="22"/>
        </w:rPr>
        <w:t>机构开立账户时，公司应当获取由该机构授权人签署的声明文件，识别账户持有人是否为非居民企业和消极非金融机构。声明文件应当作为开户资料的一部分，声明文件相关信息可并入开户申请书中。</w:t>
      </w:r>
    </w:p>
    <w:p>
      <w:pPr>
        <w:numPr>
          <w:numId w:val="127"/>
        </w:numPr>
        <w:spacing w:before="120" w:after="120" w:line="288" w:lineRule="auto"/>
        <w:ind w:left="453"/>
        <w:jc w:val="left"/>
      </w:pPr>
      <w:r>
        <w:rPr>
          <w:rFonts w:eastAsia="等线" w:ascii="Arial" w:cs="Arial" w:hAnsi="Arial"/>
          <w:sz w:val="22"/>
        </w:rPr>
        <w:t>公司应当根据开户资料（包括通过反洗钱客户身份识别程序收集的资料）或者公开信息对声明文件的合理性进行审核，主要确认填写信息是否与其他信息存在明显矛盾。尽职调查基金运营部门认为声明文件存在不合理信息时，应当要求账户持有人提供有效声明文件或者进行解释。不提供有效声明文件或者合理解释的，不得开立账户。</w:t>
      </w:r>
    </w:p>
    <w:p>
      <w:pPr>
        <w:numPr>
          <w:numId w:val="128"/>
        </w:numPr>
        <w:spacing w:before="120" w:after="120" w:line="288" w:lineRule="auto"/>
        <w:ind w:left="453"/>
        <w:jc w:val="left"/>
      </w:pPr>
      <w:r>
        <w:rPr>
          <w:rFonts w:eastAsia="等线" w:ascii="Arial" w:cs="Arial" w:hAnsi="Arial"/>
          <w:sz w:val="22"/>
        </w:rPr>
        <w:t>识别为非居民企业的，尽职调查基金运营部门应当收集并记录报送所需信息。合伙企业等机构声明不具有税收居民身份的，可按照其实际管理机构所在地确定其税收居民国（地区）。</w:t>
      </w:r>
    </w:p>
    <w:p>
      <w:pPr>
        <w:numPr>
          <w:numId w:val="129"/>
        </w:numPr>
        <w:spacing w:before="120" w:after="120" w:line="288" w:lineRule="auto"/>
        <w:ind w:left="453"/>
        <w:jc w:val="left"/>
      </w:pPr>
      <w:r>
        <w:rPr>
          <w:rFonts w:eastAsia="等线" w:ascii="Arial" w:cs="Arial" w:hAnsi="Arial"/>
          <w:sz w:val="22"/>
        </w:rPr>
        <w:t>识别为消极非金融机构的，尽职调查基金运营部门应当依据反洗钱客户身份识别程序收集的资料识别其控制人，并且获取机构授权人或者控制人签署的声明文件，识别控制人是否为非居民个人。识别为有非居民控制人的消极非金融机构的，应当收集并记录消极非金融机构及其控制人相关信息。</w:t>
      </w:r>
    </w:p>
    <w:p>
      <w:pPr>
        <w:numPr>
          <w:numId w:val="130"/>
        </w:numPr>
        <w:spacing w:before="120" w:after="120" w:line="288" w:lineRule="auto"/>
        <w:ind w:left="453"/>
        <w:jc w:val="left"/>
      </w:pPr>
      <w:r>
        <w:rPr>
          <w:rFonts w:eastAsia="等线" w:ascii="Arial" w:cs="Arial" w:hAnsi="Arial"/>
          <w:sz w:val="22"/>
        </w:rPr>
        <w:t>账户持有人为非居民企业的，也应当进一步识别其是否同时为有非居民控制人的消极非金融机构。</w:t>
      </w:r>
    </w:p>
    <w:p>
      <w:pPr>
        <w:numPr>
          <w:numId w:val="131"/>
        </w:numPr>
        <w:spacing w:before="120" w:after="120" w:line="288" w:lineRule="auto"/>
        <w:ind w:left="453"/>
        <w:jc w:val="left"/>
      </w:pPr>
      <w:r>
        <w:rPr>
          <w:rFonts w:eastAsia="等线" w:ascii="Arial" w:cs="Arial" w:hAnsi="Arial"/>
          <w:sz w:val="22"/>
        </w:rPr>
        <w:t>尽职调查基金运营部门知道或者应当知道新开机构账户情况发生变化导致原有声明文件信息不准确或者不可靠的，应当要求机构授权人提供有效声明文件。机构授权人自被要求提供之日起九十日内未能提供声明文件的，尽职调查基金运营部门应当将其账户视为非居民账户管理。</w:t>
      </w:r>
    </w:p>
    <w:p>
      <w:pPr>
        <w:spacing w:before="120" w:after="120" w:line="288" w:lineRule="auto"/>
        <w:ind w:left="0" w:firstLine="420"/>
        <w:jc w:val="left"/>
      </w:pPr>
      <w:r>
        <w:rPr>
          <w:rFonts w:eastAsia="等线" w:ascii="Arial" w:cs="Arial" w:hAnsi="Arial"/>
          <w:sz w:val="22"/>
        </w:rPr>
        <w:t>五、业务流程机制</w:t>
      </w:r>
    </w:p>
    <w:p>
      <w:pPr>
        <w:numPr>
          <w:numId w:val="132"/>
        </w:numPr>
        <w:spacing w:before="120" w:after="120" w:line="288" w:lineRule="auto"/>
        <w:ind w:left="453"/>
        <w:jc w:val="left"/>
      </w:pPr>
      <w:r>
        <w:rPr>
          <w:rFonts w:eastAsia="等线" w:ascii="Arial" w:cs="Arial" w:hAnsi="Arial"/>
          <w:sz w:val="22"/>
        </w:rPr>
        <w:t>公司委托其他机构向客户销售金融产品的，代销机构应当配合公司尽职调查基金运营部门开展本制度所要求的尽职调查工作，并向尽职调查基金运营部门提供本制度要求的信息。</w:t>
      </w:r>
    </w:p>
    <w:p>
      <w:pPr>
        <w:numPr>
          <w:numId w:val="133"/>
        </w:numPr>
        <w:spacing w:before="120" w:after="120" w:line="288" w:lineRule="auto"/>
        <w:ind w:left="453"/>
        <w:jc w:val="left"/>
      </w:pPr>
      <w:r>
        <w:rPr>
          <w:rFonts w:eastAsia="等线" w:ascii="Arial" w:cs="Arial" w:hAnsi="Arial"/>
          <w:sz w:val="22"/>
        </w:rPr>
        <w:t>尽职调查基金运营部门建立账户持有人信息变化监控机制，包括要求账户持有人在本办法规定的相关信息变化之日起三十日内告知尽职调查基金运营部门。尽职调查基金运营部门在知道或者应当知道账户持有人相关信息发生变化之日起九十日内或者本年度12月31日前根据有关尽职调查程序重新识别账户持有人或者有关控制人是否为非居民。判定为非居民的收集相关信息。</w:t>
      </w:r>
    </w:p>
    <w:p>
      <w:pPr>
        <w:numPr>
          <w:numId w:val="134"/>
        </w:numPr>
        <w:spacing w:before="120" w:after="120" w:line="288" w:lineRule="auto"/>
        <w:ind w:left="453"/>
        <w:jc w:val="left"/>
      </w:pPr>
      <w:r>
        <w:rPr>
          <w:rFonts w:eastAsia="等线" w:ascii="Arial" w:cs="Arial" w:hAnsi="Arial"/>
          <w:sz w:val="22"/>
        </w:rPr>
        <w:t>公司每年年末由总经理负责，合规风控部牵头联合基金运营部、综合管理部对本年所有新开账户持有人情况进行检查，识别账户持有人所有留档信息，判断其是否为非居民及相关信息是否矛盾按规定执行，并建立非居民账户登记册。次年5月31日前向国家税务总局、中国证券投资基金业协会报送上年情况。在检查中发现漏洞或需调整之处应及时整改。</w:t>
      </w:r>
    </w:p>
    <w:p>
      <w:pPr>
        <w:numPr>
          <w:numId w:val="135"/>
        </w:numPr>
        <w:spacing w:before="120" w:after="120" w:line="288" w:lineRule="auto"/>
        <w:ind w:left="453"/>
        <w:jc w:val="left"/>
      </w:pPr>
      <w:r>
        <w:rPr>
          <w:rFonts w:eastAsia="等线" w:ascii="Arial" w:cs="Arial" w:hAnsi="Arial"/>
          <w:sz w:val="22"/>
        </w:rPr>
        <w:t>尽职调查基金运营部门公司应当妥善保管执行过程中收集的资料，保存期限为自报送期末起至少五年。资料保存由行政综合部负责保管。相关资料可以以电子形式保存，但应当确保能够按照相关行业监督管理部门和国家税务总局的要求提供纸质版本。</w:t>
      </w:r>
    </w:p>
    <w:p>
      <w:pPr>
        <w:spacing w:before="120" w:after="120" w:line="288" w:lineRule="auto"/>
        <w:ind w:left="0" w:firstLine="0"/>
        <w:jc w:val="center"/>
      </w:pPr>
      <w:r>
        <w:rPr>
          <w:rFonts w:eastAsia="等线" w:ascii="Arial" w:cs="Arial" w:hAnsi="Arial"/>
          <w:sz w:val="22"/>
        </w:rPr>
        <w:t>六、 监督管理</w:t>
      </w:r>
    </w:p>
    <w:p>
      <w:pPr>
        <w:numPr>
          <w:numId w:val="136"/>
        </w:numPr>
        <w:spacing w:before="120" w:after="120" w:line="288" w:lineRule="auto"/>
        <w:ind w:left="453"/>
        <w:jc w:val="left"/>
      </w:pPr>
      <w:r>
        <w:rPr>
          <w:rFonts w:eastAsia="等线" w:ascii="Arial" w:cs="Arial" w:hAnsi="Arial"/>
          <w:sz w:val="22"/>
        </w:rPr>
        <w:t>尽职调查基金运营部门建立实施监控机制，每年年末评估本制度执行情况，发现问题、进行整改，并于次年5月31日前同非居民账户报送工作一同报送上年发现的问题、整改流程或整改计划等情况进行一同报送行业协会或监管机构。</w:t>
      </w:r>
    </w:p>
    <w:p>
      <w:pPr>
        <w:numPr>
          <w:numId w:val="137"/>
        </w:numPr>
        <w:spacing w:before="120" w:after="120" w:line="288" w:lineRule="auto"/>
        <w:ind w:left="453"/>
        <w:jc w:val="left"/>
      </w:pPr>
      <w:r>
        <w:rPr>
          <w:rFonts w:eastAsia="等线" w:ascii="Arial" w:cs="Arial" w:hAnsi="Arial"/>
          <w:sz w:val="22"/>
        </w:rPr>
        <w:t>尽职调查基金运营部门执行工作时，不得存在以下情形：</w:t>
      </w:r>
    </w:p>
    <w:p>
      <w:pPr>
        <w:numPr>
          <w:numId w:val="138"/>
        </w:numPr>
        <w:spacing w:before="120" w:after="120" w:line="288" w:lineRule="auto"/>
        <w:ind w:left="453"/>
        <w:jc w:val="left"/>
      </w:pPr>
      <w:r>
        <w:rPr>
          <w:rFonts w:eastAsia="等线" w:ascii="Arial" w:cs="Arial" w:hAnsi="Arial"/>
          <w:sz w:val="22"/>
        </w:rPr>
        <w:t>未按照本制度规定开展尽职调查；</w:t>
      </w:r>
    </w:p>
    <w:p>
      <w:pPr>
        <w:numPr>
          <w:numId w:val="139"/>
        </w:numPr>
        <w:spacing w:before="120" w:after="120" w:line="288" w:lineRule="auto"/>
        <w:ind w:left="453"/>
        <w:jc w:val="left"/>
      </w:pPr>
      <w:r>
        <w:rPr>
          <w:rFonts w:eastAsia="等线" w:ascii="Arial" w:cs="Arial" w:hAnsi="Arial"/>
          <w:sz w:val="22"/>
        </w:rPr>
        <w:t>故意错报、漏报账户持有人信息；</w:t>
      </w:r>
    </w:p>
    <w:p>
      <w:pPr>
        <w:numPr>
          <w:numId w:val="140"/>
        </w:numPr>
        <w:spacing w:before="120" w:after="120" w:line="288" w:lineRule="auto"/>
        <w:ind w:left="453"/>
        <w:jc w:val="left"/>
      </w:pPr>
      <w:r>
        <w:rPr>
          <w:rFonts w:eastAsia="等线" w:ascii="Arial" w:cs="Arial" w:hAnsi="Arial"/>
          <w:sz w:val="22"/>
        </w:rPr>
        <w:t>帮助账户持有人隐藏真实信息或者伪造信息；</w:t>
      </w:r>
    </w:p>
    <w:p>
      <w:pPr>
        <w:numPr>
          <w:numId w:val="141"/>
        </w:numPr>
        <w:spacing w:before="120" w:after="120" w:line="288" w:lineRule="auto"/>
        <w:ind w:left="453"/>
        <w:jc w:val="left"/>
      </w:pPr>
      <w:r>
        <w:rPr>
          <w:rFonts w:eastAsia="等线" w:ascii="Arial" w:cs="Arial" w:hAnsi="Arial"/>
          <w:sz w:val="22"/>
        </w:rPr>
        <w:t>其他违反本办法规定的。</w:t>
      </w:r>
    </w:p>
    <w:p>
      <w:pPr>
        <w:spacing w:before="120" w:after="120" w:line="288" w:lineRule="auto"/>
        <w:ind w:left="0" w:firstLine="420"/>
        <w:jc w:val="left"/>
      </w:pPr>
      <w:r>
        <w:rPr>
          <w:rFonts w:eastAsia="等线" w:ascii="Arial" w:cs="Arial" w:hAnsi="Arial"/>
          <w:sz w:val="22"/>
        </w:rPr>
        <w:t>尽职调查基金运营部门发现上述情况应当及时报告公司负责人，针对具体情况进行整改。对直接人员给予处分。</w:t>
      </w:r>
    </w:p>
    <w:p>
      <w:pPr>
        <w:spacing w:before="120" w:after="120" w:line="288" w:lineRule="auto"/>
        <w:ind w:left="0" w:firstLine="0"/>
        <w:jc w:val="center"/>
      </w:pPr>
      <w:r>
        <w:rPr>
          <w:rFonts w:eastAsia="等线" w:ascii="Arial" w:cs="Arial" w:hAnsi="Arial"/>
          <w:sz w:val="22"/>
        </w:rPr>
        <w:t>七、附则</w:t>
      </w:r>
    </w:p>
    <w:p>
      <w:pPr>
        <w:numPr>
          <w:numId w:val="142"/>
        </w:numPr>
        <w:spacing w:before="120" w:after="120" w:line="288" w:lineRule="auto"/>
        <w:ind w:left="453"/>
        <w:jc w:val="left"/>
      </w:pPr>
      <w:r>
        <w:rPr>
          <w:rFonts w:eastAsia="等线" w:ascii="Arial" w:cs="Arial" w:hAnsi="Arial"/>
          <w:sz w:val="22"/>
        </w:rPr>
        <w:t>本制度由公司合规风控部负责制定、修订与解释，公司合规风控部将结合国家有关法律法规更新的实际情况, 及时对本制度进行修订、补充和完善。本制度未尽事宜，按相关法律法规执行。</w:t>
      </w:r>
    </w:p>
    <w:p>
      <w:pPr>
        <w:numPr>
          <w:numId w:val="143"/>
        </w:numPr>
        <w:spacing w:before="120" w:after="120" w:line="288" w:lineRule="auto"/>
        <w:ind w:left="453"/>
        <w:jc w:val="left"/>
      </w:pPr>
      <w:r>
        <w:rPr>
          <w:rFonts w:eastAsia="等线" w:ascii="Arial" w:cs="Arial" w:hAnsi="Arial"/>
          <w:sz w:val="22"/>
        </w:rPr>
        <w:t>本制度经董事审批通过，自发布之日起实行。</w:t>
      </w: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center"/>
      </w:pPr>
      <w:r>
        <w:rPr>
          <w:rFonts w:eastAsia="等线" w:ascii="Arial" w:cs="Arial" w:hAnsi="Arial"/>
          <w:sz w:val="22"/>
        </w:rPr>
        <w:t>一、 总则</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 xml:space="preserve">为了加强从业人员自律管理，规范从业人员执业行为，促进基金行业机构合规、稳健运行，保护投资者合法权益，根据《中华人民共和国证券投资基金法》《私募投资基金监督管理条例》《证券基金经营机构董事、监事、高级管理人员及从业人员监督管理办法》《私募投资基金监督管理暂行办法》等法律、行政法规、中国证券监督管理委员会（以下简称中国证监会）规定以及《中国证券投资基金业协会章程》《基金从业员管理规则》，制定本规则。 </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从业人员应当遵守法律、行政法规和中国证监会规定，恪守职业道德和行为规范，按照本规则规定，向中国证券投资基金业协会（以下简称协会）注册，取得基金从业资格（以下简称从业资格）。</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上海同登九和私募基金管理有限公司（以下简称“公司”）承担从业人员资格管理主体责任，合规风控部主要承担从业人员职业道德教育、明确行为规范、建立健全从业人员资格管理制度，组织实施从业人员资格管理和后续职业培训、按照有关规定向协会报送信息的职责。公司在聘任从业人员时，应充分了解从业人员的工作背景、守法合规情况、职业道德、社会公德、诚信情况、身心健康、业务素质、工作能力及工作变动情况等，对其是否胜任拟聘任岗位进行认真评估，审慎作出聘任决定。 </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公司为了强化从业人员执业行为管理、高级管理人员和各级责任人的执业行为管理责任，已制定《基金管理人合规制度》、《投资管理》、《基金与投资决策》等各项公司重要制度，规范其行为。</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本规则所称从业人员是指以公司名义进行基金业务活动的人员，包括与机构建立劳动关系的正式员工及建立劳务关系或者劳务派遣至机构的其他人员等。下列从业人员应当注册取得从业资格： </w:t>
      </w:r>
    </w:p>
    <w:p>
      <w:pPr>
        <w:numPr>
          <w:numId w:val="144"/>
        </w:numPr>
        <w:spacing w:before="120" w:after="120" w:line="288" w:lineRule="auto"/>
        <w:ind w:left="453"/>
        <w:jc w:val="left"/>
      </w:pPr>
      <w:r>
        <w:rPr>
          <w:rFonts w:eastAsia="等线" w:ascii="Arial" w:cs="Arial" w:hAnsi="Arial"/>
          <w:sz w:val="22"/>
        </w:rPr>
        <w:t>私募股权（含创投）投资基金管理人的法定代表人、执行事务合伙人或其委派代表、合规风控负责人等高级管理人员和从事私募基金募集业务的专业人员；</w:t>
      </w:r>
    </w:p>
    <w:p>
      <w:pPr>
        <w:numPr>
          <w:numId w:val="145"/>
        </w:numPr>
        <w:spacing w:before="120" w:after="120" w:line="288" w:lineRule="auto"/>
        <w:ind w:left="453"/>
        <w:jc w:val="left"/>
      </w:pPr>
      <w:r>
        <w:rPr>
          <w:rFonts w:eastAsia="等线" w:ascii="Arial" w:cs="Arial" w:hAnsi="Arial"/>
          <w:sz w:val="22"/>
        </w:rPr>
        <w:t>基金托管人中从事与基金业务相关的基金清算、复核、投资监督、信息披露、内部稽核监控等专业人员，包括相关业务部门的管理人员；</w:t>
      </w:r>
    </w:p>
    <w:p>
      <w:pPr>
        <w:numPr>
          <w:numId w:val="146"/>
        </w:numPr>
        <w:spacing w:before="120" w:after="120" w:line="288" w:lineRule="auto"/>
        <w:ind w:left="453"/>
        <w:jc w:val="left"/>
      </w:pPr>
      <w:r>
        <w:rPr>
          <w:rFonts w:eastAsia="等线" w:ascii="Arial" w:cs="Arial" w:hAnsi="Arial"/>
          <w:sz w:val="22"/>
        </w:rPr>
        <w:t xml:space="preserve">法律、行政法规、中国证监会和协会规定需要取得从业资格的其他人员。 </w:t>
      </w:r>
    </w:p>
    <w:p>
      <w:pPr>
        <w:spacing w:before="120" w:after="120" w:line="288" w:lineRule="auto"/>
        <w:ind w:left="0" w:firstLine="420"/>
        <w:jc w:val="center"/>
      </w:pPr>
      <w:r>
        <w:rPr>
          <w:rFonts w:eastAsia="等线" w:ascii="Arial" w:cs="Arial" w:hAnsi="Arial"/>
          <w:sz w:val="22"/>
        </w:rPr>
        <w:t xml:space="preserve">二、 从业人员资质管理 </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b w:val="true"/>
          <w:sz w:val="22"/>
        </w:rPr>
        <w:t xml:space="preserve">第六条 </w:t>
      </w:r>
      <w:r>
        <w:rPr>
          <w:rFonts w:eastAsia="等线" w:ascii="Arial" w:cs="Arial" w:hAnsi="Arial"/>
          <w:sz w:val="22"/>
        </w:rPr>
        <w:t xml:space="preserve">基金从业考试设置科目一《基金法律法规与职业道德》、科目二《证券投资基金基础知识》及科目三《私募股权投资基金基础知识》等科目。 </w:t>
      </w:r>
    </w:p>
    <w:p>
      <w:pPr>
        <w:spacing w:before="120" w:after="120" w:line="288" w:lineRule="auto"/>
        <w:ind w:left="0" w:firstLine="0"/>
        <w:jc w:val="left"/>
      </w:pPr>
      <w:r>
        <w:rPr>
          <w:rFonts w:eastAsia="等线" w:ascii="Arial" w:cs="Arial" w:hAnsi="Arial"/>
          <w:b w:val="true"/>
          <w:sz w:val="22"/>
        </w:rPr>
        <w:t xml:space="preserve"> 第七条 </w:t>
      </w:r>
      <w:r>
        <w:rPr>
          <w:rFonts w:eastAsia="等线" w:ascii="Arial" w:cs="Arial" w:hAnsi="Arial"/>
          <w:sz w:val="22"/>
        </w:rPr>
        <w:t>申请注册从业资格的人员（以下简称申请人） 应当具备下列条件：</w:t>
      </w:r>
    </w:p>
    <w:p>
      <w:pPr>
        <w:numPr>
          <w:numId w:val="147"/>
        </w:numPr>
        <w:spacing w:before="120" w:after="120" w:line="288" w:lineRule="auto"/>
        <w:ind w:left="453"/>
        <w:jc w:val="left"/>
      </w:pPr>
      <w:r>
        <w:rPr>
          <w:rFonts w:eastAsia="等线" w:ascii="Arial" w:cs="Arial" w:hAnsi="Arial"/>
          <w:sz w:val="22"/>
        </w:rPr>
        <w:t>品行良好，具有良好的职业道德；</w:t>
      </w:r>
    </w:p>
    <w:p>
      <w:pPr>
        <w:numPr>
          <w:numId w:val="148"/>
        </w:numPr>
        <w:spacing w:before="120" w:after="120" w:line="288" w:lineRule="auto"/>
        <w:ind w:left="453"/>
        <w:jc w:val="left"/>
      </w:pPr>
      <w:r>
        <w:rPr>
          <w:rFonts w:eastAsia="等线" w:ascii="Arial" w:cs="Arial" w:hAnsi="Arial"/>
          <w:sz w:val="22"/>
        </w:rPr>
        <w:t xml:space="preserve">通过基金从业考试，或者符合协会规定的其他条件； </w:t>
      </w:r>
    </w:p>
    <w:p>
      <w:pPr>
        <w:numPr>
          <w:numId w:val="149"/>
        </w:numPr>
        <w:spacing w:before="120" w:after="120" w:line="288" w:lineRule="auto"/>
        <w:ind w:left="453"/>
        <w:jc w:val="left"/>
      </w:pPr>
      <w:r>
        <w:rPr>
          <w:rFonts w:eastAsia="等线" w:ascii="Arial" w:cs="Arial" w:hAnsi="Arial"/>
          <w:sz w:val="22"/>
        </w:rPr>
        <w:t>已被机构聘用；</w:t>
      </w:r>
    </w:p>
    <w:p>
      <w:pPr>
        <w:numPr>
          <w:numId w:val="150"/>
        </w:numPr>
        <w:spacing w:before="120" w:after="120" w:line="288" w:lineRule="auto"/>
        <w:ind w:left="453"/>
        <w:jc w:val="left"/>
      </w:pPr>
      <w:r>
        <w:rPr>
          <w:rFonts w:eastAsia="等线" w:ascii="Arial" w:cs="Arial" w:hAnsi="Arial"/>
          <w:sz w:val="22"/>
        </w:rPr>
        <w:t>最近3年未因犯罪被判处刑罚；</w:t>
      </w:r>
    </w:p>
    <w:p>
      <w:pPr>
        <w:numPr>
          <w:numId w:val="151"/>
        </w:numPr>
        <w:spacing w:before="120" w:after="120" w:line="288" w:lineRule="auto"/>
        <w:ind w:left="453"/>
        <w:jc w:val="left"/>
      </w:pPr>
      <w:r>
        <w:rPr>
          <w:rFonts w:eastAsia="等线" w:ascii="Arial" w:cs="Arial" w:hAnsi="Arial"/>
          <w:sz w:val="22"/>
        </w:rPr>
        <w:t>不存在《证券投资基金法》第十五条规定的情形；</w:t>
      </w:r>
    </w:p>
    <w:p>
      <w:pPr>
        <w:numPr>
          <w:numId w:val="152"/>
        </w:numPr>
        <w:spacing w:before="120" w:after="120" w:line="288" w:lineRule="auto"/>
        <w:ind w:left="453"/>
        <w:jc w:val="left"/>
      </w:pPr>
      <w:r>
        <w:rPr>
          <w:rFonts w:eastAsia="等线" w:ascii="Arial" w:cs="Arial" w:hAnsi="Arial"/>
          <w:sz w:val="22"/>
        </w:rPr>
        <w:t>最近5年未被中国证监会撤销基金从业资格或者被协会取消基金从业资格；</w:t>
      </w:r>
    </w:p>
    <w:p>
      <w:pPr>
        <w:numPr>
          <w:numId w:val="153"/>
        </w:numPr>
        <w:spacing w:before="120" w:after="120" w:line="288" w:lineRule="auto"/>
        <w:ind w:left="453"/>
        <w:jc w:val="left"/>
      </w:pPr>
      <w:r>
        <w:rPr>
          <w:rFonts w:eastAsia="等线" w:ascii="Arial" w:cs="Arial" w:hAnsi="Arial"/>
          <w:sz w:val="22"/>
        </w:rPr>
        <w:t>未被金融监管部门或者行业自律组织采取禁入措施，或者执行期已届满；</w:t>
      </w:r>
    </w:p>
    <w:p>
      <w:pPr>
        <w:numPr>
          <w:numId w:val="154"/>
        </w:numPr>
        <w:spacing w:before="120" w:after="120" w:line="288" w:lineRule="auto"/>
        <w:ind w:left="453"/>
        <w:jc w:val="left"/>
      </w:pPr>
      <w:r>
        <w:rPr>
          <w:rFonts w:eastAsia="等线" w:ascii="Arial" w:cs="Arial" w:hAnsi="Arial"/>
          <w:sz w:val="22"/>
        </w:rPr>
        <w:t xml:space="preserve">法律、行政法规、中国证监会和协会规定的其他条件。 </w:t>
      </w:r>
    </w:p>
    <w:p>
      <w:pPr>
        <w:spacing w:before="120" w:after="120" w:line="288" w:lineRule="auto"/>
        <w:ind w:left="0" w:firstLine="0"/>
        <w:jc w:val="left"/>
      </w:pPr>
      <w:r>
        <w:rPr>
          <w:rFonts w:eastAsia="等线" w:ascii="Arial" w:cs="Arial" w:hAnsi="Arial"/>
          <w:b w:val="true"/>
          <w:sz w:val="22"/>
        </w:rPr>
        <w:t xml:space="preserve">    第八条</w:t>
      </w:r>
      <w:r>
        <w:rPr>
          <w:rFonts w:eastAsia="等线" w:ascii="Arial" w:cs="Arial" w:hAnsi="Arial"/>
          <w:sz w:val="22"/>
        </w:rPr>
        <w:t xml:space="preserve"> 申请人豁免基金从业考试全部或者部分科目的，应当符合国家、金融监管部门及行业自律组织有关规定，具备从事基金业务活动所需的专业能力，掌握基金业务活动相关的专业知识，最近5年未被金融监管部门采取行政处罚或者行政 监管措施、未被金融行业自律组织采取自律处分或者自律管理措施。</w:t>
      </w:r>
    </w:p>
    <w:p>
      <w:pPr>
        <w:spacing w:before="120" w:after="120" w:line="288" w:lineRule="auto"/>
        <w:ind w:left="0" w:firstLine="0"/>
        <w:jc w:val="left"/>
      </w:pPr>
      <w:r>
        <w:rPr>
          <w:rFonts w:eastAsia="等线" w:ascii="Arial" w:cs="Arial" w:hAnsi="Arial"/>
          <w:b w:val="true"/>
          <w:sz w:val="22"/>
        </w:rPr>
        <w:t xml:space="preserve">    第九条 </w:t>
      </w:r>
      <w:r>
        <w:rPr>
          <w:rFonts w:eastAsia="等线" w:ascii="Arial" w:cs="Arial" w:hAnsi="Arial"/>
          <w:sz w:val="22"/>
        </w:rPr>
        <w:t xml:space="preserve">申请人从事基金业务的，应当填报申请表，公司向协会申请注册从业资格。申请人注册材料经所聘用机构审核后提交协会，协会在5个工作日内完成校核，符合本规则规定条件的，申请人注册取得从业资格；不符合本规则规定条件的，不予注册从业资格，通知机构和申请人并书面说明理由。 </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b w:val="true"/>
          <w:sz w:val="22"/>
        </w:rPr>
        <w:t xml:space="preserve">第十条 </w:t>
      </w:r>
      <w:r>
        <w:rPr>
          <w:rFonts w:eastAsia="等线" w:ascii="Arial" w:cs="Arial" w:hAnsi="Arial"/>
          <w:sz w:val="22"/>
        </w:rPr>
        <w:t xml:space="preserve">从业人员在从事基金业务过程中应当持续具备从业资格注册条件，并参加后续职业培训。自从业资格首次注册次年起，或者在从业资格注销后重新注册当年起，每年度完成与法律法规、职业道德、专业技能有关的后续职业培训不少于15学时，其中职业道德方面的后续职业培训不少于5学时。 从业人员通过学历认定、从业经历认定等方式注册从业资格的，应当自从业资格首次注册之日起，60日内完成前款规定的后续职业培训。从业人员在从事基金业务过程中个人信息发生变化的，应当及时进行变更。 </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b w:val="true"/>
          <w:sz w:val="22"/>
        </w:rPr>
        <w:t>第十一条</w:t>
      </w:r>
      <w:r>
        <w:rPr>
          <w:rFonts w:eastAsia="等线" w:ascii="Arial" w:cs="Arial" w:hAnsi="Arial"/>
          <w:sz w:val="22"/>
        </w:rPr>
        <w:t xml:space="preserve">  从业人员有下列情形之一的，公司应当在情形发生5个工作日内为其办理从业资格注销：</w:t>
      </w:r>
    </w:p>
    <w:p>
      <w:pPr>
        <w:numPr>
          <w:numId w:val="155"/>
        </w:numPr>
        <w:spacing w:before="120" w:after="120" w:line="288" w:lineRule="auto"/>
        <w:ind w:left="453"/>
        <w:jc w:val="left"/>
      </w:pPr>
      <w:r>
        <w:rPr>
          <w:rFonts w:eastAsia="等线" w:ascii="Arial" w:cs="Arial" w:hAnsi="Arial"/>
          <w:sz w:val="22"/>
        </w:rPr>
        <w:t>从业人员由于离职、工作调动等原因不再从事基金业务；</w:t>
      </w:r>
    </w:p>
    <w:p>
      <w:pPr>
        <w:numPr>
          <w:numId w:val="156"/>
        </w:numPr>
        <w:spacing w:before="120" w:after="120" w:line="288" w:lineRule="auto"/>
        <w:ind w:left="453"/>
        <w:jc w:val="left"/>
      </w:pPr>
      <w:r>
        <w:rPr>
          <w:rFonts w:eastAsia="等线" w:ascii="Arial" w:cs="Arial" w:hAnsi="Arial"/>
          <w:sz w:val="22"/>
        </w:rPr>
        <w:t>从业人员受到刑事处罚、被中国证监会撤销基金从业资格或者被协会取消基金从业资格，被金融监管部门或者行业自律组织采取禁入措施、认定为不适当人选、不适合从事相关业务、加入黑名单的行政处罚、监管措施、纪律处分，或者不再持续具备从业资格注册条件；</w:t>
      </w:r>
    </w:p>
    <w:p>
      <w:pPr>
        <w:numPr>
          <w:numId w:val="157"/>
        </w:numPr>
        <w:spacing w:before="120" w:after="120" w:line="288" w:lineRule="auto"/>
        <w:ind w:left="453"/>
        <w:jc w:val="left"/>
      </w:pPr>
      <w:r>
        <w:rPr>
          <w:rFonts w:eastAsia="等线" w:ascii="Arial" w:cs="Arial" w:hAnsi="Arial"/>
          <w:sz w:val="22"/>
        </w:rPr>
        <w:t>法律、行政法规、中国证监会和协会规定的其他情形。从业资格注销后，从业人员信息不再对外公示。</w:t>
      </w:r>
    </w:p>
    <w:p>
      <w:pPr>
        <w:spacing w:before="120" w:after="120" w:line="288" w:lineRule="auto"/>
        <w:ind w:left="0" w:firstLine="0"/>
        <w:jc w:val="left"/>
      </w:pPr>
      <w:r>
        <w:rPr>
          <w:rFonts w:eastAsia="等线" w:ascii="Arial" w:cs="Arial" w:hAnsi="Arial"/>
          <w:b w:val="true"/>
          <w:sz w:val="22"/>
        </w:rPr>
        <w:t xml:space="preserve">    第十二条</w:t>
      </w:r>
      <w:r>
        <w:rPr>
          <w:rFonts w:eastAsia="等线" w:ascii="Arial" w:cs="Arial" w:hAnsi="Arial"/>
          <w:sz w:val="22"/>
        </w:rPr>
        <w:t xml:space="preserve"> 私募股权（含创投）投资基金管理人的从业人员，法律、行政法规、中国证监会和协会对其从业资格另有规定的，从其规定。 </w:t>
      </w:r>
    </w:p>
    <w:p>
      <w:pPr>
        <w:spacing w:before="120" w:after="120" w:line="288" w:lineRule="auto"/>
        <w:ind w:left="0" w:firstLine="420"/>
        <w:jc w:val="left"/>
      </w:pPr>
      <w:r>
        <w:rPr>
          <w:rFonts w:eastAsia="等线" w:ascii="Arial" w:cs="Arial" w:hAnsi="Arial"/>
          <w:sz w:val="22"/>
        </w:rPr>
        <w:t>私募股权（含创投）投资基金管理人中除本制度第二条第二项规定从业人员外的其他人员，适用本规则第四章的规定。</w:t>
      </w:r>
    </w:p>
    <w:p>
      <w:pPr>
        <w:spacing w:before="120" w:after="120" w:line="288" w:lineRule="auto"/>
        <w:ind w:left="0" w:firstLine="0"/>
        <w:jc w:val="left"/>
      </w:pPr>
      <w:r>
        <w:rPr>
          <w:rFonts w:eastAsia="等线" w:ascii="Arial" w:cs="Arial" w:hAnsi="Arial"/>
          <w:b w:val="true"/>
          <w:sz w:val="22"/>
        </w:rPr>
        <w:t xml:space="preserve">    第十三条 </w:t>
      </w:r>
      <w:r>
        <w:rPr>
          <w:rFonts w:eastAsia="等线" w:ascii="Arial" w:cs="Arial" w:hAnsi="Arial"/>
          <w:sz w:val="22"/>
        </w:rPr>
        <w:t xml:space="preserve">基金经理、投资经理、合规风控人员等人员除符合本规则规定的条件外，还应当符合相应的从业条件，具体规则由协会另行制定。 机构聘任前款规定的人员前，应当考察确认其是否符合相应的从业条件，并按照规定办理注册、登记等任职手续。 </w:t>
      </w:r>
    </w:p>
    <w:p>
      <w:pPr>
        <w:spacing w:before="120" w:after="120" w:line="288" w:lineRule="auto"/>
        <w:ind w:left="0" w:firstLine="420"/>
        <w:jc w:val="center"/>
      </w:pPr>
      <w:r>
        <w:rPr>
          <w:rFonts w:eastAsia="等线" w:ascii="Arial" w:cs="Arial" w:hAnsi="Arial"/>
          <w:sz w:val="22"/>
        </w:rPr>
        <w:t xml:space="preserve">三、 公司的管理责任 </w:t>
      </w:r>
    </w:p>
    <w:p>
      <w:pPr>
        <w:spacing w:before="120" w:after="120" w:line="288" w:lineRule="auto"/>
        <w:ind w:left="0" w:firstLine="420"/>
        <w:jc w:val="left"/>
      </w:pPr>
      <w:r>
        <w:rPr>
          <w:rFonts w:eastAsia="等线" w:ascii="Arial" w:cs="Arial" w:hAnsi="Arial"/>
          <w:b w:val="true"/>
          <w:sz w:val="22"/>
        </w:rPr>
        <w:t>第十四条</w:t>
      </w:r>
      <w:r>
        <w:rPr>
          <w:rFonts w:eastAsia="等线" w:ascii="Arial" w:cs="Arial" w:hAnsi="Arial"/>
          <w:sz w:val="22"/>
        </w:rPr>
        <w:t xml:space="preserve"> 公司进行从业资格管理的工作包括从业资格注册、从业资格信息变更、后续职业培训管理、诚信信息管理、从业资格注销以及组织开展专项考核等。 </w:t>
      </w:r>
    </w:p>
    <w:p>
      <w:pPr>
        <w:spacing w:before="120" w:after="120" w:line="288" w:lineRule="auto"/>
        <w:ind w:left="0" w:firstLine="420"/>
        <w:jc w:val="left"/>
      </w:pPr>
      <w:r>
        <w:rPr>
          <w:rFonts w:eastAsia="等线" w:ascii="Arial" w:cs="Arial" w:hAnsi="Arial"/>
          <w:b w:val="true"/>
          <w:sz w:val="22"/>
        </w:rPr>
        <w:t>第十五条</w:t>
      </w:r>
      <w:r>
        <w:rPr>
          <w:rFonts w:eastAsia="等线" w:ascii="Arial" w:cs="Arial" w:hAnsi="Arial"/>
          <w:sz w:val="22"/>
        </w:rPr>
        <w:t xml:space="preserve"> 公司应当指定专人担任资格管理员负责从业资格管理工作，指定或者更换资格管理员应当在5个工作日内向协会报备。资格管理员应当履行下列职责：（一）以机构名义操作从业人员管理平台，妥善进行账 户和权限管理； </w:t>
      </w:r>
    </w:p>
    <w:p>
      <w:pPr>
        <w:spacing w:before="120" w:after="120" w:line="288" w:lineRule="auto"/>
        <w:ind w:left="0" w:firstLine="420"/>
        <w:jc w:val="left"/>
      </w:pPr>
      <w:r>
        <w:rPr>
          <w:rFonts w:eastAsia="等线" w:ascii="Arial" w:cs="Arial" w:hAnsi="Arial"/>
          <w:sz w:val="22"/>
        </w:rPr>
        <w:t xml:space="preserve">（二）负责从业人员个人基本信息、岗位信息、诚信信息、离职离任情况以及从业资格管理有关材料的审核。确保 各项资料和信息真实、准确和完整，不得有虚假记载、误导性陈述和重大遗漏，并按规定对上述资料留档保存； </w:t>
      </w:r>
    </w:p>
    <w:p>
      <w:pPr>
        <w:spacing w:before="120" w:after="120" w:line="288" w:lineRule="auto"/>
        <w:ind w:left="0" w:firstLine="420"/>
        <w:jc w:val="left"/>
      </w:pPr>
      <w:r>
        <w:rPr>
          <w:rFonts w:eastAsia="等线" w:ascii="Arial" w:cs="Arial" w:hAnsi="Arial"/>
          <w:sz w:val="22"/>
        </w:rPr>
        <w:t xml:space="preserve">（三）为从业人员提供有关从业资格管理的咨询服务； </w:t>
      </w:r>
    </w:p>
    <w:p>
      <w:pPr>
        <w:spacing w:before="120" w:after="120" w:line="288" w:lineRule="auto"/>
        <w:ind w:left="0" w:firstLine="420"/>
        <w:jc w:val="left"/>
      </w:pPr>
      <w:r>
        <w:rPr>
          <w:rFonts w:eastAsia="等线" w:ascii="Arial" w:cs="Arial" w:hAnsi="Arial"/>
          <w:sz w:val="22"/>
        </w:rPr>
        <w:t xml:space="preserve">（四）保持与协会沟通联系，配合协会开展从业资格管理有关检查。资格管理员不得擅自委托他人代其行使职责。 </w:t>
      </w:r>
    </w:p>
    <w:p>
      <w:pPr>
        <w:spacing w:before="120" w:after="120" w:line="288" w:lineRule="auto"/>
        <w:ind w:left="0" w:firstLine="420"/>
        <w:jc w:val="left"/>
      </w:pPr>
      <w:r>
        <w:rPr>
          <w:rFonts w:eastAsia="等线" w:ascii="Arial" w:cs="Arial" w:hAnsi="Arial"/>
          <w:b w:val="true"/>
          <w:sz w:val="22"/>
        </w:rPr>
        <w:t>第十六条</w:t>
      </w:r>
      <w:r>
        <w:rPr>
          <w:rFonts w:eastAsia="等线" w:ascii="Arial" w:cs="Arial" w:hAnsi="Arial"/>
          <w:sz w:val="22"/>
        </w:rPr>
        <w:t xml:space="preserve"> 公司负责从业资格注册工作，机构应当为从业人员开设从业人员管理平台个人账户并对个人填报的注册信息进行审核。</w:t>
      </w:r>
    </w:p>
    <w:p>
      <w:pPr>
        <w:spacing w:before="120" w:after="120" w:line="288" w:lineRule="auto"/>
        <w:ind w:left="0" w:firstLine="420"/>
        <w:jc w:val="left"/>
      </w:pPr>
      <w:r>
        <w:rPr>
          <w:rFonts w:eastAsia="等线" w:ascii="Arial" w:cs="Arial" w:hAnsi="Arial"/>
          <w:b w:val="true"/>
          <w:sz w:val="22"/>
        </w:rPr>
        <w:t>第十七条</w:t>
      </w:r>
      <w:r>
        <w:rPr>
          <w:rFonts w:eastAsia="等线" w:ascii="Arial" w:cs="Arial" w:hAnsi="Arial"/>
          <w:sz w:val="22"/>
        </w:rPr>
        <w:t xml:space="preserve"> 公司负责从业人员信息变更工作，从业人员个人基本信息、身份信息、从业岗位等发生变化的，应当及时向机构报告，机构应当在知悉上述情形发生的5个工作日内变更有关注册信息。 </w:t>
      </w:r>
    </w:p>
    <w:p>
      <w:pPr>
        <w:spacing w:before="120" w:after="120" w:line="288" w:lineRule="auto"/>
        <w:ind w:left="0" w:firstLine="420"/>
        <w:jc w:val="left"/>
      </w:pPr>
      <w:r>
        <w:rPr>
          <w:rFonts w:eastAsia="等线" w:ascii="Arial" w:cs="Arial" w:hAnsi="Arial"/>
          <w:b w:val="true"/>
          <w:sz w:val="22"/>
        </w:rPr>
        <w:t>第十八条</w:t>
      </w:r>
      <w:r>
        <w:rPr>
          <w:rFonts w:eastAsia="等线" w:ascii="Arial" w:cs="Arial" w:hAnsi="Arial"/>
          <w:sz w:val="22"/>
        </w:rPr>
        <w:t xml:space="preserve"> 公司负责从业人员后续职业培训管理工作， 应当制定年度培训工作计划，加强对从业人员的法律法规培训，组织职业道德规范及案例警示教育，督促从业人员参加各项专业技能培训。 </w:t>
      </w:r>
    </w:p>
    <w:p>
      <w:pPr>
        <w:spacing w:before="120" w:after="120" w:line="288" w:lineRule="auto"/>
        <w:ind w:left="0" w:firstLine="420"/>
        <w:jc w:val="left"/>
      </w:pPr>
      <w:r>
        <w:rPr>
          <w:rFonts w:eastAsia="等线" w:ascii="Arial" w:cs="Arial" w:hAnsi="Arial"/>
          <w:b w:val="true"/>
          <w:sz w:val="22"/>
        </w:rPr>
        <w:t>第十九条</w:t>
      </w:r>
      <w:r>
        <w:rPr>
          <w:rFonts w:eastAsia="等线" w:ascii="Arial" w:cs="Arial" w:hAnsi="Arial"/>
          <w:sz w:val="22"/>
        </w:rPr>
        <w:t xml:space="preserve"> 公司负责从业人员诚信信息管理工作，应当按照有关规定查询拟聘任从业人员诚信信息。</w:t>
      </w:r>
    </w:p>
    <w:p>
      <w:pPr>
        <w:spacing w:before="120" w:after="120" w:line="288" w:lineRule="auto"/>
        <w:ind w:left="0" w:firstLine="420"/>
        <w:jc w:val="left"/>
      </w:pPr>
      <w:r>
        <w:rPr>
          <w:rFonts w:eastAsia="等线" w:ascii="Arial" w:cs="Arial" w:hAnsi="Arial"/>
          <w:sz w:val="22"/>
        </w:rPr>
        <w:t xml:space="preserve">从业人员在从事基金业务中违反有关法律、行政法规、监管规定、自律规则，被金融监管部门处罚、采取监管措施或者被行业自律组织纪律处分、采取自律管理措施的，应当及时向公司报告。有下列情形之一的，公司应当按照有关规定在5个工作日内记入从业人员诚信信息： </w:t>
      </w:r>
    </w:p>
    <w:p>
      <w:pPr>
        <w:numPr>
          <w:numId w:val="158"/>
        </w:numPr>
        <w:spacing w:before="120" w:after="120" w:line="288" w:lineRule="auto"/>
        <w:ind w:left="453"/>
        <w:jc w:val="left"/>
      </w:pPr>
      <w:r>
        <w:rPr>
          <w:rFonts w:eastAsia="等线" w:ascii="Arial" w:cs="Arial" w:hAnsi="Arial"/>
          <w:sz w:val="22"/>
        </w:rPr>
        <w:t xml:space="preserve">从业人员因违反有关法律、行政法规、监管规定、自律规则被金融监管部门处罚、采取监管措施或者被行业自 律组织纪律处分、采取自律管理措施； </w:t>
      </w:r>
    </w:p>
    <w:p>
      <w:pPr>
        <w:numPr>
          <w:numId w:val="159"/>
        </w:numPr>
        <w:spacing w:before="120" w:after="120" w:line="288" w:lineRule="auto"/>
        <w:ind w:left="453"/>
        <w:jc w:val="left"/>
      </w:pPr>
      <w:r>
        <w:rPr>
          <w:rFonts w:eastAsia="等线" w:ascii="Arial" w:cs="Arial" w:hAnsi="Arial"/>
          <w:sz w:val="22"/>
        </w:rPr>
        <w:t xml:space="preserve">从业人员因违反有关法律、行政法规、监管规定、自律规则受到机构处分； </w:t>
      </w:r>
    </w:p>
    <w:p>
      <w:pPr>
        <w:numPr>
          <w:numId w:val="160"/>
        </w:numPr>
        <w:spacing w:before="120" w:after="120" w:line="288" w:lineRule="auto"/>
        <w:ind w:left="453"/>
        <w:jc w:val="left"/>
      </w:pPr>
      <w:r>
        <w:rPr>
          <w:rFonts w:eastAsia="等线" w:ascii="Arial" w:cs="Arial" w:hAnsi="Arial"/>
          <w:sz w:val="22"/>
        </w:rPr>
        <w:t xml:space="preserve">从业人员因严重违反机构规章制度受到机构处分，或者因违法失信行为被机构开除； </w:t>
      </w:r>
    </w:p>
    <w:p>
      <w:pPr>
        <w:numPr>
          <w:numId w:val="161"/>
        </w:numPr>
        <w:spacing w:before="120" w:after="120" w:line="288" w:lineRule="auto"/>
        <w:ind w:left="453"/>
        <w:jc w:val="left"/>
      </w:pPr>
      <w:r>
        <w:rPr>
          <w:rFonts w:eastAsia="等线" w:ascii="Arial" w:cs="Arial" w:hAnsi="Arial"/>
          <w:sz w:val="22"/>
        </w:rPr>
        <w:t>中国证监会及协会规定应当记入诚信信息的其他情形。</w:t>
      </w:r>
    </w:p>
    <w:p>
      <w:pPr>
        <w:spacing w:before="120" w:after="120" w:line="288" w:lineRule="auto"/>
        <w:ind w:left="0" w:firstLine="0"/>
        <w:jc w:val="left"/>
      </w:pPr>
      <w:r>
        <w:rPr>
          <w:rFonts w:eastAsia="等线" w:ascii="Arial" w:cs="Arial" w:hAnsi="Arial"/>
          <w:b w:val="true"/>
          <w:sz w:val="22"/>
        </w:rPr>
        <w:t xml:space="preserve">     第二十条 </w:t>
      </w:r>
      <w:r>
        <w:rPr>
          <w:rFonts w:eastAsia="等线" w:ascii="Arial" w:cs="Arial" w:hAnsi="Arial"/>
          <w:sz w:val="22"/>
        </w:rPr>
        <w:t xml:space="preserve">公司负责从业资格注销工作，从业人员不再从事基金业务或者不再持续具备从业资格注册条件的，机构应当按照有关规定及时办理从业资格注销。 从业资格被注销后再次申请注册从业资格，应当在注册之前2年内完成不少于30学时后续职业培训、通过基金从业考试或者符合协会规定的其他条件。 </w:t>
      </w:r>
    </w:p>
    <w:p>
      <w:pPr>
        <w:spacing w:before="120" w:after="120" w:line="288" w:lineRule="auto"/>
        <w:ind w:left="0" w:firstLine="420"/>
        <w:jc w:val="center"/>
      </w:pPr>
      <w:r>
        <w:rPr>
          <w:rFonts w:eastAsia="等线" w:ascii="Arial" w:cs="Arial" w:hAnsi="Arial"/>
          <w:sz w:val="22"/>
        </w:rPr>
        <w:t xml:space="preserve">四、  执业行为规范 </w:t>
      </w:r>
    </w:p>
    <w:p>
      <w:pPr>
        <w:spacing w:before="120" w:after="120" w:line="288" w:lineRule="auto"/>
        <w:ind w:left="0" w:firstLine="420"/>
        <w:jc w:val="left"/>
      </w:pPr>
      <w:r>
        <w:rPr>
          <w:rFonts w:eastAsia="等线" w:ascii="Arial" w:cs="Arial" w:hAnsi="Arial"/>
          <w:b w:val="true"/>
          <w:sz w:val="22"/>
        </w:rPr>
        <w:t>第二十一条</w:t>
      </w:r>
      <w:r>
        <w:rPr>
          <w:rFonts w:eastAsia="等线" w:ascii="Arial" w:cs="Arial" w:hAnsi="Arial"/>
          <w:sz w:val="22"/>
        </w:rPr>
        <w:t xml:space="preserve"> 从业人员应当恪尽职守，诚实守信，守法 合规，忠实于投资者利益，将投资者利益置于个人及机构利益之上，公平对待投资者。 </w:t>
      </w:r>
    </w:p>
    <w:p>
      <w:pPr>
        <w:spacing w:before="120" w:after="120" w:line="288" w:lineRule="auto"/>
        <w:ind w:left="0" w:firstLine="420"/>
        <w:jc w:val="left"/>
      </w:pPr>
      <w:r>
        <w:rPr>
          <w:rFonts w:eastAsia="等线" w:ascii="Arial" w:cs="Arial" w:hAnsi="Arial"/>
          <w:b w:val="true"/>
          <w:sz w:val="22"/>
        </w:rPr>
        <w:t>第二十二条</w:t>
      </w:r>
      <w:r>
        <w:rPr>
          <w:rFonts w:eastAsia="等线" w:ascii="Arial" w:cs="Arial" w:hAnsi="Arial"/>
          <w:sz w:val="22"/>
        </w:rPr>
        <w:t xml:space="preserve"> 从业人员应当谨慎勤勉，具备从事基金业务所必需的专业知识和技能，加强自身职业道德教育，学习法律、行政法规、监管规定、自律规则及机构规章制度，积极参加法规及业务培训，不断提高专业胜任能力，以投资者最佳利益出发，审慎稳健开展业务，保持独立性与客观性。 </w:t>
      </w:r>
    </w:p>
    <w:p>
      <w:pPr>
        <w:spacing w:before="120" w:after="120" w:line="288" w:lineRule="auto"/>
        <w:ind w:left="0" w:firstLine="420"/>
        <w:jc w:val="left"/>
      </w:pPr>
      <w:r>
        <w:rPr>
          <w:rFonts w:eastAsia="等线" w:ascii="Arial" w:cs="Arial" w:hAnsi="Arial"/>
          <w:b w:val="true"/>
          <w:sz w:val="22"/>
        </w:rPr>
        <w:t>第二十三条</w:t>
      </w:r>
      <w:r>
        <w:rPr>
          <w:rFonts w:eastAsia="等线" w:ascii="Arial" w:cs="Arial" w:hAnsi="Arial"/>
          <w:sz w:val="22"/>
        </w:rPr>
        <w:t xml:space="preserve"> 从业人员应当严格遵守法律、行政法规、监管规定、自律规则、机构规章制度以及与投资者的约定，恪守职业道德和行为规范，廉洁自律，配合金融监管部门和 行业自律组织的检查及调查工作。 </w:t>
      </w:r>
    </w:p>
    <w:p>
      <w:pPr>
        <w:spacing w:before="120" w:after="120" w:line="288" w:lineRule="auto"/>
        <w:ind w:left="0" w:firstLine="420"/>
        <w:jc w:val="left"/>
      </w:pPr>
      <w:r>
        <w:rPr>
          <w:rFonts w:eastAsia="等线" w:ascii="Arial" w:cs="Arial" w:hAnsi="Arial"/>
          <w:b w:val="true"/>
          <w:sz w:val="22"/>
        </w:rPr>
        <w:t xml:space="preserve">第二十四条 </w:t>
      </w:r>
      <w:r>
        <w:rPr>
          <w:rFonts w:eastAsia="等线" w:ascii="Arial" w:cs="Arial" w:hAnsi="Arial"/>
          <w:sz w:val="22"/>
        </w:rPr>
        <w:t xml:space="preserve">从业人员应当避免个人利益、相关方利益与投资者利益相冲突，可能发生冲突或者发生冲突时，应当及时向机构报告。机构应当及时向投资者充分披露发生冲突的可能性、冲突有关情况；当无法避免时，应当确保投资者利益得到公平的对待。 </w:t>
      </w:r>
    </w:p>
    <w:p>
      <w:pPr>
        <w:spacing w:before="120" w:after="120" w:line="288" w:lineRule="auto"/>
        <w:ind w:left="0" w:firstLine="420"/>
        <w:jc w:val="left"/>
      </w:pPr>
      <w:r>
        <w:rPr>
          <w:rFonts w:eastAsia="等线" w:ascii="Arial" w:cs="Arial" w:hAnsi="Arial"/>
          <w:b w:val="true"/>
          <w:sz w:val="22"/>
        </w:rPr>
        <w:t>第二十五条</w:t>
      </w:r>
      <w:r>
        <w:rPr>
          <w:rFonts w:eastAsia="等线" w:ascii="Arial" w:cs="Arial" w:hAnsi="Arial"/>
          <w:sz w:val="22"/>
        </w:rPr>
        <w:t xml:space="preserve"> 从业人员应当及时充分向投资者提供和说明与基金业务有关的重要信息或者资料，并保证信息或者资 料的真实性、准确性和完整性。 </w:t>
      </w:r>
    </w:p>
    <w:p>
      <w:pPr>
        <w:spacing w:before="120" w:after="120" w:line="288" w:lineRule="auto"/>
        <w:ind w:left="0" w:firstLine="420"/>
        <w:jc w:val="left"/>
      </w:pPr>
      <w:r>
        <w:rPr>
          <w:rFonts w:eastAsia="等线" w:ascii="Arial" w:cs="Arial" w:hAnsi="Arial"/>
          <w:b w:val="true"/>
          <w:sz w:val="22"/>
        </w:rPr>
        <w:t>第二十六条</w:t>
      </w:r>
      <w:r>
        <w:rPr>
          <w:rFonts w:eastAsia="等线" w:ascii="Arial" w:cs="Arial" w:hAnsi="Arial"/>
          <w:sz w:val="22"/>
        </w:rPr>
        <w:t xml:space="preserve"> 从业人员在销售产品或者提供服务的过程中应当坚持投资者适当性原则，全面了解投资者情况，根据 投资者的投资需求和目标、财务状况、投资经验、流动性要求和风险承受能力等，将适当的产品或者服务销售或者提供 给适合的投资者，并充分揭示投资风险。 </w:t>
      </w:r>
    </w:p>
    <w:p>
      <w:pPr>
        <w:spacing w:before="120" w:after="120" w:line="288" w:lineRule="auto"/>
        <w:ind w:left="0" w:firstLine="420"/>
        <w:jc w:val="left"/>
      </w:pPr>
      <w:r>
        <w:rPr>
          <w:rFonts w:eastAsia="等线" w:ascii="Arial" w:cs="Arial" w:hAnsi="Arial"/>
          <w:b w:val="true"/>
          <w:sz w:val="22"/>
        </w:rPr>
        <w:t>第二十七条</w:t>
      </w:r>
      <w:r>
        <w:rPr>
          <w:rFonts w:eastAsia="等线" w:ascii="Arial" w:cs="Arial" w:hAnsi="Arial"/>
          <w:sz w:val="22"/>
        </w:rPr>
        <w:t xml:space="preserve"> 从业人员应当自觉维护个人职业声誉以及 所在机构和行业的声誉，践行社会公德、商业道德，相互尊重、公平竞争，廉洁从业。 </w:t>
      </w:r>
    </w:p>
    <w:p>
      <w:pPr>
        <w:spacing w:before="120" w:after="120" w:line="288" w:lineRule="auto"/>
        <w:ind w:left="0" w:firstLine="420"/>
        <w:jc w:val="left"/>
      </w:pPr>
      <w:r>
        <w:rPr>
          <w:rFonts w:eastAsia="等线" w:ascii="Arial" w:cs="Arial" w:hAnsi="Arial"/>
          <w:b w:val="true"/>
          <w:sz w:val="22"/>
        </w:rPr>
        <w:t>第二十八条</w:t>
      </w:r>
      <w:r>
        <w:rPr>
          <w:rFonts w:eastAsia="等线" w:ascii="Arial" w:cs="Arial" w:hAnsi="Arial"/>
          <w:sz w:val="22"/>
        </w:rPr>
        <w:t xml:space="preserve"> 从业人员应当严格保守投资者资料和交易信息、在执业活动中所获知的各相关方的信息和所在机构的商业秘密。从业人员对投资者服务结束或者离开所在机构后， 仍应当保守上述有关信息和商业秘密。 </w:t>
      </w:r>
    </w:p>
    <w:p>
      <w:pPr>
        <w:spacing w:before="120" w:after="120" w:line="288" w:lineRule="auto"/>
        <w:ind w:left="0" w:firstLine="420"/>
        <w:jc w:val="left"/>
      </w:pPr>
      <w:r>
        <w:rPr>
          <w:rFonts w:eastAsia="等线" w:ascii="Arial" w:cs="Arial" w:hAnsi="Arial"/>
          <w:b w:val="true"/>
          <w:sz w:val="22"/>
        </w:rPr>
        <w:t>第二十九条</w:t>
      </w:r>
      <w:r>
        <w:rPr>
          <w:rFonts w:eastAsia="等线" w:ascii="Arial" w:cs="Arial" w:hAnsi="Arial"/>
          <w:sz w:val="22"/>
        </w:rPr>
        <w:t xml:space="preserve"> 从业人员不得有下列行为：</w:t>
      </w:r>
    </w:p>
    <w:p>
      <w:pPr>
        <w:numPr>
          <w:numId w:val="162"/>
        </w:numPr>
        <w:spacing w:before="120" w:after="120" w:line="288" w:lineRule="auto"/>
        <w:ind w:left="453"/>
        <w:jc w:val="left"/>
      </w:pPr>
      <w:r>
        <w:rPr>
          <w:rFonts w:eastAsia="等线" w:ascii="Arial" w:cs="Arial" w:hAnsi="Arial"/>
          <w:sz w:val="22"/>
        </w:rPr>
        <w:t xml:space="preserve">滥用职权，玩忽职守，不按照规定履行职责，欺骗、误导、不公平对待投资者的行为； </w:t>
      </w:r>
    </w:p>
    <w:p>
      <w:pPr>
        <w:numPr>
          <w:numId w:val="163"/>
        </w:numPr>
        <w:spacing w:before="120" w:after="120" w:line="288" w:lineRule="auto"/>
        <w:ind w:left="453"/>
        <w:jc w:val="left"/>
      </w:pPr>
      <w:r>
        <w:rPr>
          <w:rFonts w:eastAsia="等线" w:ascii="Arial" w:cs="Arial" w:hAnsi="Arial"/>
          <w:sz w:val="22"/>
        </w:rPr>
        <w:t xml:space="preserve">任何形式的商业贿赂，输送不正当利益，利用职务便利为本人或者利益相关人谋取不正当利益的行为； </w:t>
      </w:r>
    </w:p>
    <w:p>
      <w:pPr>
        <w:numPr>
          <w:numId w:val="164"/>
        </w:numPr>
        <w:spacing w:before="120" w:after="120" w:line="288" w:lineRule="auto"/>
        <w:ind w:left="453"/>
        <w:jc w:val="left"/>
      </w:pPr>
      <w:r>
        <w:rPr>
          <w:rFonts w:eastAsia="等线" w:ascii="Arial" w:cs="Arial" w:hAnsi="Arial"/>
          <w:sz w:val="22"/>
        </w:rPr>
        <w:t xml:space="preserve">编造虚假、不良信息或者发布、传播不当言论等损害职业声誉、行业声誉的行为； </w:t>
      </w:r>
    </w:p>
    <w:p>
      <w:pPr>
        <w:numPr>
          <w:numId w:val="165"/>
        </w:numPr>
        <w:spacing w:before="120" w:after="120" w:line="288" w:lineRule="auto"/>
        <w:ind w:left="453"/>
        <w:jc w:val="left"/>
      </w:pPr>
      <w:r>
        <w:rPr>
          <w:rFonts w:eastAsia="等线" w:ascii="Arial" w:cs="Arial" w:hAnsi="Arial"/>
          <w:sz w:val="22"/>
        </w:rPr>
        <w:t xml:space="preserve">干扰或者唆使、协助他人干扰监督管理或者自律管理工作的行为； </w:t>
      </w:r>
    </w:p>
    <w:p>
      <w:pPr>
        <w:numPr>
          <w:numId w:val="166"/>
        </w:numPr>
        <w:spacing w:before="120" w:after="120" w:line="288" w:lineRule="auto"/>
        <w:ind w:left="453"/>
        <w:jc w:val="left"/>
      </w:pPr>
      <w:r>
        <w:rPr>
          <w:rFonts w:eastAsia="等线" w:ascii="Arial" w:cs="Arial" w:hAnsi="Arial"/>
          <w:sz w:val="22"/>
        </w:rPr>
        <w:t xml:space="preserve">背离社会主义核心价值观，败坏社会风气、违背公序良俗，奢靡炫富、拜金主义、享乐主义和极端个人主义的行为； </w:t>
      </w:r>
    </w:p>
    <w:p>
      <w:pPr>
        <w:numPr>
          <w:numId w:val="167"/>
        </w:numPr>
        <w:spacing w:before="120" w:after="120" w:line="288" w:lineRule="auto"/>
        <w:ind w:left="453"/>
        <w:jc w:val="left"/>
      </w:pPr>
      <w:r>
        <w:rPr>
          <w:rFonts w:eastAsia="等线" w:ascii="Arial" w:cs="Arial" w:hAnsi="Arial"/>
          <w:sz w:val="22"/>
        </w:rPr>
        <w:t>违背职业道德和社会公德，或者法律、行政法规、 中国证监会和协会规定禁止的其他行为。</w:t>
      </w:r>
    </w:p>
    <w:p>
      <w:pPr>
        <w:spacing w:before="120" w:after="120" w:line="288" w:lineRule="auto"/>
        <w:ind w:left="0" w:firstLine="420"/>
        <w:jc w:val="center"/>
      </w:pPr>
      <w:r>
        <w:rPr>
          <w:rFonts w:eastAsia="等线" w:ascii="Arial" w:cs="Arial" w:hAnsi="Arial"/>
          <w:sz w:val="22"/>
        </w:rPr>
        <w:t>五、 附则</w:t>
      </w:r>
    </w:p>
    <w:p>
      <w:pPr>
        <w:spacing w:before="120" w:after="120" w:line="288" w:lineRule="auto"/>
        <w:ind w:left="0" w:firstLine="420"/>
        <w:jc w:val="left"/>
      </w:pPr>
      <w:r>
        <w:rPr>
          <w:rFonts w:eastAsia="等线" w:ascii="Arial" w:cs="Arial" w:hAnsi="Arial"/>
          <w:b w:val="true"/>
          <w:sz w:val="22"/>
        </w:rPr>
        <w:t>第三十条</w:t>
      </w:r>
      <w:r>
        <w:rPr>
          <w:rFonts w:eastAsia="等线" w:ascii="Arial" w:cs="Arial" w:hAnsi="Arial"/>
          <w:sz w:val="22"/>
        </w:rPr>
        <w:t xml:space="preserve"> 本制度由公司合规风控部负责制定、修订与解释，公司将结合国家有关法律法规更新的实际情况, 及时对本制度进行修订、补充和完善。本制度未尽事宜，按相关法律法规执行。</w:t>
      </w:r>
    </w:p>
    <w:p>
      <w:pPr>
        <w:spacing w:before="120" w:after="120" w:line="288" w:lineRule="auto"/>
        <w:ind w:left="0" w:firstLine="420"/>
        <w:jc w:val="left"/>
      </w:pPr>
      <w:r>
        <w:rPr>
          <w:rFonts w:eastAsia="等线" w:ascii="Arial" w:cs="Arial" w:hAnsi="Arial"/>
          <w:b w:val="true"/>
          <w:sz w:val="22"/>
        </w:rPr>
        <w:t>第三十一条</w:t>
      </w:r>
      <w:r>
        <w:rPr>
          <w:rFonts w:eastAsia="等线" w:ascii="Arial" w:cs="Arial" w:hAnsi="Arial"/>
          <w:sz w:val="22"/>
        </w:rPr>
        <w:t xml:space="preserve"> 本制度经公司有权机构审批通过，自发布之日起实行。</w:t>
      </w: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pStyle w:val="2"/>
        <w:spacing w:before="320" w:after="120" w:line="288" w:lineRule="auto"/>
        <w:ind w:left="0"/>
        <w:jc w:val="center"/>
        <w:outlineLvl w:val="1"/>
      </w:pPr>
      <w:bookmarkStart w:name="heading_19" w:id="19"/>
      <w:r>
        <w:rPr>
          <w:rFonts w:eastAsia="等线" w:ascii="Arial" w:cs="Arial" w:hAnsi="Arial"/>
          <w:b w:val="true"/>
          <w:sz w:val="32"/>
        </w:rPr>
        <w:t>第二章 投资管理</w:t>
      </w:r>
      <w:r>
        <w:rPr>
          <w:rFonts w:eastAsia="等线" w:ascii="Arial" w:cs="Arial" w:hAnsi="Arial"/>
          <w:b w:val="true"/>
          <w:sz w:val="32"/>
        </w:rPr>
        <w:t>（总经办）</w:t>
      </w:r>
      <w:bookmarkEnd w:id="19"/>
    </w:p>
    <w:p>
      <w:pPr>
        <w:pStyle w:val="3"/>
        <w:spacing w:before="300" w:after="120" w:line="288" w:lineRule="auto"/>
        <w:ind w:left="0"/>
        <w:jc w:val="center"/>
        <w:outlineLvl w:val="2"/>
      </w:pPr>
      <w:bookmarkStart w:name="heading_20" w:id="20"/>
      <w:r>
        <w:rPr>
          <w:rFonts w:eastAsia="等线" w:ascii="Arial" w:cs="Arial" w:hAnsi="Arial"/>
          <w:b w:val="true"/>
          <w:sz w:val="30"/>
        </w:rPr>
        <w:t>第一节 投资理念与方法论（</w:t>
      </w:r>
      <w:r>
        <w:rPr>
          <w:rFonts w:eastAsia="等线" w:ascii="Arial" w:cs="Arial" w:hAnsi="Arial"/>
          <w:b w:val="true"/>
          <w:color w:val="3370ff"/>
          <w:sz w:val="30"/>
        </w:rPr>
        <w:t>@荣成成</w:t>
      </w:r>
      <w:r>
        <w:rPr>
          <w:rFonts w:eastAsia="等线" w:ascii="Arial" w:cs="Arial" w:hAnsi="Arial"/>
          <w:b w:val="true"/>
          <w:sz w:val="30"/>
        </w:rPr>
        <w:t>）</w:t>
      </w:r>
      <w:bookmarkEnd w:id="20"/>
    </w:p>
    <w:p>
      <w:pPr>
        <w:spacing w:before="120" w:after="120" w:line="288" w:lineRule="auto"/>
        <w:ind w:left="0" w:firstLine="420"/>
        <w:jc w:val="left"/>
      </w:pPr>
      <w:r>
        <w:rPr>
          <w:rFonts w:eastAsia="等线" w:ascii="Arial" w:cs="Arial" w:hAnsi="Arial"/>
          <w:sz w:val="22"/>
        </w:rPr>
        <w:t>本节是对公司成立至今所形成、发展并不断完善的公司投资理念和方法的归纳总结。</w:t>
      </w:r>
    </w:p>
    <w:p>
      <w:pPr>
        <w:spacing w:before="120" w:after="120" w:line="288" w:lineRule="auto"/>
        <w:ind w:left="0" w:firstLine="420"/>
        <w:jc w:val="left"/>
      </w:pPr>
      <w:r>
        <w:rPr>
          <w:rFonts w:eastAsia="等线" w:ascii="Arial" w:cs="Arial" w:hAnsi="Arial"/>
          <w:sz w:val="22"/>
        </w:rPr>
        <w:t>投资理念为公司进行投资业务的指导原则，对于公司的投资领域、投资阶段、投资标准、投资方式、调研方法等进行了原则性指导，员工开展投资业务须以公司投资理念作为基本行为标准。</w:t>
      </w:r>
    </w:p>
    <w:p>
      <w:pPr>
        <w:spacing w:before="120" w:after="120" w:line="288" w:lineRule="auto"/>
        <w:ind w:left="0" w:firstLine="420"/>
        <w:jc w:val="left"/>
      </w:pPr>
      <w:r>
        <w:rPr>
          <w:rFonts w:eastAsia="等线" w:ascii="Arial" w:cs="Arial" w:hAnsi="Arial"/>
          <w:sz w:val="22"/>
        </w:rPr>
        <w:t>方法论为公司在长期业务实践中所总结的涉及各方面的经验总结，为公司员工在投资业务中提供了方法指引，引导员工更加科学、合理的进行投资管理业务。</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公司投资领域包括智能制造（电子信息、新材料、高端制造、新能源等）与医疗健康领域（生物技术、生物医药、医疗器械等）。</w:t>
      </w:r>
    </w:p>
    <w:p>
      <w:pPr>
        <w:spacing w:before="120" w:after="120" w:line="288" w:lineRule="auto"/>
        <w:ind w:left="0" w:firstLine="420"/>
        <w:jc w:val="left"/>
      </w:pPr>
      <w:r>
        <w:rPr>
          <w:rFonts w:eastAsia="等线" w:ascii="Arial" w:cs="Arial" w:hAnsi="Arial"/>
          <w:sz w:val="22"/>
        </w:rPr>
        <w:t>项目调研标准排序：A完成返投任务的项目，B海外项目（含国内出海项目），C国内优质项目（财务综合指标优先考虑，市场在欧美的产品出口不能受限）。</w:t>
      </w:r>
    </w:p>
    <w:p>
      <w:pPr>
        <w:spacing w:before="120" w:after="120" w:line="288" w:lineRule="auto"/>
        <w:ind w:left="0" w:firstLine="420"/>
        <w:jc w:val="left"/>
      </w:pPr>
      <w:r>
        <w:rPr>
          <w:rFonts w:eastAsia="等线" w:ascii="Arial" w:cs="Arial" w:hAnsi="Arial"/>
          <w:sz w:val="22"/>
        </w:rPr>
        <w:t>根据当前的发展形式，暂停调研A、C类项目，只调研B海外项目。</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对于新投资的项目，公司以盲池基金形式投资，投资A轮前（含A轮）阶段（投后4亿人民币为限）。</w:t>
      </w:r>
    </w:p>
    <w:p>
      <w:pPr>
        <w:spacing w:before="120" w:after="120" w:line="288" w:lineRule="auto"/>
        <w:ind w:left="0" w:firstLine="420"/>
        <w:jc w:val="left"/>
      </w:pPr>
      <w:r>
        <w:rPr>
          <w:rFonts w:eastAsia="等线" w:ascii="Arial" w:cs="Arial" w:hAnsi="Arial"/>
          <w:sz w:val="22"/>
        </w:rPr>
        <w:t>对于已投资项目的后续轮追加投资，公司以盲池基金形式投资，估值不受限制，但总投资金额不超过基金合伙协议约定的金额上限（一般为跟投项目700万，领投项目1200万，返投且领投项目投资金额上限1500万）</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投资标准</w:t>
      </w:r>
    </w:p>
    <w:p>
      <w:pPr>
        <w:spacing w:before="120" w:after="120" w:line="288" w:lineRule="auto"/>
        <w:ind w:left="0" w:firstLine="420"/>
        <w:jc w:val="left"/>
      </w:pPr>
      <w:r>
        <w:rPr>
          <w:rFonts w:eastAsia="等线" w:ascii="Arial" w:cs="Arial" w:hAnsi="Arial"/>
          <w:sz w:val="22"/>
        </w:rPr>
        <w:t>（一） 注重创始团队的商业化能力、研发能力和规范管理意识。创始团队核心人员须全职且有与其岗位相匹配的过往履历，具有创业应有的奉献精神与责任感；创业团队组成以技术和销售背景人才共同组成的优先；</w:t>
      </w:r>
    </w:p>
    <w:p>
      <w:pPr>
        <w:spacing w:before="120" w:after="120" w:line="288" w:lineRule="auto"/>
        <w:ind w:left="0" w:firstLine="420"/>
        <w:jc w:val="left"/>
      </w:pPr>
      <w:r>
        <w:rPr>
          <w:rFonts w:eastAsia="等线" w:ascii="Arial" w:cs="Arial" w:hAnsi="Arial"/>
          <w:sz w:val="22"/>
        </w:rPr>
        <w:t>（二） 市场应用痛点明确，下游客户对于应用前景基本形成共识，市场细分但潜在规模广阔；</w:t>
      </w:r>
    </w:p>
    <w:p>
      <w:pPr>
        <w:spacing w:before="120" w:after="120" w:line="288" w:lineRule="auto"/>
        <w:ind w:left="0" w:firstLine="420"/>
        <w:jc w:val="left"/>
      </w:pPr>
      <w:r>
        <w:rPr>
          <w:rFonts w:eastAsia="等线" w:ascii="Arial" w:cs="Arial" w:hAnsi="Arial"/>
          <w:sz w:val="22"/>
        </w:rPr>
        <w:t>（三） 技术国际先进、国内唯一，或国内先进且研发/销售领先；有技术壁垒；</w:t>
      </w:r>
    </w:p>
    <w:p>
      <w:pPr>
        <w:spacing w:before="120" w:after="120" w:line="288" w:lineRule="auto"/>
        <w:ind w:left="0" w:firstLine="420"/>
        <w:jc w:val="left"/>
      </w:pPr>
      <w:r>
        <w:rPr>
          <w:rFonts w:eastAsia="等线" w:ascii="Arial" w:cs="Arial" w:hAnsi="Arial"/>
          <w:sz w:val="22"/>
        </w:rPr>
        <w:t>（四） 从上述三个维度综合判断项目所属行业竞争态势，拟投项目应该属于其所在细分领域的高标位置。</w:t>
      </w:r>
    </w:p>
    <w:p>
      <w:pPr>
        <w:spacing w:before="120" w:after="120" w:line="288" w:lineRule="auto"/>
        <w:ind w:left="0" w:firstLine="420"/>
        <w:jc w:val="left"/>
      </w:pPr>
      <w:r>
        <w:rPr>
          <w:rFonts w:eastAsia="等线" w:ascii="Arial" w:cs="Arial" w:hAnsi="Arial"/>
          <w:sz w:val="22"/>
        </w:rPr>
        <w:t>（五） 对于国内项目，不存在现金流过于紧张、账期过长、坏账比例过高的情况；综合财务状况和经营状况，公司能够在拿到次轮融资前正常发展。</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投资方式与投资额度</w:t>
      </w:r>
    </w:p>
    <w:p>
      <w:pPr>
        <w:spacing w:before="120" w:after="120" w:line="288" w:lineRule="auto"/>
        <w:ind w:left="0" w:firstLine="420"/>
        <w:jc w:val="left"/>
      </w:pPr>
      <w:r>
        <w:rPr>
          <w:rFonts w:eastAsia="等线" w:ascii="Arial" w:cs="Arial" w:hAnsi="Arial"/>
          <w:sz w:val="22"/>
        </w:rPr>
        <w:t>（一） 公司投资以合投为主，以达到分散风险和为所投企业汇聚资源的目的；</w:t>
      </w:r>
    </w:p>
    <w:p>
      <w:pPr>
        <w:spacing w:before="120" w:after="120" w:line="288" w:lineRule="auto"/>
        <w:ind w:left="0" w:firstLine="420"/>
        <w:jc w:val="left"/>
      </w:pPr>
      <w:r>
        <w:rPr>
          <w:rFonts w:eastAsia="等线" w:ascii="Arial" w:cs="Arial" w:hAnsi="Arial"/>
          <w:sz w:val="22"/>
        </w:rPr>
        <w:t>（二） 新设立基金投资限额以基金合伙人协议约定为准。</w:t>
      </w:r>
    </w:p>
    <w:p>
      <w:pPr>
        <w:spacing w:before="120" w:after="120" w:line="288" w:lineRule="auto"/>
        <w:ind w:left="0" w:firstLine="420"/>
        <w:jc w:val="left"/>
      </w:pPr>
      <w:r>
        <w:rPr>
          <w:rFonts w:eastAsia="等线" w:ascii="Arial" w:cs="Arial" w:hAnsi="Arial"/>
          <w:sz w:val="22"/>
        </w:rPr>
        <w:t>（三） 在符合公司投资标准、公司投资金额占比较小且基金合伙协议允许的前提下，优先关注具有折价优惠的老股投资机会。</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项目部全程参与项目的投前、投中及投后工作。</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项目推进按照《投资流程管理制度》进行。</w:t>
      </w:r>
    </w:p>
    <w:p>
      <w:pPr>
        <w:spacing w:before="120" w:after="120" w:line="288" w:lineRule="auto"/>
        <w:ind w:left="0" w:firstLine="420"/>
        <w:jc w:val="left"/>
      </w:pPr>
      <w:r>
        <w:rPr>
          <w:rFonts w:eastAsia="等线" w:ascii="Arial" w:cs="Arial" w:hAnsi="Arial"/>
          <w:sz w:val="22"/>
        </w:rPr>
        <w:t>公司员工在项目调研中应遵循以下原则：</w:t>
      </w:r>
    </w:p>
    <w:p>
      <w:pPr>
        <w:numPr>
          <w:numId w:val="168"/>
        </w:numPr>
        <w:spacing w:before="120" w:after="120" w:line="288" w:lineRule="auto"/>
        <w:ind w:left="453"/>
        <w:jc w:val="left"/>
      </w:pPr>
      <w:r>
        <w:rPr>
          <w:rFonts w:eastAsia="等线" w:ascii="Arial" w:cs="Arial" w:hAnsi="Arial"/>
          <w:sz w:val="22"/>
        </w:rPr>
        <w:t>证伪原则：站在“中立偏疑”的立场，循着“问题-怀疑-取证”的思路展开项目调查，用经验和事实来发觉目标企业的投资价值。</w:t>
      </w:r>
    </w:p>
    <w:p>
      <w:pPr>
        <w:numPr>
          <w:numId w:val="169"/>
        </w:numPr>
        <w:spacing w:before="120" w:after="120" w:line="288" w:lineRule="auto"/>
        <w:ind w:left="453"/>
        <w:jc w:val="left"/>
      </w:pPr>
      <w:r>
        <w:rPr>
          <w:rFonts w:eastAsia="等线" w:ascii="Arial" w:cs="Arial" w:hAnsi="Arial"/>
          <w:sz w:val="22"/>
        </w:rPr>
        <w:t>实事求是原则：要求投资经理依据公司的投资理念和标准，在客观公正的立场上对目标企业进行调查，如实反映目标企业的真实情况。</w:t>
      </w:r>
    </w:p>
    <w:p>
      <w:pPr>
        <w:numPr>
          <w:numId w:val="170"/>
        </w:numPr>
        <w:spacing w:before="120" w:after="120" w:line="288" w:lineRule="auto"/>
        <w:ind w:left="453"/>
        <w:jc w:val="left"/>
      </w:pPr>
      <w:r>
        <w:rPr>
          <w:rFonts w:eastAsia="等线" w:ascii="Arial" w:cs="Arial" w:hAnsi="Arial"/>
          <w:sz w:val="22"/>
        </w:rPr>
        <w:t>事必躬亲原则：要求投资经理一定要亲临目标企业现场，进行实地考察、访谈，亲身体验和感受，而不是根据道听途说下判断。</w:t>
      </w:r>
    </w:p>
    <w:p>
      <w:pPr>
        <w:numPr>
          <w:numId w:val="171"/>
        </w:numPr>
        <w:spacing w:before="120" w:after="120" w:line="288" w:lineRule="auto"/>
        <w:ind w:left="453"/>
        <w:jc w:val="left"/>
      </w:pPr>
      <w:r>
        <w:rPr>
          <w:rFonts w:eastAsia="等线" w:ascii="Arial" w:cs="Arial" w:hAnsi="Arial"/>
          <w:sz w:val="22"/>
        </w:rPr>
        <w:t>突出重点原则：需要投资经理发现并重点依照投资标准调查目标企业的团队、市场、技术、财务综合指标，避免陷入眉毛胡子一把抓的境地。</w:t>
      </w:r>
    </w:p>
    <w:p>
      <w:pPr>
        <w:numPr>
          <w:numId w:val="172"/>
        </w:numPr>
        <w:spacing w:before="120" w:after="120" w:line="288" w:lineRule="auto"/>
        <w:ind w:left="453"/>
        <w:jc w:val="left"/>
      </w:pPr>
      <w:r>
        <w:rPr>
          <w:rFonts w:eastAsia="等线" w:ascii="Arial" w:cs="Arial" w:hAnsi="Arial"/>
          <w:sz w:val="22"/>
        </w:rPr>
        <w:t>以人为本原则：要求投资经理在对目标企业从技术、产品、市场等方面进行全面考察的同时，重点注意对管理团队的战略规划能力、综合管理能力、市场拓展能力、持续创新能力、国际化视野及道德风险等进行评判。</w:t>
      </w:r>
    </w:p>
    <w:p>
      <w:pPr>
        <w:numPr>
          <w:numId w:val="173"/>
        </w:numPr>
        <w:spacing w:before="120" w:after="120" w:line="288" w:lineRule="auto"/>
        <w:ind w:left="453"/>
        <w:jc w:val="left"/>
      </w:pPr>
      <w:r>
        <w:rPr>
          <w:rFonts w:eastAsia="等线" w:ascii="Arial" w:cs="Arial" w:hAnsi="Arial"/>
          <w:sz w:val="22"/>
        </w:rPr>
        <w:t>横向比较原则：需要投资经理了解同行业的国内外企业发展情况，以期发现目标企业的投资价值。</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项目调研时刻对照《负面清单与调研要点》，遵循《读书顺序调研法》。以负面清单作为控制项目风险不可逾越的红线，以调研要点保证调研内容的全面性，以读书顺序调研法保证项目调研顺序的科学性，同时以专业严谨的调研方法保证调研结果的真实性。</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项目调研以多个项目同时调研、梯次推进、同类项目对比调研的方式进行，同时要保证精力由深到浅分配。项目调研过程中要注重验证、对比。</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判断项目以通过独立审慎调研形成的调研结论为最终依据。</w:t>
      </w:r>
    </w:p>
    <w:p>
      <w:pPr>
        <w:spacing w:before="120" w:after="120" w:line="288" w:lineRule="auto"/>
        <w:ind w:left="0" w:firstLine="420"/>
        <w:jc w:val="left"/>
      </w:pPr>
      <w:r>
        <w:rPr>
          <w:rFonts w:eastAsia="等线" w:ascii="Arial" w:cs="Arial" w:hAnsi="Arial"/>
          <w:sz w:val="22"/>
        </w:rPr>
        <w:t>（一） 正确的投资理念、深厚的行业积累、敏感的市场需求嗅觉、优秀的逻辑能力和良好的专业能力以及理性的平和心态是公司员工能够做独立判断的基础；</w:t>
      </w:r>
    </w:p>
    <w:p>
      <w:pPr>
        <w:spacing w:before="120" w:after="120" w:line="288" w:lineRule="auto"/>
        <w:ind w:left="0" w:firstLine="420"/>
        <w:jc w:val="left"/>
      </w:pPr>
      <w:r>
        <w:rPr>
          <w:rFonts w:eastAsia="等线" w:ascii="Arial" w:cs="Arial" w:hAnsi="Arial"/>
          <w:sz w:val="22"/>
        </w:rPr>
        <w:t>（二） 早期科技的投资本身是风险最高的投资，从事这个行业本身已经是风险偏好，因此在调研的时候要有更高的风控意识，万分谨慎小心，切莫只关注未来的可能的收益而忽略了投资本金损失的风险。行业低谷时谨慎投资长期无营收或亏损的项目。</w:t>
      </w:r>
    </w:p>
    <w:p>
      <w:pPr>
        <w:spacing w:before="120" w:after="120" w:line="288" w:lineRule="auto"/>
        <w:ind w:left="0" w:firstLine="420"/>
        <w:jc w:val="left"/>
      </w:pPr>
      <w:r>
        <w:rPr>
          <w:rFonts w:eastAsia="等线" w:ascii="Arial" w:cs="Arial" w:hAnsi="Arial"/>
          <w:sz w:val="22"/>
        </w:rPr>
        <w:t>（三） 项目方亟需用钱、有市场知名机构领投、有其他机构在竞争项目等情况均可能影响对于项目的独立判断，要探究项目的底层逻辑，同时掌握应对前述问题的交流方式和技巧；</w:t>
      </w:r>
    </w:p>
    <w:p>
      <w:pPr>
        <w:spacing w:before="120" w:after="120" w:line="288" w:lineRule="auto"/>
        <w:ind w:left="0" w:firstLine="420"/>
        <w:jc w:val="left"/>
      </w:pPr>
      <w:r>
        <w:rPr>
          <w:rFonts w:eastAsia="等线" w:ascii="Arial" w:cs="Arial" w:hAnsi="Arial"/>
          <w:sz w:val="22"/>
        </w:rPr>
        <w:t>（四） 知其然而不知其所以然是项目调研中的重大陷阱；</w:t>
      </w:r>
    </w:p>
    <w:p>
      <w:pPr>
        <w:spacing w:before="120" w:after="120" w:line="288" w:lineRule="auto"/>
        <w:ind w:left="0" w:firstLine="420"/>
        <w:jc w:val="left"/>
      </w:pPr>
      <w:r>
        <w:rPr>
          <w:rFonts w:eastAsia="等线" w:ascii="Arial" w:cs="Arial" w:hAnsi="Arial"/>
          <w:sz w:val="22"/>
        </w:rPr>
        <w:t>（五） 项目发展过程中，事情的实际发展与项目部的预期出现明显偏差的危害远大于没预料到的事情的危害；</w:t>
      </w:r>
    </w:p>
    <w:p>
      <w:pPr>
        <w:spacing w:before="120" w:after="120" w:line="288" w:lineRule="auto"/>
        <w:ind w:left="0" w:firstLine="420"/>
        <w:jc w:val="left"/>
      </w:pPr>
      <w:r>
        <w:rPr>
          <w:rFonts w:eastAsia="等线" w:ascii="Arial" w:cs="Arial" w:hAnsi="Arial"/>
          <w:sz w:val="22"/>
        </w:rPr>
        <w:t>（六） 从5-7年的完整投资周期看，经过独立判断形成的投资逻辑是项目发展的压舱石；</w:t>
      </w:r>
    </w:p>
    <w:p>
      <w:pPr>
        <w:spacing w:before="120" w:after="120" w:line="288" w:lineRule="auto"/>
        <w:ind w:left="0" w:firstLine="420"/>
        <w:jc w:val="left"/>
      </w:pPr>
      <w:r>
        <w:rPr>
          <w:rFonts w:eastAsia="等线" w:ascii="Arial" w:cs="Arial" w:hAnsi="Arial"/>
          <w:sz w:val="22"/>
        </w:rPr>
        <w:t>（七） 调研报告（含调研报告PPT）对所投企业获取次轮融资有很重要的作用、对我公司行业地位有重要影响。</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时刻保持强烈的商业思维。</w:t>
      </w:r>
    </w:p>
    <w:p>
      <w:pPr>
        <w:spacing w:before="120" w:after="120" w:line="288" w:lineRule="auto"/>
        <w:ind w:left="0" w:firstLine="420"/>
        <w:jc w:val="left"/>
      </w:pPr>
      <w:r>
        <w:rPr>
          <w:rFonts w:eastAsia="等线" w:ascii="Arial" w:cs="Arial" w:hAnsi="Arial"/>
          <w:sz w:val="22"/>
        </w:rPr>
        <w:t>（一） 投资以成功退出并获得与风险匹配的合理收益为根本目的；</w:t>
      </w:r>
    </w:p>
    <w:p>
      <w:pPr>
        <w:spacing w:before="120" w:after="120" w:line="288" w:lineRule="auto"/>
        <w:ind w:left="0" w:firstLine="420"/>
        <w:jc w:val="left"/>
      </w:pPr>
      <w:r>
        <w:rPr>
          <w:rFonts w:eastAsia="等线" w:ascii="Arial" w:cs="Arial" w:hAnsi="Arial"/>
          <w:sz w:val="22"/>
        </w:rPr>
        <w:t>（二） 项目部以对于项目五年后的发展状况对应的合理估值与当前估值对比来估算利润空间；</w:t>
      </w:r>
    </w:p>
    <w:p>
      <w:pPr>
        <w:spacing w:before="120" w:after="120" w:line="288" w:lineRule="auto"/>
        <w:ind w:left="0" w:firstLine="420"/>
        <w:jc w:val="left"/>
      </w:pPr>
      <w:r>
        <w:rPr>
          <w:rFonts w:eastAsia="等线" w:ascii="Arial" w:cs="Arial" w:hAnsi="Arial"/>
          <w:sz w:val="22"/>
        </w:rPr>
        <w:t>（三） 以后续轮投资人的视角分析所调研项目的后续融资难度。</w:t>
      </w:r>
    </w:p>
    <w:p>
      <w:pPr>
        <w:spacing w:before="120" w:after="120" w:line="288" w:lineRule="auto"/>
        <w:ind w:left="0" w:firstLine="420"/>
        <w:jc w:val="left"/>
      </w:pPr>
      <w:r>
        <w:rPr>
          <w:rFonts w:eastAsia="等线" w:ascii="Arial" w:cs="Arial" w:hAnsi="Arial"/>
          <w:sz w:val="22"/>
        </w:rPr>
        <w:t>（四） 要同时考虑项目退出与基金退出两个时间点匹配。</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正确、辩证的看待技术和市场的关系。</w:t>
      </w:r>
    </w:p>
    <w:p>
      <w:pPr>
        <w:spacing w:before="120" w:after="120" w:line="288" w:lineRule="auto"/>
        <w:ind w:left="0" w:firstLine="420"/>
        <w:jc w:val="left"/>
      </w:pPr>
      <w:r>
        <w:rPr>
          <w:rFonts w:eastAsia="等线" w:ascii="Arial" w:cs="Arial" w:hAnsi="Arial"/>
          <w:sz w:val="22"/>
        </w:rPr>
        <w:t>（一） 无论对于技术还是市场的判断，最终都会归于市场对项目价值认可的体现；</w:t>
      </w:r>
    </w:p>
    <w:p>
      <w:pPr>
        <w:spacing w:before="120" w:after="120" w:line="288" w:lineRule="auto"/>
        <w:ind w:left="0" w:firstLine="420"/>
        <w:jc w:val="left"/>
      </w:pPr>
      <w:r>
        <w:rPr>
          <w:rFonts w:eastAsia="等线" w:ascii="Arial" w:cs="Arial" w:hAnsi="Arial"/>
          <w:sz w:val="22"/>
        </w:rPr>
        <w:t>（二） 重视技术先进性的意义在于技术溢价和通过技术建立的细分市场垄断价值；</w:t>
      </w:r>
    </w:p>
    <w:p>
      <w:pPr>
        <w:spacing w:before="120" w:after="120" w:line="288" w:lineRule="auto"/>
        <w:ind w:left="0" w:firstLine="420"/>
        <w:jc w:val="left"/>
      </w:pPr>
      <w:r>
        <w:rPr>
          <w:rFonts w:eastAsia="等线" w:ascii="Arial" w:cs="Arial" w:hAnsi="Arial"/>
          <w:sz w:val="22"/>
        </w:rPr>
        <w:t>（三） 现实情况下，现有市场规模、潜在市场规模、市场爆发时间、项目的市场竞争力比技术先进性更容易出现错判；</w:t>
      </w:r>
    </w:p>
    <w:p>
      <w:pPr>
        <w:spacing w:before="120" w:after="120" w:line="288" w:lineRule="auto"/>
        <w:ind w:left="0" w:firstLine="420"/>
        <w:jc w:val="left"/>
      </w:pPr>
      <w:r>
        <w:rPr>
          <w:rFonts w:eastAsia="等线" w:ascii="Arial" w:cs="Arial" w:hAnsi="Arial"/>
          <w:sz w:val="22"/>
        </w:rPr>
        <w:t>（四） 新兴市场关注市场痛点、市场爆发时间、市场增速、可扩展性；成熟市场关注研究行业标杆企业或拟替代企业；</w:t>
      </w:r>
    </w:p>
    <w:p>
      <w:pPr>
        <w:spacing w:before="120" w:after="120" w:line="288" w:lineRule="auto"/>
        <w:ind w:left="0" w:firstLine="420"/>
        <w:jc w:val="left"/>
      </w:pPr>
      <w:r>
        <w:rPr>
          <w:rFonts w:eastAsia="等线" w:ascii="Arial" w:cs="Arial" w:hAnsi="Arial"/>
          <w:sz w:val="22"/>
        </w:rPr>
        <w:t>（五） 除了关注项目客观存在的市场空间和市场趋势，团队是否具备足够的商业化能力将市场空间兑现为企业业绩更值得特别关注。</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重视合理降低估值的重要性。</w:t>
      </w:r>
    </w:p>
    <w:p>
      <w:pPr>
        <w:spacing w:before="120" w:after="120" w:line="288" w:lineRule="auto"/>
        <w:ind w:left="0" w:firstLine="420"/>
        <w:jc w:val="left"/>
      </w:pPr>
      <w:r>
        <w:rPr>
          <w:rFonts w:eastAsia="等线" w:ascii="Arial" w:cs="Arial" w:hAnsi="Arial"/>
          <w:sz w:val="22"/>
        </w:rPr>
        <w:t xml:space="preserve">（一） 有效的降低估值是对冲项目风险的有效手段之一； </w:t>
      </w:r>
    </w:p>
    <w:p>
      <w:pPr>
        <w:spacing w:before="120" w:after="120" w:line="288" w:lineRule="auto"/>
        <w:ind w:left="0" w:firstLine="420"/>
        <w:jc w:val="left"/>
      </w:pPr>
      <w:r>
        <w:rPr>
          <w:rFonts w:eastAsia="等线" w:ascii="Arial" w:cs="Arial" w:hAnsi="Arial"/>
          <w:sz w:val="22"/>
        </w:rPr>
        <w:t>（二） 在风险投资收益的倍数放大效应下，早期估值的下降在未来会被放大为非常可观的收益；</w:t>
      </w:r>
    </w:p>
    <w:p>
      <w:pPr>
        <w:spacing w:before="120" w:after="120" w:line="288" w:lineRule="auto"/>
        <w:ind w:left="0" w:firstLine="420"/>
        <w:jc w:val="left"/>
      </w:pPr>
      <w:r>
        <w:rPr>
          <w:rFonts w:eastAsia="等线" w:ascii="Arial" w:cs="Arial" w:hAnsi="Arial"/>
          <w:sz w:val="22"/>
        </w:rPr>
        <w:t>（三） 高度警惕项目透支未来估值的情况，投资时透支未来估值会严重侵蚀利润空间；</w:t>
      </w:r>
    </w:p>
    <w:p>
      <w:pPr>
        <w:spacing w:before="120" w:after="120" w:line="288" w:lineRule="auto"/>
        <w:ind w:left="0" w:firstLine="420"/>
        <w:jc w:val="left"/>
      </w:pPr>
      <w:r>
        <w:rPr>
          <w:rFonts w:eastAsia="等线" w:ascii="Arial" w:cs="Arial" w:hAnsi="Arial"/>
          <w:sz w:val="22"/>
        </w:rPr>
        <w:t>（四） 灵活、合理的使用各种工具进行估值谈判。谈判工具包括特定投资协议条款，债转股或特定回购条款等投资形式，具有确定性但尚未达到的发展节点，单向，反向，双向估值调整等；</w:t>
      </w:r>
    </w:p>
    <w:p>
      <w:pPr>
        <w:spacing w:before="120" w:after="120" w:line="288" w:lineRule="auto"/>
        <w:ind w:left="0" w:firstLine="420"/>
        <w:jc w:val="left"/>
      </w:pPr>
      <w:r>
        <w:rPr>
          <w:rFonts w:eastAsia="等线" w:ascii="Arial" w:cs="Arial" w:hAnsi="Arial"/>
          <w:sz w:val="22"/>
        </w:rPr>
        <w:t>（五）优先考虑公司投资金额占比较少且有折价购买老股的投资机会。</w:t>
      </w:r>
    </w:p>
    <w:p>
      <w:pPr>
        <w:spacing w:before="120" w:after="120" w:line="288" w:lineRule="auto"/>
        <w:ind w:left="0" w:firstLine="420"/>
        <w:jc w:val="left"/>
      </w:pPr>
      <w:r>
        <w:rPr>
          <w:rFonts w:eastAsia="等线" w:ascii="Arial" w:cs="Arial" w:hAnsi="Arial"/>
          <w:b w:val="true"/>
          <w:sz w:val="22"/>
        </w:rPr>
        <w:t xml:space="preserve">第十三条 </w:t>
      </w:r>
      <w:r>
        <w:rPr>
          <w:rFonts w:eastAsia="等线" w:ascii="Arial" w:cs="Arial" w:hAnsi="Arial"/>
          <w:sz w:val="22"/>
        </w:rPr>
        <w:t>创业精神与执行力在判断项目团队时需要特别注意。</w:t>
      </w:r>
    </w:p>
    <w:p>
      <w:pPr>
        <w:spacing w:before="120" w:after="120" w:line="288" w:lineRule="auto"/>
        <w:ind w:left="0" w:firstLine="420"/>
        <w:jc w:val="left"/>
      </w:pPr>
      <w:r>
        <w:rPr>
          <w:rFonts w:eastAsia="等线" w:ascii="Arial" w:cs="Arial" w:hAnsi="Arial"/>
          <w:sz w:val="22"/>
        </w:rPr>
        <w:t>（一） 通过资料提供、联系调研、问答反馈来判断创业者的执行力和行业熟悉度；</w:t>
      </w:r>
    </w:p>
    <w:p>
      <w:pPr>
        <w:spacing w:before="120" w:after="120" w:line="288" w:lineRule="auto"/>
        <w:ind w:left="0" w:firstLine="420"/>
        <w:jc w:val="left"/>
      </w:pPr>
      <w:r>
        <w:rPr>
          <w:rFonts w:eastAsia="等线" w:ascii="Arial" w:cs="Arial" w:hAnsi="Arial"/>
          <w:sz w:val="22"/>
        </w:rPr>
        <w:t>（二） 通过了解创业者的早期投入（时间、人力、资金等多种角度）、创业历程、薪酬情况来判断创业者的创业精神；</w:t>
      </w:r>
    </w:p>
    <w:p>
      <w:pPr>
        <w:spacing w:before="120" w:after="120" w:line="288" w:lineRule="auto"/>
        <w:ind w:left="0" w:firstLine="420"/>
        <w:jc w:val="left"/>
      </w:pPr>
      <w:r>
        <w:rPr>
          <w:rFonts w:eastAsia="等线" w:ascii="Arial" w:cs="Arial" w:hAnsi="Arial"/>
          <w:sz w:val="22"/>
        </w:rPr>
        <w:t>（三） 特别注意创业团队的全职状况，尤其是高校教师或者研究所研究员创业不全职和多个公司入股的情况；</w:t>
      </w:r>
    </w:p>
    <w:p>
      <w:pPr>
        <w:spacing w:before="120" w:after="120" w:line="288" w:lineRule="auto"/>
        <w:ind w:left="0" w:firstLine="420"/>
        <w:jc w:val="left"/>
      </w:pPr>
      <w:r>
        <w:rPr>
          <w:rFonts w:eastAsia="等线" w:ascii="Arial" w:cs="Arial" w:hAnsi="Arial"/>
          <w:sz w:val="22"/>
        </w:rPr>
        <w:t>（四）</w:t>
      </w:r>
      <w:r>
        <w:rPr>
          <w:rFonts w:eastAsia="等线" w:ascii="Arial" w:cs="Arial" w:hAnsi="Arial"/>
          <w:b w:val="true"/>
          <w:sz w:val="22"/>
        </w:rPr>
        <w:t xml:space="preserve"> </w:t>
      </w:r>
      <w:r>
        <w:rPr>
          <w:rFonts w:eastAsia="等线" w:ascii="Arial" w:cs="Arial" w:hAnsi="Arial"/>
          <w:sz w:val="22"/>
        </w:rPr>
        <w:t>对于早期投资的基本规则、投资协议的基本条款和公司投后管理的风格及要求（如TBS相关要求等）要与创业者进行适时沟通。</w:t>
      </w:r>
    </w:p>
    <w:p>
      <w:pPr>
        <w:spacing w:before="120" w:after="120" w:line="288" w:lineRule="auto"/>
        <w:ind w:left="0" w:firstLine="420"/>
        <w:jc w:val="left"/>
      </w:pPr>
      <w:r>
        <w:rPr>
          <w:rFonts w:eastAsia="等线" w:ascii="Arial" w:cs="Arial" w:hAnsi="Arial"/>
          <w:b w:val="true"/>
          <w:sz w:val="22"/>
        </w:rPr>
        <w:t xml:space="preserve">第十四条 </w:t>
      </w:r>
      <w:r>
        <w:rPr>
          <w:rFonts w:eastAsia="等线" w:ascii="Arial" w:cs="Arial" w:hAnsi="Arial"/>
          <w:sz w:val="22"/>
        </w:rPr>
        <w:t>根据领域不同，广泛深入阅读和了解项目相关前沿研究文献、综述文献、行业报告、学术会议成果、行业会议共识、国内外专利申请情况具有一定深度的媒体报道等对于高科技项目调研有着重要意义。</w:t>
      </w:r>
    </w:p>
    <w:p>
      <w:pPr>
        <w:spacing w:before="120" w:after="120" w:line="288" w:lineRule="auto"/>
        <w:ind w:left="0" w:firstLine="420"/>
        <w:jc w:val="left"/>
      </w:pPr>
      <w:r>
        <w:rPr>
          <w:rFonts w:eastAsia="等线" w:ascii="Arial" w:cs="Arial" w:hAnsi="Arial"/>
          <w:sz w:val="22"/>
        </w:rPr>
        <w:t xml:space="preserve">（一） 有助于与所访谈专家的深入沟通； </w:t>
      </w:r>
    </w:p>
    <w:p>
      <w:pPr>
        <w:spacing w:before="120" w:after="120" w:line="288" w:lineRule="auto"/>
        <w:ind w:left="0" w:firstLine="420"/>
        <w:jc w:val="left"/>
      </w:pPr>
      <w:r>
        <w:rPr>
          <w:rFonts w:eastAsia="等线" w:ascii="Arial" w:cs="Arial" w:hAnsi="Arial"/>
          <w:sz w:val="22"/>
        </w:rPr>
        <w:t>（二） 有助于横向全面了解和纵向深入分析项目的行业、市场、技术、产品等相关信息；</w:t>
      </w:r>
    </w:p>
    <w:p>
      <w:pPr>
        <w:spacing w:before="120" w:after="120" w:line="288" w:lineRule="auto"/>
        <w:ind w:left="0" w:firstLine="420"/>
        <w:jc w:val="left"/>
      </w:pPr>
      <w:r>
        <w:rPr>
          <w:rFonts w:eastAsia="等线" w:ascii="Arial" w:cs="Arial" w:hAnsi="Arial"/>
          <w:sz w:val="22"/>
        </w:rPr>
        <w:t>（三） 有助于增强真正技术型创业者对于投资人的认可度。</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重视财务报表中的毛利率、净利率、经营活动现金流、净现金流、营收增长等指标。</w:t>
      </w:r>
    </w:p>
    <w:p>
      <w:pPr>
        <w:spacing w:before="120" w:after="120" w:line="288" w:lineRule="auto"/>
        <w:ind w:left="0" w:firstLine="420"/>
        <w:jc w:val="left"/>
      </w:pPr>
      <w:r>
        <w:rPr>
          <w:rFonts w:eastAsia="等线" w:ascii="Arial" w:cs="Arial" w:hAnsi="Arial"/>
          <w:sz w:val="22"/>
        </w:rPr>
        <w:t>（一） 毛利率是企业衡量产品获利能力的重要指标，毛利率高的产品其利润空间通常较大，具有较好的正利润性。影响毛利率的因素通常可以从产品的单价，销量和成本等多方面综合考虑。同类产品相互比较时，通过技术研发提高自身差异化进而提升某产品的边际收入，或通过降低其产品成本等方式都可使其获得较同类产品更高的毛利率；</w:t>
      </w:r>
    </w:p>
    <w:p>
      <w:pPr>
        <w:spacing w:before="120" w:after="120" w:line="288" w:lineRule="auto"/>
        <w:ind w:left="0" w:firstLine="420"/>
        <w:jc w:val="left"/>
      </w:pPr>
      <w:r>
        <w:rPr>
          <w:rFonts w:eastAsia="等线" w:ascii="Arial" w:cs="Arial" w:hAnsi="Arial"/>
          <w:sz w:val="22"/>
        </w:rPr>
        <w:t>（二） 净利率是衡量企业综合盈利能力的重要指标，也是投资机构常用来作为估值调整的重要参考指标。与毛利率不同的是，净利率考量时除了关注产品成本外，还需要关注费用（如医药和医疗器械行业，通常产生巨额研发费用和销售费用），因此净利率除了受到产品特性的不同外，还受到行业特点，企业自身因素等各种影响，变量考察较毛利率更为复杂，但同时也提供了从成本、费用、政府补助、资产处置损益、营业外损益、税收差异等不同层面去分析企业的经营效益。</w:t>
      </w:r>
    </w:p>
    <w:p>
      <w:pPr>
        <w:spacing w:before="120" w:after="120" w:line="288" w:lineRule="auto"/>
        <w:ind w:left="0" w:firstLine="420"/>
        <w:jc w:val="left"/>
      </w:pPr>
      <w:r>
        <w:rPr>
          <w:rFonts w:eastAsia="等线" w:ascii="Arial" w:cs="Arial" w:hAnsi="Arial"/>
          <w:sz w:val="22"/>
        </w:rPr>
        <w:t>（三） 经营活动现金流量相对于净利润而言更能真实反映企业真实的经营成果，同时也可以用来衡量已形成销售业务的企业在其产业链中是否具备足够话语权。</w:t>
      </w:r>
    </w:p>
    <w:p>
      <w:pPr>
        <w:spacing w:before="120" w:after="120" w:line="288" w:lineRule="auto"/>
        <w:ind w:left="0" w:firstLine="420"/>
        <w:jc w:val="left"/>
      </w:pPr>
      <w:r>
        <w:rPr>
          <w:rFonts w:eastAsia="等线" w:ascii="Arial" w:cs="Arial" w:hAnsi="Arial"/>
          <w:sz w:val="22"/>
        </w:rPr>
        <w:t>（四） 净现金流代表公司目前整体现金使用情况（经营、投资、筹资），可以用于衡量企业是否存在资金缺口，且与企业后续资金募集计划密切相关。</w:t>
      </w:r>
    </w:p>
    <w:p>
      <w:pPr>
        <w:spacing w:before="120" w:after="120" w:line="288" w:lineRule="auto"/>
        <w:ind w:left="0" w:firstLine="420"/>
        <w:jc w:val="left"/>
      </w:pPr>
      <w:r>
        <w:rPr>
          <w:rFonts w:eastAsia="等线" w:ascii="Arial" w:cs="Arial" w:hAnsi="Arial"/>
          <w:sz w:val="22"/>
        </w:rPr>
        <w:t>（五） 营收增长，尤其是主营业务的营收增长，代表公司的增长性，从某种程度上反应了公司的产品研发及市场开拓能力。</w:t>
      </w:r>
    </w:p>
    <w:p>
      <w:pPr>
        <w:spacing w:before="120" w:after="120" w:line="288" w:lineRule="auto"/>
        <w:ind w:left="0" w:firstLine="420"/>
        <w:jc w:val="left"/>
      </w:pPr>
      <w:r>
        <w:rPr>
          <w:rFonts w:eastAsia="等线" w:ascii="Arial" w:cs="Arial" w:hAnsi="Arial"/>
          <w:b w:val="true"/>
          <w:sz w:val="22"/>
        </w:rPr>
        <w:t>第十六条</w:t>
      </w:r>
      <w:r>
        <w:rPr>
          <w:rFonts w:eastAsia="等线" w:ascii="Arial" w:cs="Arial" w:hAnsi="Arial"/>
          <w:sz w:val="22"/>
        </w:rPr>
        <w:t xml:space="preserve"> 关注融资规模、资金使用计划、项目方流动资金状况和下轮融资节点之间的关系。资金链断裂是多数创业企业失败的原因。</w:t>
      </w:r>
    </w:p>
    <w:p>
      <w:pPr>
        <w:spacing w:before="120" w:after="120" w:line="288" w:lineRule="auto"/>
        <w:ind w:left="0" w:firstLine="420"/>
        <w:jc w:val="left"/>
      </w:pPr>
      <w:r>
        <w:rPr>
          <w:rFonts w:eastAsia="等线" w:ascii="Arial" w:cs="Arial" w:hAnsi="Arial"/>
          <w:b w:val="true"/>
          <w:sz w:val="22"/>
        </w:rPr>
        <w:t>第十七条</w:t>
      </w:r>
      <w:r>
        <w:rPr>
          <w:rFonts w:eastAsia="等线" w:ascii="Arial" w:cs="Arial" w:hAnsi="Arial"/>
          <w:sz w:val="22"/>
        </w:rPr>
        <w:t xml:space="preserve"> 关注创始股东之间关系如理念契合、行业认识、合作背景、过往关系及协调议事机制，同时关注创始股东与过往投资方股东或其他股东的关系。</w:t>
      </w:r>
    </w:p>
    <w:p>
      <w:pPr>
        <w:spacing w:before="120" w:after="120" w:line="288" w:lineRule="auto"/>
        <w:ind w:left="0" w:firstLine="420"/>
        <w:jc w:val="left"/>
      </w:pPr>
      <w:r>
        <w:rPr>
          <w:rFonts w:eastAsia="等线" w:ascii="Arial" w:cs="Arial" w:hAnsi="Arial"/>
          <w:b w:val="true"/>
          <w:sz w:val="22"/>
        </w:rPr>
        <w:t xml:space="preserve">第十八条 </w:t>
      </w:r>
      <w:r>
        <w:rPr>
          <w:rFonts w:eastAsia="等线" w:ascii="Arial" w:cs="Arial" w:hAnsi="Arial"/>
          <w:sz w:val="22"/>
        </w:rPr>
        <w:t>关注公司股权架构的合理性，尤其是股权过于分散或者创始人股权均等造成创始人无法形成控股股权的情形。</w:t>
      </w:r>
    </w:p>
    <w:p>
      <w:pPr>
        <w:spacing w:before="120" w:after="120" w:line="288" w:lineRule="auto"/>
        <w:ind w:left="0" w:firstLine="420"/>
        <w:jc w:val="left"/>
      </w:pPr>
      <w:r>
        <w:rPr>
          <w:rFonts w:eastAsia="等线" w:ascii="Arial" w:cs="Arial" w:hAnsi="Arial"/>
          <w:b w:val="true"/>
          <w:sz w:val="22"/>
        </w:rPr>
        <w:t xml:space="preserve">第十九条 </w:t>
      </w:r>
      <w:r>
        <w:rPr>
          <w:rFonts w:eastAsia="等线" w:ascii="Arial" w:cs="Arial" w:hAnsi="Arial"/>
          <w:sz w:val="22"/>
        </w:rPr>
        <w:t>项目的风险控制。</w:t>
      </w:r>
    </w:p>
    <w:p>
      <w:pPr>
        <w:spacing w:before="120" w:after="120" w:line="288" w:lineRule="auto"/>
        <w:ind w:left="0" w:firstLine="420"/>
        <w:jc w:val="left"/>
      </w:pPr>
      <w:r>
        <w:rPr>
          <w:rFonts w:eastAsia="等线" w:ascii="Arial" w:cs="Arial" w:hAnsi="Arial"/>
          <w:sz w:val="22"/>
        </w:rPr>
        <w:t>（一） 严格按照负面清单与调研要点的独立调研是控制项目短期风险的根本途径；</w:t>
      </w:r>
    </w:p>
    <w:p>
      <w:pPr>
        <w:spacing w:before="120" w:after="120" w:line="288" w:lineRule="auto"/>
        <w:ind w:left="0" w:firstLine="420"/>
        <w:jc w:val="left"/>
      </w:pPr>
      <w:r>
        <w:rPr>
          <w:rFonts w:eastAsia="等线" w:ascii="Arial" w:cs="Arial" w:hAnsi="Arial"/>
          <w:sz w:val="22"/>
        </w:rPr>
        <w:t>（二） 按照公司制度及合同指引文件，编制合法、合规、且符合商业惯例的投资协议，严谨的投资协议是控制投资风险的关键手段；</w:t>
      </w:r>
    </w:p>
    <w:p>
      <w:pPr>
        <w:spacing w:before="120" w:after="120" w:line="288" w:lineRule="auto"/>
        <w:ind w:left="0" w:firstLine="420"/>
        <w:jc w:val="left"/>
      </w:pPr>
      <w:r>
        <w:rPr>
          <w:rFonts w:eastAsia="等线" w:ascii="Arial" w:cs="Arial" w:hAnsi="Arial"/>
          <w:sz w:val="22"/>
        </w:rPr>
        <w:t>（三） 开展科学有效的投后管理是长期控制项目风险的主要抓手。</w:t>
      </w:r>
    </w:p>
    <w:p>
      <w:pPr>
        <w:spacing w:before="120" w:after="120" w:line="288" w:lineRule="auto"/>
        <w:ind w:left="0" w:firstLine="420"/>
        <w:jc w:val="left"/>
      </w:pPr>
      <w:r>
        <w:rPr>
          <w:rFonts w:eastAsia="等线" w:ascii="Arial" w:cs="Arial" w:hAnsi="Arial"/>
          <w:b w:val="true"/>
          <w:sz w:val="22"/>
        </w:rPr>
        <w:t xml:space="preserve">第二十条 </w:t>
      </w:r>
      <w:r>
        <w:rPr>
          <w:rFonts w:eastAsia="等线" w:ascii="Arial" w:cs="Arial" w:hAnsi="Arial"/>
          <w:sz w:val="22"/>
        </w:rPr>
        <w:t>重视与创业者的沟通方法，尤其是缺少融资经验的创业者，提高合作粘性：</w:t>
      </w:r>
    </w:p>
    <w:p>
      <w:pPr>
        <w:numPr>
          <w:numId w:val="174"/>
        </w:numPr>
        <w:spacing w:before="120" w:after="120" w:line="288" w:lineRule="auto"/>
        <w:ind w:left="453"/>
        <w:jc w:val="left"/>
      </w:pPr>
      <w:r>
        <w:rPr>
          <w:rFonts w:eastAsia="等线" w:ascii="Arial" w:cs="Arial" w:hAnsi="Arial"/>
          <w:sz w:val="22"/>
        </w:rPr>
        <w:t>熟练掌握业务知识，以便沟通过程中向项目方进行科普；</w:t>
      </w:r>
    </w:p>
    <w:p>
      <w:pPr>
        <w:spacing w:before="120" w:after="120" w:line="288" w:lineRule="auto"/>
        <w:ind w:left="0" w:firstLine="420"/>
        <w:jc w:val="left"/>
      </w:pPr>
      <w:r>
        <w:rPr>
          <w:rFonts w:eastAsia="等线" w:ascii="Arial" w:cs="Arial" w:hAnsi="Arial"/>
          <w:sz w:val="22"/>
        </w:rPr>
        <w:t>（二） 鼓励项目方进行市场调研，了解资本市场的基本规则，比较不同机构的投资逻辑与理念；</w:t>
      </w:r>
    </w:p>
    <w:p>
      <w:pPr>
        <w:spacing w:before="120" w:after="120" w:line="288" w:lineRule="auto"/>
        <w:ind w:left="0" w:firstLine="420"/>
        <w:jc w:val="left"/>
      </w:pPr>
      <w:r>
        <w:rPr>
          <w:rFonts w:eastAsia="等线" w:ascii="Arial" w:cs="Arial" w:hAnsi="Arial"/>
          <w:sz w:val="22"/>
        </w:rPr>
        <w:t>（三） 与项目方保持良好沟通，建立长期稳定的联系；</w:t>
      </w:r>
    </w:p>
    <w:p>
      <w:pPr>
        <w:spacing w:before="120" w:after="120" w:line="288" w:lineRule="auto"/>
        <w:ind w:left="0" w:firstLine="420"/>
        <w:jc w:val="left"/>
      </w:pPr>
      <w:r>
        <w:rPr>
          <w:rFonts w:eastAsia="等线" w:ascii="Arial" w:cs="Arial" w:hAnsi="Arial"/>
          <w:sz w:val="22"/>
        </w:rPr>
        <w:t>（四） 鼓励公司员工业余时间多阅读资本市场运作、企业战略管理、市场经济理论等相关书籍（如《股权融资：创业与风险投资》等，培养自身投资思维和投资逻辑；</w:t>
      </w:r>
    </w:p>
    <w:p>
      <w:pPr>
        <w:spacing w:before="120" w:after="120" w:line="288" w:lineRule="auto"/>
        <w:ind w:left="0" w:firstLine="420"/>
        <w:jc w:val="left"/>
      </w:pPr>
      <w:r>
        <w:rPr>
          <w:rFonts w:eastAsia="等线" w:ascii="Arial" w:cs="Arial" w:hAnsi="Arial"/>
          <w:sz w:val="22"/>
        </w:rPr>
        <w:t>（五） 合投情况下，加强与合投方、前后轮次投资方的交流，相互了解已投项目情况，避免出现与合投方股东在对投资的认识上出现重大分歧。</w:t>
      </w:r>
    </w:p>
    <w:p>
      <w:pPr>
        <w:spacing w:before="120" w:after="120" w:line="288" w:lineRule="auto"/>
        <w:ind w:left="0" w:firstLine="420"/>
        <w:jc w:val="left"/>
      </w:pPr>
      <w:r>
        <w:rPr>
          <w:rFonts w:eastAsia="等线" w:ascii="Arial" w:cs="Arial" w:hAnsi="Arial"/>
          <w:b w:val="true"/>
          <w:sz w:val="22"/>
        </w:rPr>
        <w:t>第二十一条</w:t>
      </w:r>
      <w:r>
        <w:rPr>
          <w:rFonts w:eastAsia="等线" w:ascii="Arial" w:cs="Arial" w:hAnsi="Arial"/>
          <w:sz w:val="22"/>
        </w:rPr>
        <w:t xml:space="preserve"> 建立专业投研体系，专业投研体系留痕化在线存档。</w:t>
      </w:r>
    </w:p>
    <w:p>
      <w:pPr>
        <w:spacing w:before="120" w:after="120" w:line="288" w:lineRule="auto"/>
        <w:ind w:left="0" w:firstLine="420"/>
        <w:jc w:val="left"/>
      </w:pPr>
      <w:r>
        <w:rPr>
          <w:rFonts w:eastAsia="等线" w:ascii="Arial" w:cs="Arial" w:hAnsi="Arial"/>
          <w:sz w:val="22"/>
        </w:rPr>
        <w:t>智能制造和医疗健康领域在相关部门总监的组织下定期对行业进行梳理，其中梳理出来具备潜力及前景的细分领域由专人进行深入研究并长期跟踪，通过阅读文献、研报及与专家沟通等方式，逐渐完善形成行业mapping以及自身对行业的看法和投资逻辑。相关研究报告在飞书云盘留档并不断更新，待时机合适由部门总监组织在公司内部给全体员工普及分享。</w:t>
      </w:r>
    </w:p>
    <w:p>
      <w:pPr>
        <w:spacing w:before="120" w:after="120" w:line="288" w:lineRule="auto"/>
        <w:ind w:left="0" w:firstLine="420"/>
        <w:jc w:val="left"/>
      </w:pPr>
      <w:r>
        <w:rPr>
          <w:rFonts w:eastAsia="等线" w:ascii="Arial" w:cs="Arial" w:hAnsi="Arial"/>
          <w:sz w:val="22"/>
        </w:rPr>
        <w:t>不打无准备之仗，通过该投研体系，项目经理在获取及推进项目时将会更有目的性，同时提高投资效率。</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1" w:id="21"/>
      <w:r>
        <w:rPr>
          <w:rFonts w:eastAsia="等线" w:ascii="Arial" w:cs="Arial" w:hAnsi="Arial"/>
          <w:b w:val="true"/>
          <w:sz w:val="30"/>
        </w:rPr>
        <w:t>第二节 投资管理规定（</w:t>
      </w:r>
      <w:r>
        <w:rPr>
          <w:rFonts w:eastAsia="等线" w:ascii="Arial" w:cs="Arial" w:hAnsi="Arial"/>
          <w:b w:val="true"/>
          <w:color w:val="3370ff"/>
          <w:sz w:val="30"/>
        </w:rPr>
        <w:t>@荣成成</w:t>
      </w:r>
      <w:r>
        <w:rPr>
          <w:rFonts w:eastAsia="等线" w:ascii="Arial" w:cs="Arial" w:hAnsi="Arial"/>
          <w:b w:val="true"/>
          <w:sz w:val="30"/>
        </w:rPr>
        <w:t>）</w:t>
      </w:r>
      <w:bookmarkEnd w:id="21"/>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为防范和控制投资风险，加强投资后的管理，保障投资人利益和公司资产保值增值，根据《公司法》及有关法律法规，制定本规定。</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公司所管理基金对外投资决策由投资决策委员会（“投委会”）做出。</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投资与管理实行项目经理统筹推进、项目部成员责任分工制、协调人协调工作制和风控部监督审查制。</w:t>
      </w:r>
    </w:p>
    <w:p>
      <w:pPr>
        <w:spacing w:before="120" w:after="120" w:line="288" w:lineRule="auto"/>
        <w:ind w:left="0" w:firstLine="420"/>
        <w:jc w:val="left"/>
      </w:pPr>
      <w:r>
        <w:rPr>
          <w:rFonts w:eastAsia="等线" w:ascii="Arial" w:cs="Arial" w:hAnsi="Arial"/>
          <w:sz w:val="22"/>
        </w:rPr>
        <w:t>（一） 按照单个投资项目成立项目部；</w:t>
      </w:r>
    </w:p>
    <w:p>
      <w:pPr>
        <w:spacing w:before="120" w:after="120" w:line="288" w:lineRule="auto"/>
        <w:ind w:left="0" w:firstLine="420"/>
        <w:jc w:val="left"/>
      </w:pPr>
      <w:r>
        <w:rPr>
          <w:rFonts w:eastAsia="等线" w:ascii="Arial" w:cs="Arial" w:hAnsi="Arial"/>
          <w:sz w:val="22"/>
        </w:rPr>
        <w:t xml:space="preserve">（二） 项目部协调人不属于项目部成员。协调人备选名单由扩大会确定。协调人具体人选由项目部成员协商确定；协调人的主要职责是为项目调研、协议谈判和签署及投后管理提供咨询和协调资源等；项目部在项目的投资与管理过程中有咨询、资源协调需求的，应优先咨询协调人，协调人可根据项目需要灵活参与项目部的部门例会、项目立项预备会、项目立项会，主动尽职，了解项目各方面情况；协调人发现项目中存在问题需主动提醒项目部，遵循主动参与、被动出面、谈意见但不确定意见的工作原则； </w:t>
      </w:r>
    </w:p>
    <w:p>
      <w:pPr>
        <w:spacing w:before="120" w:after="120" w:line="288" w:lineRule="auto"/>
        <w:ind w:left="0" w:firstLine="420"/>
        <w:jc w:val="left"/>
      </w:pPr>
      <w:r>
        <w:rPr>
          <w:rFonts w:eastAsia="等线" w:ascii="Arial" w:cs="Arial" w:hAnsi="Arial"/>
          <w:sz w:val="22"/>
        </w:rPr>
        <w:t>（三） 如果任一项目部成员此前已投成1个项目，再组建项目部时可以不配置协调人。协调人相关职责由已投成项目的项目部成员承担；如两人均已投成项目，则由项目经理承担。</w:t>
      </w:r>
    </w:p>
    <w:p>
      <w:pPr>
        <w:spacing w:before="120" w:after="120" w:line="288" w:lineRule="auto"/>
        <w:ind w:left="0" w:firstLine="420"/>
        <w:jc w:val="left"/>
      </w:pPr>
      <w:r>
        <w:rPr>
          <w:rFonts w:eastAsia="等线" w:ascii="Arial" w:cs="Arial" w:hAnsi="Arial"/>
          <w:sz w:val="22"/>
        </w:rPr>
        <w:t xml:space="preserve">（四）项目经理由项目部成员协商确定，原则上由发起人优先担任；离职人员自动退出；若项目经理离职，则由第二负责人担任项目经理； </w:t>
      </w:r>
    </w:p>
    <w:p>
      <w:pPr>
        <w:spacing w:before="120" w:after="120" w:line="288" w:lineRule="auto"/>
        <w:ind w:left="0" w:firstLine="420"/>
        <w:jc w:val="left"/>
      </w:pPr>
      <w:r>
        <w:rPr>
          <w:rFonts w:eastAsia="等线" w:ascii="Arial" w:cs="Arial" w:hAnsi="Arial"/>
          <w:sz w:val="22"/>
        </w:rPr>
        <w:t>（五） 项目部应当由投资管理一部/投资管理二部与投资管理三部成员组成，原则上不超过2人，如有超过2人的情形，需经总经理批准；</w:t>
      </w:r>
    </w:p>
    <w:p>
      <w:pPr>
        <w:spacing w:before="120" w:after="120" w:line="288" w:lineRule="auto"/>
        <w:ind w:left="0" w:firstLine="420"/>
        <w:jc w:val="left"/>
      </w:pPr>
      <w:r>
        <w:rPr>
          <w:rFonts w:eastAsia="等线" w:ascii="Arial" w:cs="Arial" w:hAnsi="Arial"/>
          <w:sz w:val="22"/>
        </w:rPr>
        <w:t xml:space="preserve">入职一年以内的员工担任项目经理时，应当首先确定协调人，建议按照新老员工搭配的原则，尽量选择入职一年以上的员工作为项目部另一成员，并与协调人就项目部成员进行充分沟通，达成一致意见后组建项目部； </w:t>
      </w:r>
    </w:p>
    <w:p>
      <w:pPr>
        <w:spacing w:before="120" w:after="120" w:line="288" w:lineRule="auto"/>
        <w:ind w:left="0" w:firstLine="420"/>
        <w:jc w:val="left"/>
      </w:pPr>
      <w:r>
        <w:rPr>
          <w:rFonts w:eastAsia="等线" w:ascii="Arial" w:cs="Arial" w:hAnsi="Arial"/>
          <w:sz w:val="22"/>
        </w:rPr>
        <w:t xml:space="preserve">（六） 原则上两名投委会委员不得担任同一个项目部成员，特殊情形须提请常务董事扩大会确定；进入投后管理阶段的项目无需遵循前述原则； </w:t>
      </w:r>
    </w:p>
    <w:p>
      <w:pPr>
        <w:spacing w:before="120" w:after="120" w:line="288" w:lineRule="auto"/>
        <w:ind w:left="0" w:firstLine="420"/>
        <w:jc w:val="left"/>
      </w:pPr>
      <w:r>
        <w:rPr>
          <w:rFonts w:eastAsia="等线" w:ascii="Arial" w:cs="Arial" w:hAnsi="Arial"/>
          <w:sz w:val="22"/>
        </w:rPr>
        <w:t>投资管理二部成员调研医疗器械类项目的必须有投资管理一部成员参加项目部；投资管理一部涉及算法的医疗器械项目，项目经理可决定是否邀请投资管理二部成员参加项目部；</w:t>
      </w:r>
    </w:p>
    <w:p>
      <w:pPr>
        <w:spacing w:before="120" w:after="120" w:line="288" w:lineRule="auto"/>
        <w:ind w:left="0" w:firstLine="420"/>
        <w:jc w:val="left"/>
      </w:pPr>
      <w:r>
        <w:rPr>
          <w:rFonts w:eastAsia="等线" w:ascii="Arial" w:cs="Arial" w:hAnsi="Arial"/>
          <w:sz w:val="22"/>
        </w:rPr>
        <w:t>投资管理一、二部人员主要负责项目技术、产品、生产和市场方面的调研，投资管理三部人员主要负责项目团队、生产、法律、财务、管理方面的调研；项目合作谈判由项目经理负责推动，谈判内容根据上述分工负责。每一位项目部成员不应局限于前述分工，在投前调研与投后管理过程中均需持续关注、了解项目所属行业的发展情况。</w:t>
      </w:r>
    </w:p>
    <w:p>
      <w:pPr>
        <w:numPr>
          <w:numId w:val="175"/>
        </w:numPr>
        <w:spacing w:before="120" w:after="120" w:line="288" w:lineRule="auto"/>
        <w:ind w:left="453"/>
        <w:jc w:val="left"/>
      </w:pPr>
      <w:r>
        <w:rPr>
          <w:rFonts w:eastAsia="等线" w:ascii="Arial" w:cs="Arial" w:hAnsi="Arial"/>
          <w:sz w:val="22"/>
        </w:rPr>
        <w:t>项目部成员在项目投前过程中有自由选择退出的权利。</w:t>
      </w:r>
    </w:p>
    <w:p>
      <w:pPr>
        <w:spacing w:before="120" w:after="120" w:line="288" w:lineRule="auto"/>
        <w:ind w:left="0" w:firstLine="420"/>
        <w:jc w:val="left"/>
      </w:pPr>
      <w:r>
        <w:rPr>
          <w:rFonts w:eastAsia="等线" w:ascii="Arial" w:cs="Arial" w:hAnsi="Arial"/>
          <w:sz w:val="22"/>
        </w:rPr>
        <w:t>在项目进入投后管理阶段加入项目部的成员，可向总经理阐明原因申请退出项目部，经总经理批准后退出并知会常务董事扩大会和风控总监;退出人在线办理工作交接手续，原则上由风控总监指定人员负责监督工作交接。</w:t>
      </w:r>
    </w:p>
    <w:p>
      <w:pPr>
        <w:numPr>
          <w:numId w:val="176"/>
        </w:numPr>
        <w:spacing w:before="120" w:after="120" w:line="288" w:lineRule="auto"/>
        <w:ind w:left="453"/>
        <w:jc w:val="left"/>
      </w:pPr>
      <w:r>
        <w:rPr>
          <w:rFonts w:eastAsia="等线" w:ascii="Arial" w:cs="Arial" w:hAnsi="Arial"/>
          <w:sz w:val="22"/>
        </w:rPr>
        <w:t>如因项目部成员离职或退出导致项目部成员不足规定人数的，项目部新增成员遵循以下流程：由在职成员与项目协调人建议协商确定项目部新增成员备选人选；如项目经理离职或退出，则选定项目部新增人选后，由新组建项目部成员及协调人在项目部内部投票决定项目经理人选；如双方不能达成共识，则增加总经理投票，遵循少数服从多数的原则，经总经理批准后知会董事长。</w:t>
      </w:r>
    </w:p>
    <w:p>
      <w:pPr>
        <w:numPr>
          <w:numId w:val="177"/>
        </w:numPr>
        <w:spacing w:before="120" w:after="120" w:line="288" w:lineRule="auto"/>
        <w:ind w:left="453"/>
        <w:jc w:val="left"/>
      </w:pPr>
      <w:r>
        <w:rPr>
          <w:rFonts w:eastAsia="等线" w:ascii="Arial" w:cs="Arial" w:hAnsi="Arial"/>
          <w:sz w:val="22"/>
        </w:rPr>
        <w:t xml:space="preserve">项目部任一成员提议解散，或项目部成员同时离职，经总经理批准后项目部即行解散；总经理有权或有权委托他人重新组建项目部；项目部有权向常务董事扩大会申请更换项目协调人; </w:t>
      </w:r>
    </w:p>
    <w:p>
      <w:pPr>
        <w:numPr>
          <w:numId w:val="178"/>
        </w:numPr>
        <w:spacing w:before="120" w:after="120" w:line="288" w:lineRule="auto"/>
        <w:ind w:left="453"/>
        <w:jc w:val="left"/>
      </w:pPr>
      <w:r>
        <w:rPr>
          <w:rFonts w:eastAsia="等线" w:ascii="Arial" w:cs="Arial" w:hAnsi="Arial"/>
          <w:sz w:val="22"/>
        </w:rPr>
        <w:t xml:space="preserve">由项目经理以邮件方式向公司全员公布项目部成员和协调人(如有)名单; </w:t>
      </w:r>
    </w:p>
    <w:p>
      <w:pPr>
        <w:spacing w:before="120" w:after="120" w:line="288" w:lineRule="auto"/>
        <w:ind w:left="0" w:firstLine="420"/>
        <w:jc w:val="left"/>
      </w:pPr>
      <w:r>
        <w:rPr>
          <w:rFonts w:eastAsia="等线" w:ascii="Arial" w:cs="Arial" w:hAnsi="Arial"/>
          <w:sz w:val="22"/>
        </w:rPr>
        <w:t xml:space="preserve">（十一） 根据风控主席办公会或总经理办公会的提议，常务董事扩大会有权基于投后管理任务考核完成情况针对项目部成员调整与撤换问题进行讨论，讨论时应充分考虑项目部另一成员意见，通过后报董事会批准； </w:t>
      </w:r>
    </w:p>
    <w:p>
      <w:pPr>
        <w:spacing w:before="120" w:after="120" w:line="288" w:lineRule="auto"/>
        <w:ind w:left="0" w:firstLine="420"/>
        <w:jc w:val="left"/>
      </w:pPr>
      <w:r>
        <w:rPr>
          <w:rFonts w:eastAsia="等线" w:ascii="Arial" w:cs="Arial" w:hAnsi="Arial"/>
          <w:sz w:val="22"/>
        </w:rPr>
        <w:t>（十二） 除公司制度规定和协议约定外，严禁公司员工与业务关联方有任何利益往来，一经发现立即辞退。不得收受任何业务关联方的礼品，个别情况无法推辞的，需将礼品带回公司上交并向负责礼品管理的行政人员进行备案并从公司库存礼品中选择价值相当的礼品择机回赠。不接受业务关联方宴请，特殊情况下以普通工作餐为标准；</w:t>
      </w:r>
    </w:p>
    <w:p>
      <w:pPr>
        <w:spacing w:before="120" w:after="120" w:line="288" w:lineRule="auto"/>
        <w:ind w:left="0" w:firstLine="420"/>
        <w:jc w:val="left"/>
      </w:pPr>
      <w:r>
        <w:rPr>
          <w:rFonts w:eastAsia="等线" w:ascii="Arial" w:cs="Arial" w:hAnsi="Arial"/>
          <w:sz w:val="22"/>
        </w:rPr>
        <w:t>（十三） 风控部对投前、投中以及投后各项工作进行监督、提示与审查；投后管理小组参与相关投后管理决策与培训工作；</w:t>
      </w:r>
    </w:p>
    <w:p>
      <w:pPr>
        <w:spacing w:before="120" w:after="120" w:line="288" w:lineRule="auto"/>
        <w:ind w:left="0" w:firstLine="420"/>
        <w:jc w:val="left"/>
      </w:pPr>
      <w:r>
        <w:rPr>
          <w:rFonts w:eastAsia="等线" w:ascii="Arial" w:cs="Arial" w:hAnsi="Arial"/>
          <w:sz w:val="22"/>
        </w:rPr>
        <w:t>（十四） 项目调研过程中项目部需重视沟通投后管理规范、帮助给创业方带来的价值提升，特别是投后管理对后续融资的重要作用，以提高对方对投后管理的认识和配合度，增加我公司对创业方的吸引力。</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项目部负责开展调研工作并完成《项目调研报告》及会议汇报所需ppt。</w:t>
      </w:r>
    </w:p>
    <w:p>
      <w:pPr>
        <w:numPr>
          <w:numId w:val="179"/>
        </w:numPr>
        <w:spacing w:before="120" w:after="120" w:line="288" w:lineRule="auto"/>
        <w:ind w:left="0"/>
        <w:jc w:val="left"/>
      </w:pPr>
      <w:r>
        <w:rPr>
          <w:rFonts w:eastAsia="等线" w:ascii="Arial" w:cs="Arial" w:hAnsi="Arial"/>
          <w:sz w:val="22"/>
        </w:rPr>
        <w:t>项目经理为项目部负责人，全面负责项目调研推进工作；</w:t>
      </w:r>
    </w:p>
    <w:p>
      <w:pPr>
        <w:spacing w:before="120" w:after="120" w:line="288" w:lineRule="auto"/>
        <w:ind w:left="0" w:firstLine="420"/>
        <w:jc w:val="left"/>
      </w:pPr>
      <w:r>
        <w:rPr>
          <w:rFonts w:eastAsia="等线" w:ascii="Arial" w:cs="Arial" w:hAnsi="Arial"/>
          <w:sz w:val="22"/>
        </w:rPr>
        <w:t xml:space="preserve">（二） 参照《种子期负面清单与调研要点》、《负面清单与调研要点》、《尽职调查清单》和《调研报告模板》撰写《调研报告》并提供相关附件以体现调研主要成果； </w:t>
      </w:r>
    </w:p>
    <w:p>
      <w:pPr>
        <w:spacing w:before="120" w:after="120" w:line="288" w:lineRule="auto"/>
        <w:ind w:left="0" w:firstLine="420"/>
        <w:jc w:val="left"/>
      </w:pPr>
      <w:r>
        <w:rPr>
          <w:rFonts w:eastAsia="等线" w:ascii="Arial" w:cs="Arial" w:hAnsi="Arial"/>
          <w:sz w:val="22"/>
        </w:rPr>
        <w:t>（三） 项目部进行项目调研需重视项目部内部以及外部合作。项目立项后即由项目经理建立项目飞书协作群，便于对项目调研中的重要问题随时进行沟通，听取建议。</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项目部负责开展投资谈判并拟订《投资协议核心条款协议书》、《投资协议》。</w:t>
      </w:r>
    </w:p>
    <w:p>
      <w:pPr>
        <w:spacing w:before="120" w:after="120" w:line="288" w:lineRule="auto"/>
        <w:ind w:left="0" w:firstLine="420"/>
        <w:jc w:val="left"/>
      </w:pPr>
      <w:r>
        <w:rPr>
          <w:rFonts w:eastAsia="等线" w:ascii="Arial" w:cs="Arial" w:hAnsi="Arial"/>
          <w:sz w:val="22"/>
        </w:rPr>
        <w:t>（一） 与项目方和可能涉及到的有关方面（其它投资方、产业方、政府部门）开展协商、谈判，明确投资有关权利义务；</w:t>
      </w:r>
    </w:p>
    <w:p>
      <w:pPr>
        <w:spacing w:before="120" w:after="120" w:line="288" w:lineRule="auto"/>
        <w:ind w:left="0" w:firstLine="420"/>
        <w:jc w:val="left"/>
      </w:pPr>
      <w:r>
        <w:rPr>
          <w:rFonts w:eastAsia="等线" w:ascii="Arial" w:cs="Arial" w:hAnsi="Arial"/>
          <w:sz w:val="22"/>
        </w:rPr>
        <w:t>（二） 根据技术市场情况、商业化进展和资本市场情况确定项目估值范围，与项目方和有关方面谈判确定入股价格和所占比例。</w:t>
      </w:r>
    </w:p>
    <w:p>
      <w:pPr>
        <w:spacing w:before="120" w:after="120" w:line="288" w:lineRule="auto"/>
        <w:ind w:left="0" w:firstLine="420"/>
        <w:jc w:val="left"/>
      </w:pPr>
      <w:r>
        <w:rPr>
          <w:rFonts w:eastAsia="等线" w:ascii="Arial" w:cs="Arial" w:hAnsi="Arial"/>
          <w:sz w:val="22"/>
        </w:rPr>
        <w:t>项目部要提高对项目估值的认识，对质量好但估值过高的项目要在调研阶段尽早通过洽谈沟通降低估值，如估值经多次沟通后仍无法降低，要及早洽谈大比值股权调整并最终落实到核心条款协议上；</w:t>
      </w:r>
    </w:p>
    <w:p>
      <w:pPr>
        <w:spacing w:before="120" w:after="120" w:line="288" w:lineRule="auto"/>
        <w:ind w:left="0" w:firstLine="420"/>
        <w:jc w:val="left"/>
      </w:pPr>
      <w:r>
        <w:rPr>
          <w:rFonts w:eastAsia="等线" w:ascii="Arial" w:cs="Arial" w:hAnsi="Arial"/>
          <w:sz w:val="22"/>
        </w:rPr>
        <w:t>（三）项目部应充分发挥协调人作用，并在协调人指导下完成项目有关各类协调事务；</w:t>
      </w:r>
    </w:p>
    <w:p>
      <w:pPr>
        <w:spacing w:before="120" w:after="120" w:line="288" w:lineRule="auto"/>
        <w:ind w:left="0" w:firstLine="420"/>
        <w:jc w:val="left"/>
      </w:pPr>
      <w:r>
        <w:rPr>
          <w:rFonts w:eastAsia="等线" w:ascii="Arial" w:cs="Arial" w:hAnsi="Arial"/>
          <w:sz w:val="22"/>
        </w:rPr>
        <w:t>（四） 和项目方沟通协议的过程中，如果形成阶段性的意见，应以会议纪要的形式由双方对内容进行确认。（如需，项目部自行把握）</w:t>
      </w:r>
    </w:p>
    <w:p>
      <w:pPr>
        <w:spacing w:before="120" w:after="120" w:line="288" w:lineRule="auto"/>
        <w:ind w:left="0" w:firstLine="420"/>
        <w:jc w:val="left"/>
      </w:pPr>
      <w:r>
        <w:rPr>
          <w:rFonts w:eastAsia="等线" w:ascii="Arial" w:cs="Arial" w:hAnsi="Arial"/>
          <w:sz w:val="22"/>
        </w:rPr>
        <w:t>（五） 视各项目届时主投基金LP构成情况，如有地方政府引导基金出资并有相关返投要求的，项目部应及早与项目方按照合伙协议约定的落地要求及时进行沟通，严格完成落地要求。</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项目部在协议洽谈中需遵循的原则：</w:t>
      </w:r>
    </w:p>
    <w:p>
      <w:pPr>
        <w:spacing w:before="120" w:after="120" w:line="288" w:lineRule="auto"/>
        <w:ind w:left="0" w:firstLine="420"/>
        <w:jc w:val="left"/>
      </w:pPr>
      <w:r>
        <w:rPr>
          <w:rFonts w:eastAsia="等线" w:ascii="Arial" w:cs="Arial" w:hAnsi="Arial"/>
          <w:sz w:val="22"/>
        </w:rPr>
        <w:t xml:space="preserve">（一） 协议洽谈时参照《合同管理制度》进行相关工作； </w:t>
      </w:r>
    </w:p>
    <w:p>
      <w:pPr>
        <w:spacing w:before="120" w:after="120" w:line="288" w:lineRule="auto"/>
        <w:ind w:left="0" w:firstLine="420"/>
        <w:jc w:val="left"/>
      </w:pPr>
      <w:r>
        <w:rPr>
          <w:rFonts w:eastAsia="等线" w:ascii="Arial" w:cs="Arial" w:hAnsi="Arial"/>
          <w:sz w:val="22"/>
        </w:rPr>
        <w:t xml:space="preserve">（二） 正式沟通以邮件、书面沟通辅以电话沟通为主要形式，并保留相关条款的书面沟通的痕迹，必要时邀请到公司进行当面洽谈； </w:t>
      </w:r>
    </w:p>
    <w:p>
      <w:pPr>
        <w:spacing w:before="120" w:after="120" w:line="288" w:lineRule="auto"/>
        <w:ind w:left="0" w:firstLine="420"/>
        <w:jc w:val="left"/>
      </w:pPr>
      <w:r>
        <w:rPr>
          <w:rFonts w:eastAsia="等线" w:ascii="Arial" w:cs="Arial" w:hAnsi="Arial"/>
          <w:sz w:val="22"/>
        </w:rPr>
        <w:t>（三） 每一轮洽谈项目部回复项目方口径为“风控反馈意见”。</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项目财务、法务等方面比较复杂的情形下，项目部可优先寻求公司内部其他员工帮助。如法律问题不能满足要求，可委托法务联系律师事务所进行咨询；如需要律师事务所完成法律尽调及出具法律报告，可向总经理申请，经批准后委托法务联系律师事务所开展相关工作。</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为确保风控部更有效地履行监督职责，风控总监可指定风控部人员选择性参与项目尽调，并独立出具风控意见提交风决会及投委会。</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风控部依据《风险控制管理制度》的相关规定，对拟提交投委会的项目进行前置投资决策。</w:t>
      </w:r>
    </w:p>
    <w:p>
      <w:pPr>
        <w:spacing w:before="120" w:after="120" w:line="288" w:lineRule="auto"/>
        <w:ind w:left="0" w:firstLine="420"/>
        <w:jc w:val="left"/>
      </w:pPr>
      <w:r>
        <w:rPr>
          <w:rFonts w:eastAsia="等线" w:ascii="Arial" w:cs="Arial" w:hAnsi="Arial"/>
          <w:b w:val="true"/>
          <w:sz w:val="22"/>
        </w:rPr>
        <w:t>第十条</w:t>
      </w:r>
      <w:r>
        <w:rPr>
          <w:rFonts w:eastAsia="等线" w:ascii="Arial" w:cs="Arial" w:hAnsi="Arial"/>
          <w:sz w:val="22"/>
        </w:rPr>
        <w:t xml:space="preserve"> 投资决策委员会依据《投资决策委员会制度》做出是否同意该项投资及附加条件（如有）的决议。</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常务董事扩大会依据《合同管理制度》及《三会议事规则》的相关规定对《投资协议》进行决策。</w:t>
      </w:r>
    </w:p>
    <w:p>
      <w:pPr>
        <w:spacing w:before="120" w:after="120" w:line="288" w:lineRule="auto"/>
        <w:ind w:left="0" w:firstLine="420"/>
        <w:jc w:val="left"/>
      </w:pPr>
      <w:r>
        <w:rPr>
          <w:rFonts w:eastAsia="等线" w:ascii="Arial" w:cs="Arial" w:hAnsi="Arial"/>
          <w:b w:val="true"/>
          <w:sz w:val="22"/>
        </w:rPr>
        <w:t>第十二条</w:t>
      </w:r>
      <w:r>
        <w:rPr>
          <w:rFonts w:eastAsia="等线" w:ascii="Arial" w:cs="Arial" w:hAnsi="Arial"/>
          <w:sz w:val="22"/>
        </w:rPr>
        <w:t xml:space="preserve"> 债转股项目在债务形成前须按照公司投资管理流程的规定进行项目调研、投资决策并签署投资协议，并且在协议中明确转股的具体条件，转股前投委会须根据项目部提交的补充调研报告及附件再次进行决策。</w:t>
      </w: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如果投资时遇到有老股转让的情况，结合老股转让折扣以及企业资金需求综合设计投资方案，如增资、增资+受让老股、完全受让老股的方式。</w:t>
      </w:r>
    </w:p>
    <w:p>
      <w:pPr>
        <w:spacing w:before="120" w:after="120" w:line="288" w:lineRule="auto"/>
        <w:ind w:left="0" w:firstLine="420"/>
        <w:jc w:val="left"/>
      </w:pPr>
      <w:r>
        <w:rPr>
          <w:rFonts w:eastAsia="等线" w:ascii="Arial" w:cs="Arial" w:hAnsi="Arial"/>
          <w:b w:val="true"/>
          <w:sz w:val="22"/>
        </w:rPr>
        <w:t xml:space="preserve">第十四条 </w:t>
      </w:r>
      <w:r>
        <w:rPr>
          <w:rFonts w:eastAsia="等线" w:ascii="Arial" w:cs="Arial" w:hAnsi="Arial"/>
          <w:sz w:val="22"/>
        </w:rPr>
        <w:t>公司或所管理基金在已投资的每个项目中，将公司所获收益的一定比例给予该项目部作为激励，依据相关制度执行。</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投资项目时，项目部必须跟投，额度要求详见《分配制度》中的《xx基金股权激励办法》。项目追加投资时，如项目部的已跟投金额超过总跟投额度要求，则项目部不必须再跟投。</w:t>
      </w:r>
    </w:p>
    <w:p>
      <w:pPr>
        <w:spacing w:before="120" w:after="120" w:line="288" w:lineRule="auto"/>
        <w:ind w:left="0" w:firstLine="420"/>
        <w:jc w:val="left"/>
      </w:pPr>
      <w:r>
        <w:rPr>
          <w:rFonts w:eastAsia="等线" w:ascii="Arial" w:cs="Arial" w:hAnsi="Arial"/>
          <w:b w:val="true"/>
          <w:sz w:val="22"/>
        </w:rPr>
        <w:t>第十六条</w:t>
      </w:r>
      <w:r>
        <w:rPr>
          <w:rFonts w:eastAsia="等线" w:ascii="Arial" w:cs="Arial" w:hAnsi="Arial"/>
          <w:sz w:val="22"/>
        </w:rPr>
        <w:t xml:space="preserve"> 员工可以使用自有资金跟投项目。</w:t>
      </w:r>
    </w:p>
    <w:p>
      <w:pPr>
        <w:spacing w:before="120" w:after="120" w:line="288" w:lineRule="auto"/>
        <w:ind w:left="0" w:firstLine="420"/>
        <w:jc w:val="left"/>
      </w:pPr>
      <w:r>
        <w:rPr>
          <w:rFonts w:eastAsia="等线" w:ascii="Arial" w:cs="Arial" w:hAnsi="Arial"/>
          <w:sz w:val="22"/>
        </w:rPr>
        <w:t>（一） 对于公司或所管理基金决定投资的项目，员工跟投数额、比例及申报时间节点参照《投资决策委员会制度》相关规定；</w:t>
      </w:r>
    </w:p>
    <w:p>
      <w:pPr>
        <w:spacing w:before="120" w:after="120" w:line="288" w:lineRule="auto"/>
        <w:ind w:left="0" w:firstLine="420"/>
        <w:jc w:val="left"/>
      </w:pPr>
      <w:r>
        <w:rPr>
          <w:rFonts w:eastAsia="等线" w:ascii="Arial" w:cs="Arial" w:hAnsi="Arial"/>
          <w:sz w:val="22"/>
        </w:rPr>
        <w:t xml:space="preserve">（二） 公司全体员工均有资格跟投项目；由愿意跟投的员工与项目部协商跟投数额；协商不成的，由总经理裁定； </w:t>
      </w:r>
    </w:p>
    <w:p>
      <w:pPr>
        <w:spacing w:before="120" w:after="120" w:line="288" w:lineRule="auto"/>
        <w:ind w:left="0" w:firstLine="420"/>
        <w:jc w:val="left"/>
      </w:pPr>
      <w:r>
        <w:rPr>
          <w:rFonts w:eastAsia="等线" w:ascii="Arial" w:cs="Arial" w:hAnsi="Arial"/>
          <w:sz w:val="22"/>
        </w:rPr>
        <w:t xml:space="preserve">（三） 员工跟投股份原则上由同润科投代持，并于打款后30日内签署代持协议，在所投企业进行股改时解除代持关系；若项目方同意员工以个人名义直接入股，可由员工或其指定持股平台直接持股，前述持股主体须与公司签署同样内容的协议并签署一致行动人协议； </w:t>
      </w:r>
    </w:p>
    <w:p>
      <w:pPr>
        <w:spacing w:before="120" w:after="120" w:line="288" w:lineRule="auto"/>
        <w:ind w:left="0" w:firstLine="420"/>
        <w:jc w:val="left"/>
      </w:pPr>
      <w:r>
        <w:rPr>
          <w:rFonts w:eastAsia="等线" w:ascii="Arial" w:cs="Arial" w:hAnsi="Arial"/>
          <w:sz w:val="22"/>
        </w:rPr>
        <w:t>（四） 员工跟投时点应与同润科投对项目入股的时间一致（首次入股或后续增资），员工每次跟投估值须与公司当次增资入资估值一致；</w:t>
      </w:r>
    </w:p>
    <w:p>
      <w:pPr>
        <w:spacing w:before="120" w:after="120" w:line="288" w:lineRule="auto"/>
        <w:ind w:left="0" w:firstLine="420"/>
        <w:jc w:val="left"/>
      </w:pPr>
      <w:r>
        <w:rPr>
          <w:rFonts w:eastAsia="等线" w:ascii="Arial" w:cs="Arial" w:hAnsi="Arial"/>
          <w:sz w:val="22"/>
        </w:rPr>
        <w:t>（五） 若员工跟投股份由同润科投代持，员工离职后同润科投仍保障员工跟投股份的合法权益，在每次投资退出时按退出价格和比例扣除应缴纳税款后向已离职员工兑现其跟投股份；</w:t>
      </w:r>
    </w:p>
    <w:p>
      <w:pPr>
        <w:spacing w:before="120" w:after="120" w:line="288" w:lineRule="auto"/>
        <w:ind w:left="0" w:firstLine="420"/>
        <w:jc w:val="left"/>
      </w:pPr>
      <w:r>
        <w:rPr>
          <w:rFonts w:eastAsia="等线" w:ascii="Arial" w:cs="Arial" w:hAnsi="Arial"/>
          <w:sz w:val="22"/>
        </w:rPr>
        <w:t>（六） 本条与项目部必须跟投项目的条款互不冲突。</w:t>
      </w:r>
    </w:p>
    <w:p>
      <w:pPr>
        <w:spacing w:before="120" w:after="120" w:line="288" w:lineRule="auto"/>
        <w:ind w:left="0" w:firstLine="420"/>
        <w:jc w:val="left"/>
      </w:pPr>
      <w:r>
        <w:rPr>
          <w:rFonts w:eastAsia="等线" w:ascii="Arial" w:cs="Arial" w:hAnsi="Arial"/>
          <w:b w:val="true"/>
          <w:sz w:val="22"/>
        </w:rPr>
        <w:t xml:space="preserve">第十七条 </w:t>
      </w:r>
      <w:r>
        <w:rPr>
          <w:rFonts w:eastAsia="等线" w:ascii="Arial" w:cs="Arial" w:hAnsi="Arial"/>
          <w:sz w:val="22"/>
        </w:rPr>
        <w:t>若项目完成融资（指公司或基金参与投资的融资）后需发布新闻稿，项目部负责落实该新闻稿关于公司或基金相关宣传内容，并提请总经理审核批准。</w:t>
      </w:r>
    </w:p>
    <w:p>
      <w:pPr>
        <w:spacing w:before="120" w:after="120" w:line="288" w:lineRule="auto"/>
        <w:ind w:left="0" w:firstLine="420"/>
        <w:jc w:val="left"/>
      </w:pPr>
      <w:r>
        <w:rPr>
          <w:rFonts w:eastAsia="等线" w:ascii="Arial" w:cs="Arial" w:hAnsi="Arial"/>
          <w:b w:val="true"/>
          <w:sz w:val="22"/>
        </w:rPr>
        <w:t xml:space="preserve">第十八条 </w:t>
      </w:r>
      <w:r>
        <w:rPr>
          <w:rFonts w:eastAsia="等线" w:ascii="Arial" w:cs="Arial" w:hAnsi="Arial"/>
          <w:sz w:val="22"/>
        </w:rPr>
        <w:t>上会的项目需复盘，相关要求详见“投资流程管理制度”的“投资决策环节”。</w:t>
      </w:r>
    </w:p>
    <w:p>
      <w:pPr>
        <w:spacing w:before="120" w:after="120" w:line="288" w:lineRule="auto"/>
        <w:ind w:left="0" w:firstLine="420"/>
        <w:jc w:val="left"/>
      </w:pPr>
      <w:r>
        <w:rPr>
          <w:rFonts w:eastAsia="等线" w:ascii="Arial" w:cs="Arial" w:hAnsi="Arial"/>
          <w:b w:val="true"/>
          <w:sz w:val="22"/>
        </w:rPr>
        <w:t>第十九条</w:t>
      </w:r>
      <w:r>
        <w:rPr>
          <w:rFonts w:eastAsia="等线" w:ascii="Arial" w:cs="Arial" w:hAnsi="Arial"/>
          <w:sz w:val="22"/>
        </w:rPr>
        <w:t xml:space="preserve"> 全员在已投项目在投后管理过程中针对调研报告的真实性存疑的可匿名向董事长提出，由扩大会研究决定后组织联合小组进行核查，联合小组调研完毕将核查结论提交扩大会表决并由董事长将最终结论意见向提议人进行传达，对于真实性确定存在问题的，按照相关制度规定进行追责。</w:t>
      </w:r>
    </w:p>
    <w:p>
      <w:pPr>
        <w:spacing w:before="120" w:after="120" w:line="288" w:lineRule="auto"/>
        <w:ind w:left="0" w:firstLine="420"/>
        <w:jc w:val="left"/>
      </w:pPr>
      <w:r>
        <w:rPr>
          <w:rFonts w:eastAsia="等线" w:ascii="Arial" w:cs="Arial" w:hAnsi="Arial"/>
          <w:b w:val="true"/>
          <w:sz w:val="22"/>
        </w:rPr>
        <w:t>第二十条</w:t>
      </w:r>
      <w:r>
        <w:rPr>
          <w:rFonts w:eastAsia="等线" w:ascii="Arial" w:cs="Arial" w:hAnsi="Arial"/>
          <w:sz w:val="22"/>
        </w:rPr>
        <w:t xml:space="preserve"> 放弃项目：在部门例会六个月没有更新信息的项目以及被投委会否决的项目，视为放弃项目。放弃项目应在飞书投资云中变更至“放弃项目”。预立项后放弃的项目应在月度会做原因分析。</w:t>
      </w:r>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2" w:id="22"/>
      <w:r>
        <w:rPr>
          <w:rFonts w:eastAsia="等线" w:ascii="Arial" w:cs="Arial" w:hAnsi="Arial"/>
          <w:b w:val="true"/>
          <w:sz w:val="30"/>
        </w:rPr>
        <w:t>第三节 项目库管理制度（</w:t>
      </w:r>
      <w:r>
        <w:rPr>
          <w:rFonts w:eastAsia="等线" w:ascii="Arial" w:cs="Arial" w:hAnsi="Arial"/>
          <w:b w:val="true"/>
          <w:color w:val="3370ff"/>
          <w:sz w:val="30"/>
        </w:rPr>
        <w:t>@尹瑶</w:t>
      </w:r>
      <w:r>
        <w:rPr>
          <w:rFonts w:eastAsia="等线" w:ascii="Arial" w:cs="Arial" w:hAnsi="Arial"/>
          <w:b w:val="true"/>
          <w:sz w:val="30"/>
        </w:rPr>
        <w:t>）</w:t>
      </w:r>
      <w:bookmarkEnd w:id="22"/>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为规范员工项目收集工作，规范项目入库、项目库管理及使用，特制定本制度。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项目库项目入库评判标准</w:t>
      </w:r>
    </w:p>
    <w:p>
      <w:pPr>
        <w:spacing w:before="120" w:after="120" w:line="288" w:lineRule="auto"/>
        <w:ind w:left="0" w:firstLine="420"/>
        <w:jc w:val="left"/>
      </w:pPr>
      <w:r>
        <w:rPr>
          <w:rFonts w:eastAsia="等线" w:ascii="Arial" w:cs="Arial" w:hAnsi="Arial"/>
          <w:sz w:val="22"/>
        </w:rPr>
        <w:t>（一） 员工所提交项目须符合公司的投资领域，即投资领域须为医疗器械、 生物技术等医疗健康领域以及高端制造、电子信息等智能制造领域；</w:t>
      </w:r>
    </w:p>
    <w:p>
      <w:pPr>
        <w:spacing w:before="120" w:after="120" w:line="288" w:lineRule="auto"/>
        <w:ind w:left="0" w:firstLine="0"/>
        <w:jc w:val="left"/>
      </w:pPr>
      <w:r>
        <w:rPr>
          <w:rFonts w:eastAsia="等线" w:ascii="Arial" w:cs="Arial" w:hAnsi="Arial"/>
          <w:sz w:val="22"/>
        </w:rPr>
        <w:t xml:space="preserve">    （二）不满足入库标准的项目bp可上传至在飞书云盘的文件夹；</w:t>
      </w:r>
    </w:p>
    <w:p>
      <w:pPr>
        <w:spacing w:before="120" w:after="120" w:line="288" w:lineRule="auto"/>
        <w:ind w:left="0" w:firstLine="420"/>
        <w:jc w:val="left"/>
      </w:pPr>
      <w:r>
        <w:rPr>
          <w:rFonts w:eastAsia="等线" w:ascii="Arial" w:cs="Arial" w:hAnsi="Arial"/>
          <w:sz w:val="22"/>
        </w:rPr>
        <w:t>（三）入库标准（估值、融资金额）以负面清单的要求为准；</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项目库提交规范</w:t>
      </w:r>
    </w:p>
    <w:p>
      <w:pPr>
        <w:spacing w:before="120" w:after="120" w:line="288" w:lineRule="auto"/>
        <w:ind w:left="0" w:firstLine="0"/>
        <w:jc w:val="left"/>
      </w:pPr>
      <w:r>
        <w:rPr>
          <w:rFonts w:eastAsia="等线" w:ascii="Arial" w:cs="Arial" w:hAnsi="Arial"/>
          <w:sz w:val="22"/>
        </w:rPr>
        <w:t xml:space="preserve">    （一）考核周期内员工可随时在线提交项目，并按照飞书投资云项目管理的要求填写相关信息。</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项目库管理规范</w:t>
      </w:r>
    </w:p>
    <w:p>
      <w:pPr>
        <w:spacing w:before="120" w:after="120" w:line="288" w:lineRule="auto"/>
        <w:ind w:left="0" w:firstLine="420"/>
        <w:jc w:val="left"/>
      </w:pPr>
      <w:r>
        <w:rPr>
          <w:rFonts w:eastAsia="等线" w:ascii="Arial" w:cs="Arial" w:hAnsi="Arial"/>
          <w:sz w:val="22"/>
        </w:rPr>
        <w:t>（一） 项目入库按照制度相关要求，通过飞书项目云平台进行项目入库。</w:t>
      </w:r>
    </w:p>
    <w:p>
      <w:pPr>
        <w:spacing w:before="120" w:after="120" w:line="288" w:lineRule="auto"/>
        <w:ind w:left="0" w:firstLine="420"/>
        <w:jc w:val="left"/>
      </w:pPr>
      <w:r>
        <w:rPr>
          <w:rFonts w:eastAsia="等线" w:ascii="Arial" w:cs="Arial" w:hAnsi="Arial"/>
          <w:sz w:val="22"/>
        </w:rPr>
        <w:t>针对已入库但未启动调研或放弃调研的项目，其他员工享有重组项目部进行调研的权利，可通过飞书修改项目部成员名称及相关信息。</w:t>
      </w:r>
    </w:p>
    <w:p>
      <w:pPr>
        <w:spacing w:before="120" w:after="120" w:line="288" w:lineRule="auto"/>
        <w:ind w:left="0" w:firstLine="420"/>
        <w:jc w:val="left"/>
      </w:pPr>
      <w:r>
        <w:rPr>
          <w:rFonts w:eastAsia="等线" w:ascii="Arial" w:cs="Arial" w:hAnsi="Arial"/>
          <w:sz w:val="22"/>
        </w:rPr>
        <w:t xml:space="preserve">（二）对于符合公司投资领域、投资阶段、投前估值和融资规模的项目，部门成员需在一、二部例会各自介绍自己上传项目应在部门例会上对项目进行简单介绍（项目提交人如有需求，可以在一、二部例会单独介绍项目），部门总监介绍非部门成员项目。 </w:t>
      </w:r>
      <w:r>
        <w:rPr>
          <w:rFonts w:eastAsia="等线" w:ascii="Arial" w:cs="Arial" w:hAnsi="Arial"/>
          <w:color w:val="d83931"/>
          <w:sz w:val="22"/>
        </w:rPr>
        <w:t xml:space="preserve"> </w:t>
      </w:r>
    </w:p>
    <w:p>
      <w:pPr>
        <w:spacing w:before="120" w:after="120" w:line="288" w:lineRule="auto"/>
        <w:ind w:left="0" w:firstLine="420"/>
        <w:jc w:val="left"/>
      </w:pPr>
      <w:r>
        <w:rPr>
          <w:rFonts w:eastAsia="等线" w:ascii="Arial" w:cs="Arial" w:hAnsi="Arial"/>
          <w:sz w:val="22"/>
        </w:rPr>
        <w:t>（三） 如项目渠道方需项目调研人进行项目反馈或有其他合理要求的，项目获得人须及时告知项目调研人，项目调研人须及时配合反馈；</w:t>
      </w:r>
    </w:p>
    <w:p>
      <w:pPr>
        <w:spacing w:before="120" w:after="120" w:line="288" w:lineRule="auto"/>
        <w:ind w:left="0" w:firstLine="420"/>
        <w:jc w:val="left"/>
      </w:pPr>
      <w:r>
        <w:rPr>
          <w:rFonts w:eastAsia="等线" w:ascii="Arial" w:cs="Arial" w:hAnsi="Arial"/>
          <w:sz w:val="22"/>
        </w:rPr>
        <w:t>（四） 全体员工自行上传飞书投资云平台项目管理中，制度管理员主要维护飞书投资云平台工作，统计及核实考核阶段内上传项目的数量；</w:t>
      </w:r>
    </w:p>
    <w:p>
      <w:pPr>
        <w:spacing w:before="120" w:after="120" w:line="288" w:lineRule="auto"/>
        <w:ind w:left="0" w:firstLine="420"/>
        <w:jc w:val="left"/>
      </w:pPr>
      <w:r>
        <w:rPr>
          <w:rFonts w:eastAsia="等线" w:ascii="Arial" w:cs="Arial" w:hAnsi="Arial"/>
          <w:sz w:val="22"/>
        </w:rPr>
        <w:t>（五）董事长给员工发送的项目符合入库标准的，由该名员工录入项目库。</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项目库使用规范</w:t>
      </w:r>
    </w:p>
    <w:p>
      <w:pPr>
        <w:spacing w:before="120" w:after="120" w:line="288" w:lineRule="auto"/>
        <w:ind w:left="0" w:firstLine="420"/>
        <w:jc w:val="left"/>
      </w:pPr>
      <w:r>
        <w:rPr>
          <w:rFonts w:eastAsia="等线" w:ascii="Arial" w:cs="Arial" w:hAnsi="Arial"/>
          <w:sz w:val="22"/>
        </w:rPr>
        <w:t>（一） 公司要求员工使用飞书平台进行项目录入管理。</w:t>
      </w:r>
    </w:p>
    <w:p>
      <w:pPr>
        <w:spacing w:before="120" w:after="120" w:line="288" w:lineRule="auto"/>
        <w:ind w:left="0" w:firstLine="420"/>
        <w:jc w:val="left"/>
      </w:pPr>
      <w:r>
        <w:rPr>
          <w:rFonts w:eastAsia="等线" w:ascii="Arial" w:cs="Arial" w:hAnsi="Arial"/>
          <w:sz w:val="22"/>
        </w:rPr>
        <w:t>（二） 若员工准备调研或关闭某项目，由员工主动对项目库相关状态内容进行更新；</w:t>
      </w:r>
    </w:p>
    <w:p>
      <w:pPr>
        <w:spacing w:before="120" w:after="120" w:line="288" w:lineRule="auto"/>
        <w:ind w:left="0" w:firstLine="420"/>
        <w:jc w:val="left"/>
      </w:pPr>
      <w:r>
        <w:rPr>
          <w:rFonts w:eastAsia="等线" w:ascii="Arial" w:cs="Arial" w:hAnsi="Arial"/>
          <w:sz w:val="22"/>
        </w:rPr>
        <w:t>（三） 未经制度管理员批准，员工不得擅自对公司飞书项目库内容进行修改。</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项目对外推介规范</w:t>
      </w:r>
    </w:p>
    <w:p>
      <w:pPr>
        <w:spacing w:before="120" w:after="120" w:line="288" w:lineRule="auto"/>
        <w:ind w:left="0" w:firstLine="420"/>
        <w:jc w:val="left"/>
      </w:pPr>
      <w:r>
        <w:rPr>
          <w:rFonts w:eastAsia="等线" w:ascii="Arial" w:cs="Arial" w:hAnsi="Arial"/>
          <w:sz w:val="22"/>
        </w:rPr>
        <w:t>（一） 公司员工向其它单位分享项目库内项目前，须与项目获得人沟通，由项目获得人负责与项目方联系，征求项目方意见；</w:t>
      </w:r>
    </w:p>
    <w:p>
      <w:pPr>
        <w:spacing w:before="120" w:after="120" w:line="288" w:lineRule="auto"/>
        <w:ind w:left="0" w:firstLine="420"/>
        <w:jc w:val="left"/>
      </w:pPr>
      <w:r>
        <w:rPr>
          <w:rFonts w:eastAsia="等线" w:ascii="Arial" w:cs="Arial" w:hAnsi="Arial"/>
          <w:sz w:val="22"/>
        </w:rPr>
        <w:t>（二） 对外推介项目前，推介人须与项目所属领域的一部或二部的部门总监就项目质量进行沟通，避免传播低质量项目。</w:t>
      </w:r>
    </w:p>
    <w:p>
      <w:pPr>
        <w:spacing w:before="120" w:after="120" w:line="288" w:lineRule="auto"/>
        <w:ind w:left="0" w:firstLine="420"/>
        <w:jc w:val="left"/>
      </w:pPr>
      <w:r>
        <w:rPr>
          <w:rFonts w:eastAsia="等线" w:ascii="Arial" w:cs="Arial" w:hAnsi="Arial"/>
          <w:sz w:val="22"/>
        </w:rPr>
        <w:t>同时满足以上两点，方可进行对外项目推介。</w:t>
      </w:r>
    </w:p>
    <w:p>
      <w:pPr>
        <w:spacing w:before="120" w:after="120" w:line="288" w:lineRule="auto"/>
        <w:ind w:left="0" w:firstLine="0"/>
        <w:jc w:val="left"/>
      </w:pPr>
      <w:r>
        <w:rPr>
          <w:rFonts w:eastAsia="等线" w:ascii="Arial" w:cs="Arial" w:hAnsi="Arial"/>
          <w:b w:val="true"/>
          <w:sz w:val="22"/>
        </w:rPr>
        <w:t xml:space="preserve">    第七条 </w:t>
      </w:r>
      <w:r>
        <w:rPr>
          <w:rFonts w:eastAsia="等线" w:ascii="Arial" w:cs="Arial" w:hAnsi="Arial"/>
          <w:sz w:val="22"/>
        </w:rPr>
        <w:t>符合入库要求的合格项目提交数量是半年绩效考核的相关考核项依据，制度管理员须于半年考核期截止日统计公司全职员工所提交项目数量的最终数据并飞书在线公示。</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3" w:id="23"/>
      <w:r>
        <w:rPr>
          <w:rFonts w:eastAsia="等线" w:ascii="Arial" w:cs="Arial" w:hAnsi="Arial"/>
          <w:b w:val="true"/>
          <w:sz w:val="30"/>
        </w:rPr>
        <w:t>第四节 资源库管理制度（</w:t>
      </w:r>
      <w:r>
        <w:rPr>
          <w:rFonts w:eastAsia="等线" w:ascii="Arial" w:cs="Arial" w:hAnsi="Arial"/>
          <w:b w:val="true"/>
          <w:color w:val="3370ff"/>
          <w:sz w:val="30"/>
        </w:rPr>
        <w:t>@尹瑶</w:t>
      </w:r>
      <w:r>
        <w:rPr>
          <w:rFonts w:eastAsia="等线" w:ascii="Arial" w:cs="Arial" w:hAnsi="Arial"/>
          <w:b w:val="true"/>
          <w:sz w:val="30"/>
        </w:rPr>
        <w:t>）</w:t>
      </w:r>
      <w:bookmarkEnd w:id="23"/>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为规范资源库管理，加强与其他投资机构、行业专业人士、学术机构的合作，提高资源库的使用效率，特制定本制度。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资源库管理员负责资源库的管理，包括资源库文档的设计、信息的更新以及文档的保管。制度管理员负责资源库管理和维护。</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本制度所指的资源库包括专家资源与机构资源。</w:t>
      </w:r>
    </w:p>
    <w:p>
      <w:pPr>
        <w:spacing w:before="120" w:after="120" w:line="288" w:lineRule="auto"/>
        <w:ind w:left="0"/>
        <w:jc w:val="left"/>
      </w:pPr>
      <w:r>
        <w:rPr>
          <w:rFonts w:eastAsia="等线" w:ascii="Arial" w:cs="Arial" w:hAnsi="Arial"/>
          <w:b w:val="true"/>
          <w:sz w:val="22"/>
        </w:rPr>
        <w:t xml:space="preserve">      第四条</w:t>
      </w:r>
      <w:r>
        <w:rPr>
          <w:rFonts w:eastAsia="等线" w:ascii="Arial" w:cs="Arial" w:hAnsi="Arial"/>
          <w:sz w:val="22"/>
        </w:rPr>
        <w:t xml:space="preserve"> 资源库文档应保持半年度更新频率，全体员工采用在线编辑形式在飞书云盘中提交资源库内容（飞书云盘使用方法见《附件103飞书和公司网盘登录方法》），管理员负责资源库备份及半年考核汇总工作，每一考核周期最后一次提交时间不得迟于当期考核截至日期；</w:t>
      </w:r>
    </w:p>
    <w:p>
      <w:pPr>
        <w:spacing w:before="120" w:after="120" w:line="288" w:lineRule="auto"/>
        <w:ind w:left="0" w:firstLine="420"/>
        <w:jc w:val="left"/>
      </w:pPr>
      <w:r>
        <w:rPr>
          <w:rFonts w:eastAsia="等线" w:ascii="Arial" w:cs="Arial" w:hAnsi="Arial"/>
          <w:sz w:val="22"/>
        </w:rPr>
        <w:t>（一） 员工须严格遵照资源库更新收集文档模板的要求（附件2241），填写相关项目，方可将入库信息纳入绩效考核成绩；</w:t>
      </w:r>
    </w:p>
    <w:p>
      <w:pPr>
        <w:spacing w:before="120" w:after="120" w:line="288" w:lineRule="auto"/>
        <w:ind w:left="0" w:firstLine="420"/>
        <w:jc w:val="left"/>
      </w:pPr>
      <w:r>
        <w:rPr>
          <w:rFonts w:eastAsia="等线" w:ascii="Arial" w:cs="Arial" w:hAnsi="Arial"/>
          <w:sz w:val="22"/>
        </w:rPr>
        <w:t>（二） 全体员工应当对专家的个人信息进行严格保密。专家要求对其个人信息签署保密协议的，公司应当配合签署；同时，公司有保密要求也要让公司专家签保密协议以防泄露重要信息。</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公司员工需要对接资源的，应当首先查询资源库。使用资源库时建议采用多个关键字搜索的方式进行专家或机构信息的定位查询。</w:t>
      </w:r>
    </w:p>
    <w:p>
      <w:pPr>
        <w:spacing w:before="120" w:after="120" w:line="288" w:lineRule="auto"/>
        <w:ind w:left="0" w:firstLine="420"/>
        <w:jc w:val="left"/>
      </w:pPr>
      <w:r>
        <w:rPr>
          <w:rFonts w:eastAsia="等线" w:ascii="Arial" w:cs="Arial" w:hAnsi="Arial"/>
          <w:sz w:val="22"/>
        </w:rPr>
        <w:t>公司员工如需使用其他同事获得的专家和机构信息，应提前告知相关同事，并在该同事协助下使用；未经资源获得人知会的情况下不得擅自联系。</w:t>
      </w:r>
    </w:p>
    <w:p>
      <w:pPr>
        <w:spacing w:before="120" w:after="120" w:line="288" w:lineRule="auto"/>
        <w:ind w:left="0" w:firstLine="420"/>
        <w:jc w:val="left"/>
      </w:pPr>
      <w:r>
        <w:rPr>
          <w:rFonts w:eastAsia="等线" w:ascii="Arial" w:cs="Arial" w:hAnsi="Arial"/>
          <w:sz w:val="22"/>
        </w:rPr>
        <w:t>未经总经理和资源获得人许可，不得将资源库中的调研资源和对外联系信息透露给公司外人员。</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第六条</w:t>
      </w:r>
      <w:r>
        <w:rPr>
          <w:rFonts w:eastAsia="等线" w:ascii="Arial" w:cs="Arial" w:hAnsi="Arial"/>
          <w:sz w:val="22"/>
        </w:rPr>
        <w:t xml:space="preserve"> 制度管理员须于半年考核期截止日统计公司全职员工所提交资源数量的最终数据并邮件发送且1月、7月度会议公司全员公示。</w:t>
      </w:r>
    </w:p>
    <w:p>
      <w:pPr>
        <w:spacing w:before="120" w:after="120" w:line="288" w:lineRule="auto"/>
        <w:ind w:left="0" w:firstLine="420"/>
        <w:jc w:val="left"/>
      </w:pPr>
      <w:r>
        <w:rPr>
          <w:rFonts w:eastAsia="等线" w:ascii="Arial" w:cs="Arial" w:hAnsi="Arial"/>
          <w:sz w:val="22"/>
        </w:rPr>
        <w:t>（一） 对于不同被考核人录入的同一资源信息，在资源库中均予以保留，但考核时只给先录入者记录该资源库数量。</w:t>
      </w:r>
    </w:p>
    <w:p>
      <w:pPr>
        <w:spacing w:before="120" w:after="120" w:line="288" w:lineRule="auto"/>
        <w:ind w:left="0" w:firstLine="420"/>
        <w:jc w:val="left"/>
      </w:pPr>
      <w:r>
        <w:rPr>
          <w:rFonts w:eastAsia="等线" w:ascii="Arial" w:cs="Arial" w:hAnsi="Arial"/>
          <w:sz w:val="22"/>
        </w:rPr>
        <w:t>（二） 资源库的录入时间以员工自己编辑时间为准，同一被考核人录入的同一机构的不同联系人记为一条有效信息，不同被考核人录入的同一机构的不同联系人各自有效；</w:t>
      </w:r>
      <w:r>
        <w:rPr>
          <w:rFonts w:eastAsia="等线" w:ascii="Arial" w:cs="Arial" w:hAnsi="Arial"/>
          <w:color w:val="d83931"/>
          <w:sz w:val="22"/>
        </w:rPr>
        <w:t xml:space="preserve"> </w:t>
      </w:r>
    </w:p>
    <w:p>
      <w:pPr>
        <w:spacing w:before="120" w:after="120" w:line="288" w:lineRule="auto"/>
        <w:ind w:left="0" w:firstLine="420"/>
        <w:jc w:val="left"/>
      </w:pPr>
      <w:r>
        <w:rPr>
          <w:rFonts w:eastAsia="等线" w:ascii="Arial" w:cs="Arial" w:hAnsi="Arial"/>
          <w:sz w:val="22"/>
        </w:rPr>
        <w:t>（三） 在资源库里查到董事长的资源，沟通过程中引申出其他资源的，算作该查找人的资源，提交到资源库可作为该人的考核指标，但需注明由董事长引荐，以便后续继续接洽。</w:t>
      </w:r>
    </w:p>
    <w:p>
      <w:pPr>
        <w:spacing w:before="120" w:after="120" w:line="288" w:lineRule="auto"/>
        <w:ind w:left="453"/>
        <w:jc w:val="left"/>
      </w:pPr>
      <w:r>
        <w:rPr>
          <w:rFonts w:eastAsia="等线" w:ascii="Arial" w:cs="Arial" w:hAnsi="Arial"/>
          <w:b w:val="true"/>
          <w:sz w:val="22"/>
        </w:rPr>
        <w:t>第七条</w:t>
      </w:r>
      <w:r>
        <w:rPr>
          <w:rFonts w:eastAsia="等线" w:ascii="Arial" w:cs="Arial" w:hAnsi="Arial"/>
          <w:sz w:val="22"/>
        </w:rPr>
        <w:t xml:space="preserve"> 对于使用人查询后，发现已过时或无效的以前年度相关资源信息，需及时告知制度管理员进行清理、更新，保证资源库使用的高效率。</w:t>
      </w:r>
    </w:p>
    <w:p>
      <w:pPr>
        <w:spacing w:before="120" w:after="120" w:line="288" w:lineRule="auto"/>
        <w:ind w:left="453"/>
        <w:jc w:val="left"/>
      </w:pPr>
      <w:r>
        <w:rPr>
          <w:rFonts w:eastAsia="等线" w:ascii="Arial" w:cs="Arial" w:hAnsi="Arial"/>
          <w:b w:val="true"/>
          <w:sz w:val="22"/>
        </w:rPr>
        <w:t>第八条</w:t>
      </w:r>
      <w:r>
        <w:rPr>
          <w:rFonts w:eastAsia="等线" w:ascii="Arial" w:cs="Arial" w:hAnsi="Arial"/>
          <w:sz w:val="22"/>
        </w:rPr>
        <w:t xml:space="preserve"> 对于已过时或无效的资源信息，录入人员应及时备注或删除。</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4" w:id="24"/>
      <w:r>
        <w:rPr>
          <w:rFonts w:eastAsia="等线" w:ascii="Arial" w:cs="Arial" w:hAnsi="Arial"/>
          <w:b w:val="true"/>
          <w:sz w:val="30"/>
        </w:rPr>
        <w:t>第五节 投资流程管理制度（</w:t>
      </w:r>
      <w:r>
        <w:rPr>
          <w:rFonts w:eastAsia="等线" w:ascii="Arial" w:cs="Arial" w:hAnsi="Arial"/>
          <w:b w:val="true"/>
          <w:color w:val="3370ff"/>
          <w:sz w:val="30"/>
        </w:rPr>
        <w:t>@刘绍辉</w:t>
      </w:r>
      <w:r>
        <w:rPr>
          <w:rFonts w:eastAsia="等线" w:ascii="Arial" w:cs="Arial" w:hAnsi="Arial"/>
          <w:b w:val="true"/>
          <w:sz w:val="30"/>
        </w:rPr>
        <w:t>）</w:t>
      </w:r>
      <w:bookmarkEnd w:id="24"/>
    </w:p>
    <w:p>
      <w:pPr>
        <w:spacing w:before="120" w:after="120" w:line="288" w:lineRule="auto"/>
        <w:ind w:left="0" w:firstLine="420"/>
        <w:jc w:val="left"/>
      </w:pPr>
      <w:r>
        <w:rPr>
          <w:rFonts w:eastAsia="等线" w:ascii="Arial" w:cs="Arial" w:hAnsi="Arial"/>
          <w:sz w:val="22"/>
        </w:rPr>
        <w:t>投资流程管理制度对于公司的投资业务的整体流程、节点、各步骤注意事项进行规划和原则规定，公司员工开展投资业务需参照《附件2251-读书顺序调研法》、《附件2261-种子期负面清单与调研要点》或《附件2271-负面清单与调研要点 》、《投资流程管理制度》、《会议合作管理制度》、《投后管理制度》及《风险控制管理制度》等各项制度的相关规定。</w:t>
      </w:r>
    </w:p>
    <w:p>
      <w:pPr>
        <w:spacing w:before="120" w:after="120" w:line="288" w:lineRule="auto"/>
        <w:ind w:left="0" w:firstLine="420"/>
        <w:jc w:val="left"/>
      </w:pPr>
      <w:r>
        <w:rPr>
          <w:rFonts w:eastAsia="等线" w:ascii="Arial" w:cs="Arial" w:hAnsi="Arial"/>
          <w:sz w:val="22"/>
        </w:rPr>
        <w:t>同时，为了不失灵活性，如根据项目的实际情况需要进行调整，由扩大会讨论决定。</w:t>
      </w:r>
    </w:p>
    <w:p>
      <w:pPr>
        <w:spacing w:before="120" w:after="120" w:line="288" w:lineRule="auto"/>
        <w:ind w:left="0" w:firstLine="0"/>
        <w:jc w:val="center"/>
      </w:pPr>
      <w:r>
        <w:rPr>
          <w:rFonts w:eastAsia="等线" w:ascii="Arial" w:cs="Arial" w:hAnsi="Arial"/>
          <w:sz w:val="22"/>
        </w:rPr>
        <w:t xml:space="preserve">投资流程图 </w:t>
      </w:r>
    </w:p>
    <w:p>
      <w:pPr>
        <w:spacing w:before="120" w:after="120" w:line="288" w:lineRule="auto"/>
        <w:ind w:left="0" w:firstLine="0"/>
        <w:jc w:val="center"/>
      </w:pPr>
      <w:r>
        <w:rPr>
          <w:rFonts w:eastAsia="等线" w:ascii="Arial" w:cs="Arial" w:hAnsi="Arial"/>
          <w:b w:val="true"/>
          <w:color w:val="8f959e"/>
          <w:sz w:val="22"/>
        </w:rPr>
        <w:t>项目初筛</w:t>
      </w:r>
    </w:p>
    <w:p>
      <w:pPr>
        <w:spacing w:before="120" w:after="120" w:line="288" w:lineRule="auto"/>
        <w:ind w:left="0" w:firstLine="0"/>
        <w:jc w:val="center"/>
      </w:pPr>
      <w:r>
        <w:rPr>
          <w:rFonts w:eastAsia="等线" w:ascii="Arial" w:cs="Arial" w:hAnsi="Arial"/>
          <w:b w:val="true"/>
          <w:color w:val="8f959e"/>
          <w:sz w:val="22"/>
        </w:rPr>
        <w:t>首次交流</w:t>
      </w:r>
    </w:p>
    <w:p>
      <w:pPr>
        <w:spacing w:before="120" w:after="120" w:line="288" w:lineRule="auto"/>
        <w:ind w:left="0" w:firstLine="0"/>
        <w:jc w:val="center"/>
      </w:pPr>
      <w:r>
        <w:rPr>
          <w:rFonts w:eastAsia="等线" w:ascii="Arial" w:cs="Arial" w:hAnsi="Arial"/>
          <w:b w:val="true"/>
          <w:color w:val="8f959e"/>
          <w:sz w:val="22"/>
        </w:rPr>
        <w:t>深度调研</w:t>
      </w:r>
    </w:p>
    <w:p>
      <w:pPr>
        <w:spacing w:before="120" w:after="120" w:line="288" w:lineRule="auto"/>
        <w:ind w:left="0" w:firstLine="0"/>
        <w:jc w:val="center"/>
      </w:pPr>
      <w:r>
        <w:rPr>
          <w:rFonts w:eastAsia="等线" w:ascii="Arial" w:cs="Arial" w:hAnsi="Arial"/>
          <w:b w:val="true"/>
          <w:color w:val="8f959e"/>
          <w:sz w:val="22"/>
        </w:rPr>
        <w:t>立项预备会</w:t>
      </w:r>
    </w:p>
    <w:p>
      <w:pPr>
        <w:spacing w:before="120" w:after="120" w:line="288" w:lineRule="auto"/>
        <w:ind w:left="0" w:firstLine="0"/>
        <w:jc w:val="center"/>
      </w:pPr>
      <w:r>
        <w:rPr>
          <w:rFonts w:eastAsia="等线" w:ascii="Arial" w:cs="Arial" w:hAnsi="Arial"/>
          <w:b w:val="true"/>
          <w:color w:val="8f959e"/>
          <w:sz w:val="22"/>
        </w:rPr>
        <w:t>基础调研</w:t>
      </w:r>
    </w:p>
    <w:p>
      <w:pPr>
        <w:spacing w:before="120" w:after="120" w:line="288" w:lineRule="auto"/>
        <w:ind w:left="0" w:firstLine="0"/>
        <w:jc w:val="center"/>
      </w:pPr>
      <w:r>
        <w:rPr>
          <w:rFonts w:eastAsia="等线" w:ascii="Arial" w:cs="Arial" w:hAnsi="Arial"/>
          <w:b w:val="true"/>
          <w:color w:val="8f959e"/>
          <w:sz w:val="22"/>
        </w:rPr>
        <w:t>项目立项</w:t>
      </w:r>
    </w:p>
    <w:p>
      <w:pPr>
        <w:spacing w:before="120" w:after="120" w:line="288" w:lineRule="auto"/>
        <w:ind w:left="0" w:firstLine="0"/>
        <w:jc w:val="center"/>
      </w:pPr>
      <w:r>
        <w:rPr>
          <w:rFonts w:eastAsia="等线" w:ascii="Arial" w:cs="Arial" w:hAnsi="Arial"/>
          <w:b w:val="true"/>
          <w:color w:val="8f959e"/>
          <w:sz w:val="22"/>
        </w:rPr>
        <w:t>签署TS</w:t>
      </w:r>
    </w:p>
    <w:p>
      <w:pPr>
        <w:spacing w:before="120" w:after="120" w:line="288" w:lineRule="auto"/>
        <w:ind w:left="0" w:firstLine="0"/>
        <w:jc w:val="center"/>
      </w:pPr>
      <w:r>
        <w:rPr>
          <w:rFonts w:eastAsia="等线" w:ascii="Arial" w:cs="Arial" w:hAnsi="Arial"/>
          <w:b w:val="true"/>
          <w:color w:val="8f959e"/>
          <w:sz w:val="22"/>
        </w:rPr>
        <w:t>尽职调查</w:t>
      </w:r>
    </w:p>
    <w:p>
      <w:pPr>
        <w:spacing w:before="120" w:after="120" w:line="288" w:lineRule="auto"/>
        <w:ind w:left="0" w:firstLine="0"/>
        <w:jc w:val="center"/>
      </w:pPr>
      <w:r>
        <w:rPr>
          <w:rFonts w:eastAsia="等线" w:ascii="Arial" w:cs="Arial" w:hAnsi="Arial"/>
          <w:b w:val="true"/>
          <w:color w:val="8f959e"/>
          <w:sz w:val="22"/>
        </w:rPr>
        <w:t>拟订投资协议</w:t>
      </w:r>
    </w:p>
    <w:p>
      <w:pPr>
        <w:spacing w:before="120" w:after="120" w:line="288" w:lineRule="auto"/>
        <w:ind w:left="0" w:firstLine="0"/>
        <w:jc w:val="center"/>
      </w:pPr>
      <w:r>
        <w:rPr>
          <w:rFonts w:eastAsia="等线" w:ascii="Arial" w:cs="Arial" w:hAnsi="Arial"/>
          <w:b w:val="true"/>
          <w:color w:val="8f959e"/>
          <w:sz w:val="22"/>
        </w:rPr>
        <w:t>撰写调研报告</w:t>
      </w:r>
    </w:p>
    <w:p>
      <w:pPr>
        <w:spacing w:before="120" w:after="120" w:line="288" w:lineRule="auto"/>
        <w:ind w:left="0" w:firstLine="0"/>
        <w:jc w:val="center"/>
      </w:pPr>
      <w:r>
        <w:rPr>
          <w:rFonts w:eastAsia="等线" w:ascii="Arial" w:cs="Arial" w:hAnsi="Arial"/>
          <w:b w:val="true"/>
          <w:color w:val="8f959e"/>
          <w:sz w:val="22"/>
        </w:rPr>
        <w:t>项目讨论会</w:t>
      </w:r>
    </w:p>
    <w:p>
      <w:pPr>
        <w:spacing w:before="120" w:after="120" w:line="288" w:lineRule="auto"/>
        <w:ind w:left="0" w:firstLine="0"/>
        <w:jc w:val="center"/>
      </w:pPr>
      <w:r>
        <w:rPr>
          <w:rFonts w:eastAsia="等线" w:ascii="Arial" w:cs="Arial" w:hAnsi="Arial"/>
          <w:b w:val="true"/>
          <w:color w:val="8f959e"/>
          <w:sz w:val="22"/>
        </w:rPr>
        <w:t>基本确定合投</w:t>
      </w:r>
    </w:p>
    <w:p>
      <w:pPr>
        <w:spacing w:before="120" w:after="120" w:line="288" w:lineRule="auto"/>
        <w:ind w:left="0" w:firstLine="0"/>
        <w:jc w:val="center"/>
      </w:pPr>
      <w:r>
        <w:rPr>
          <w:rFonts w:eastAsia="等线" w:ascii="Arial" w:cs="Arial" w:hAnsi="Arial"/>
          <w:b w:val="true"/>
          <w:color w:val="8f959e"/>
          <w:sz w:val="22"/>
        </w:rPr>
        <w:t>投资决策</w:t>
      </w:r>
    </w:p>
    <w:p>
      <w:pPr>
        <w:spacing w:before="120" w:after="120" w:line="288" w:lineRule="auto"/>
        <w:ind w:left="0" w:firstLine="0"/>
        <w:jc w:val="center"/>
      </w:pPr>
      <w:r>
        <w:rPr>
          <w:rFonts w:eastAsia="等线" w:ascii="Arial" w:cs="Arial" w:hAnsi="Arial"/>
          <w:b w:val="true"/>
          <w:color w:val="8f959e"/>
          <w:sz w:val="22"/>
        </w:rPr>
        <w:t>风决会</w:t>
      </w:r>
    </w:p>
    <w:p>
      <w:pPr>
        <w:spacing w:before="120" w:after="120" w:line="288" w:lineRule="auto"/>
        <w:ind w:left="0" w:firstLine="0"/>
        <w:jc w:val="center"/>
      </w:pPr>
      <w:r>
        <w:rPr>
          <w:rFonts w:eastAsia="等线" w:ascii="Arial" w:cs="Arial" w:hAnsi="Arial"/>
          <w:b w:val="true"/>
          <w:color w:val="8f959e"/>
          <w:sz w:val="22"/>
        </w:rPr>
        <w:t>投后管理</w:t>
      </w:r>
    </w:p>
    <w:p>
      <w:pPr>
        <w:spacing w:before="120" w:after="120" w:line="288" w:lineRule="auto"/>
        <w:ind w:left="0" w:firstLine="0"/>
        <w:jc w:val="center"/>
      </w:pPr>
      <w:r>
        <w:rPr>
          <w:rFonts w:eastAsia="等线" w:ascii="Arial" w:cs="Arial" w:hAnsi="Arial"/>
          <w:b w:val="true"/>
          <w:color w:val="8f959e"/>
          <w:sz w:val="22"/>
        </w:rPr>
        <w:t>投资决定</w:t>
      </w:r>
    </w:p>
    <w:p>
      <w:pPr>
        <w:spacing w:before="120" w:after="120" w:line="288" w:lineRule="auto"/>
        <w:ind w:left="0" w:firstLine="0"/>
        <w:jc w:val="center"/>
      </w:pPr>
      <w:r>
        <w:rPr>
          <w:rFonts w:eastAsia="等线" w:ascii="Arial" w:cs="Arial" w:hAnsi="Arial"/>
          <w:b w:val="true"/>
          <w:color w:val="8f959e"/>
          <w:sz w:val="22"/>
        </w:rPr>
        <w:t>投资协议决策</w:t>
      </w:r>
    </w:p>
    <w:p>
      <w:pPr>
        <w:spacing w:before="120" w:after="120" w:line="288" w:lineRule="auto"/>
        <w:ind w:left="0" w:firstLine="420"/>
        <w:jc w:val="left"/>
      </w:pPr>
      <w:r>
        <w:rPr>
          <w:rFonts w:eastAsia="等线" w:ascii="Arial" w:cs="Arial" w:hAnsi="Arial"/>
          <w:sz w:val="22"/>
        </w:rPr>
        <w:t>备注:以上流程涉及的重要节点的时间要求汇总（时间要求最终以本制度的时间要求规定为准）</w:t>
      </w:r>
    </w:p>
    <w:p>
      <w:pPr>
        <w:spacing w:before="120" w:after="120" w:line="288" w:lineRule="auto"/>
        <w:ind w:left="0" w:firstLine="420"/>
        <w:jc w:val="left"/>
      </w:pPr>
      <w:r>
        <w:rPr>
          <w:rFonts w:eastAsia="等线" w:ascii="Arial" w:cs="Arial" w:hAnsi="Arial"/>
          <w:sz w:val="22"/>
        </w:rPr>
        <w:t>投资流程管理内容时间安排请见附件2254 投资流程表</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项目初筛</w:t>
      </w:r>
    </w:p>
    <w:p>
      <w:pPr>
        <w:spacing w:before="120" w:after="120" w:line="288" w:lineRule="auto"/>
        <w:ind w:left="0" w:firstLine="420"/>
        <w:jc w:val="left"/>
      </w:pPr>
      <w:r>
        <w:rPr>
          <w:rFonts w:eastAsia="等线" w:ascii="Arial" w:cs="Arial" w:hAnsi="Arial"/>
          <w:sz w:val="22"/>
        </w:rPr>
        <w:t>调研人员依据《附件2252-项目筛选表模板》及《附件2271-负面清单与调研要点》，对照项目方提供的«商业计划书»等信息，查找相关资料，初步判断项目无明显触发负面清单的情形。</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首次交流</w:t>
      </w:r>
    </w:p>
    <w:p>
      <w:pPr>
        <w:spacing w:before="120" w:after="120" w:line="288" w:lineRule="auto"/>
        <w:ind w:left="0" w:firstLine="420"/>
        <w:jc w:val="left"/>
      </w:pPr>
      <w:r>
        <w:rPr>
          <w:rFonts w:eastAsia="等线" w:ascii="Arial" w:cs="Arial" w:hAnsi="Arial"/>
          <w:sz w:val="22"/>
        </w:rPr>
        <w:t>（一）项目发起人适时与项目方核心团队成员电话或者当面沟通，介绍公司投资领域、投资理念与投资流程等，以加强同技术驱动型项目方的合作粘性，同时观察创始人是否具备创业必备精神，确认合作条件区间；</w:t>
      </w:r>
    </w:p>
    <w:p>
      <w:pPr>
        <w:spacing w:before="120" w:after="120" w:line="288" w:lineRule="auto"/>
        <w:ind w:left="0" w:firstLine="420"/>
        <w:jc w:val="left"/>
      </w:pPr>
      <w:r>
        <w:rPr>
          <w:rFonts w:eastAsia="等线" w:ascii="Arial" w:cs="Arial" w:hAnsi="Arial"/>
          <w:sz w:val="22"/>
        </w:rPr>
        <w:t xml:space="preserve">（二）与项目方签署《附件2291-保密协议》； </w:t>
      </w:r>
    </w:p>
    <w:p>
      <w:pPr>
        <w:spacing w:before="120" w:after="120" w:line="288" w:lineRule="auto"/>
        <w:ind w:left="0" w:firstLine="420"/>
        <w:jc w:val="left"/>
      </w:pPr>
      <w:r>
        <w:rPr>
          <w:rFonts w:eastAsia="等线" w:ascii="Arial" w:cs="Arial" w:hAnsi="Arial"/>
          <w:sz w:val="22"/>
        </w:rPr>
        <w:t>（三）请项目方根据《附件2273-立项前所需调研材料清单》准备资料，并</w:t>
      </w:r>
    </w:p>
    <w:p>
      <w:pPr>
        <w:spacing w:before="120" w:after="120" w:line="288" w:lineRule="auto"/>
        <w:ind w:left="0" w:firstLine="0"/>
        <w:jc w:val="left"/>
      </w:pPr>
      <w:r>
        <w:rPr>
          <w:rFonts w:eastAsia="等线" w:ascii="Arial" w:cs="Arial" w:hAnsi="Arial"/>
          <w:sz w:val="22"/>
        </w:rPr>
        <w:t>就相关内容及时沟通。</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基础调研</w:t>
      </w:r>
    </w:p>
    <w:p>
      <w:pPr>
        <w:spacing w:before="120" w:after="120" w:line="288" w:lineRule="auto"/>
        <w:ind w:left="0" w:firstLine="420"/>
        <w:jc w:val="left"/>
      </w:pPr>
      <w:r>
        <w:rPr>
          <w:rFonts w:eastAsia="等线" w:ascii="Arial" w:cs="Arial" w:hAnsi="Arial"/>
          <w:sz w:val="22"/>
        </w:rPr>
        <w:t>（一） 项目发起人成立项目部，项目部全体成员尽快与项目方当面沟通，对照项目方提供的《商业计划书》及《附件2273-立项前所需调研材料清单》等信息，开展文献调研、专家访谈和客户访谈，参加项目相关行业展会及学术会议等工作，结合与项目方的沟通情况等，判断项目是否具有继续推进的价值，若有推进价值继续推进。</w:t>
      </w:r>
    </w:p>
    <w:p>
      <w:pPr>
        <w:spacing w:before="120" w:after="120" w:line="288" w:lineRule="auto"/>
        <w:ind w:left="0" w:firstLine="420"/>
        <w:jc w:val="left"/>
      </w:pPr>
      <w:r>
        <w:rPr>
          <w:rFonts w:eastAsia="等线" w:ascii="Arial" w:cs="Arial" w:hAnsi="Arial"/>
          <w:sz w:val="22"/>
        </w:rPr>
        <w:t>（二） 依据《会议合作管理制度》的相关规定，在部门例会上征求同事的意见和建议，进一步判断项目是否存在触发负面清单的情形；</w:t>
      </w:r>
    </w:p>
    <w:p>
      <w:pPr>
        <w:spacing w:before="120" w:after="120" w:line="288" w:lineRule="auto"/>
        <w:ind w:left="0" w:firstLine="420"/>
        <w:jc w:val="left"/>
      </w:pPr>
      <w:r>
        <w:rPr>
          <w:rFonts w:eastAsia="等线" w:ascii="Arial" w:cs="Arial" w:hAnsi="Arial"/>
          <w:sz w:val="22"/>
        </w:rPr>
        <w:t>（三） 适时与项目方沟通投资行业相关常识、投后管理理念以及基金合伙协议对项目的相关要求，以便于《附件2282-投资协议核心条款协议书》和《附件2281-投资协议》的后续顺利签订，及投后管理工作的有效开展。</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深度调研</w:t>
      </w:r>
    </w:p>
    <w:p>
      <w:pPr>
        <w:spacing w:before="120" w:after="120" w:line="288" w:lineRule="auto"/>
        <w:ind w:left="0" w:firstLine="420"/>
        <w:jc w:val="left"/>
      </w:pPr>
      <w:r>
        <w:rPr>
          <w:rFonts w:eastAsia="等线" w:ascii="Arial" w:cs="Arial" w:hAnsi="Arial"/>
          <w:sz w:val="22"/>
        </w:rPr>
        <w:t xml:space="preserve">（一） 项目部依据《附件2271-负面清单与调研要点》，通过专家访谈（3个以上）、实地调研等方式，对项目方提供的各项数据及信息进行深入验证； </w:t>
      </w:r>
    </w:p>
    <w:p>
      <w:pPr>
        <w:spacing w:before="120" w:after="120" w:line="288" w:lineRule="auto"/>
        <w:ind w:left="0" w:firstLine="420"/>
        <w:jc w:val="left"/>
      </w:pPr>
      <w:r>
        <w:rPr>
          <w:rFonts w:eastAsia="等线" w:ascii="Arial" w:cs="Arial" w:hAnsi="Arial"/>
          <w:sz w:val="22"/>
        </w:rPr>
        <w:t>（二） 项目部综合文献调研、专家访谈和实地调研的结果，判断项目是</w:t>
      </w:r>
    </w:p>
    <w:p>
      <w:pPr>
        <w:spacing w:before="120" w:after="120" w:line="288" w:lineRule="auto"/>
        <w:ind w:left="0" w:firstLine="0"/>
        <w:jc w:val="left"/>
      </w:pPr>
      <w:r>
        <w:rPr>
          <w:rFonts w:eastAsia="等线" w:ascii="Arial" w:cs="Arial" w:hAnsi="Arial"/>
          <w:sz w:val="22"/>
        </w:rPr>
        <w:t>否具有继续推进的价值；</w:t>
      </w:r>
    </w:p>
    <w:p>
      <w:pPr>
        <w:numPr>
          <w:numId w:val="180"/>
        </w:numPr>
        <w:spacing w:before="120" w:after="120" w:line="288" w:lineRule="auto"/>
        <w:ind w:left="453"/>
        <w:jc w:val="left"/>
      </w:pPr>
      <w:r>
        <w:rPr>
          <w:rFonts w:eastAsia="等线" w:ascii="Arial" w:cs="Arial" w:hAnsi="Arial"/>
          <w:sz w:val="22"/>
        </w:rPr>
        <w:t>项目部成员与项目方初步沟通投资协议核心条款，包括但不限估值、融资额度、业绩承诺、回购（若有）、董事会席位（或监事会席位、董事会观察员席位）、落地（如有）等关键条款。</w:t>
      </w:r>
    </w:p>
    <w:p>
      <w:pPr>
        <w:spacing w:before="120" w:after="120" w:line="288" w:lineRule="auto"/>
        <w:ind w:left="0" w:firstLine="420"/>
        <w:jc w:val="left"/>
      </w:pPr>
      <w:r>
        <w:rPr>
          <w:rFonts w:eastAsia="等线" w:ascii="Arial" w:cs="Arial" w:hAnsi="Arial"/>
          <w:sz w:val="22"/>
        </w:rPr>
        <w:t>（四） 领投项目，根据需要适时进行合投宣传；跟投项目，及时了解领投及合投机构情况；经项目部全体评估后的优质项目，可在项目方暂未确定领投方的情况下，根据项目方偿债能力（具体可仿照华清能源项目推进方式）按债转股方式推进；</w:t>
      </w:r>
    </w:p>
    <w:p>
      <w:pPr>
        <w:spacing w:before="120" w:after="120" w:line="288" w:lineRule="auto"/>
        <w:ind w:left="0" w:firstLine="420"/>
        <w:jc w:val="left"/>
      </w:pPr>
      <w:r>
        <w:rPr>
          <w:rFonts w:eastAsia="等线" w:ascii="Arial" w:cs="Arial" w:hAnsi="Arial"/>
          <w:sz w:val="22"/>
        </w:rPr>
        <w:t>（五） 项目部成员依据阶段性调研信息及《附件4361-立项预备会PPT模板》准备预立项PPT，前述调研信息原则上应涵盖《附件2273-立项前所需调研材料清单》列示的全部内容；项目经理依据《会议合作管理制度》的相关规定组织召开项目立项预备会，参会人员对照《附件2271-负面清单与调研要点》，针对项目部的阶段性调研结果发表意见、提出问题或建议。</w:t>
      </w:r>
    </w:p>
    <w:p>
      <w:pPr>
        <w:spacing w:before="120" w:after="120" w:line="288" w:lineRule="auto"/>
        <w:ind w:left="0" w:firstLine="420"/>
        <w:jc w:val="left"/>
      </w:pPr>
      <w:r>
        <w:rPr>
          <w:rFonts w:eastAsia="等线" w:ascii="Arial" w:cs="Arial" w:hAnsi="Arial"/>
          <w:sz w:val="22"/>
        </w:rPr>
        <w:t>（六） 基于立项预备会参会人员的意见和建议，且项目部成员依据当前调研成果，判断项目没有触发《附件2273-立项前所需调研材料清单》所对应的相关负面清单项，则进入立项环节。</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项目立项</w:t>
      </w:r>
    </w:p>
    <w:p>
      <w:pPr>
        <w:spacing w:before="120" w:after="120" w:line="288" w:lineRule="auto"/>
        <w:ind w:left="0" w:firstLine="420"/>
        <w:jc w:val="left"/>
      </w:pPr>
      <w:r>
        <w:rPr>
          <w:rFonts w:eastAsia="等线" w:ascii="Arial" w:cs="Arial" w:hAnsi="Arial"/>
          <w:sz w:val="22"/>
        </w:rPr>
        <w:t>（一）</w:t>
      </w:r>
      <w:r>
        <w:rPr>
          <w:rFonts w:eastAsia="等线" w:ascii="Arial" w:cs="Arial" w:hAnsi="Arial"/>
          <w:color w:val="d83931"/>
          <w:sz w:val="22"/>
        </w:rPr>
        <w:t xml:space="preserve"> </w:t>
      </w:r>
      <w:r>
        <w:rPr>
          <w:rFonts w:eastAsia="等线" w:ascii="Arial" w:cs="Arial" w:hAnsi="Arial"/>
          <w:sz w:val="22"/>
        </w:rPr>
        <w:t>项目经理依据《会议合作管理制度》的相关规定申请召开立项会；</w:t>
      </w:r>
    </w:p>
    <w:p>
      <w:pPr>
        <w:spacing w:before="120" w:after="120" w:line="288" w:lineRule="auto"/>
        <w:ind w:left="0" w:firstLine="420"/>
        <w:jc w:val="left"/>
      </w:pPr>
      <w:r>
        <w:rPr>
          <w:rFonts w:eastAsia="等线" w:ascii="Arial" w:cs="Arial" w:hAnsi="Arial"/>
          <w:sz w:val="22"/>
        </w:rPr>
        <w:t>（二） 结合立项会议沟通情况，若项目综合评估符合公司投资标准，仍然未出现触发负面清单的情形，则项目正式立项；</w:t>
      </w:r>
    </w:p>
    <w:p>
      <w:pPr>
        <w:spacing w:before="120" w:after="120" w:line="288" w:lineRule="auto"/>
        <w:ind w:left="0" w:firstLine="0"/>
        <w:jc w:val="left"/>
      </w:pPr>
      <w:r>
        <w:rPr>
          <w:rFonts w:eastAsia="等线" w:ascii="Arial" w:cs="Arial" w:hAnsi="Arial"/>
          <w:sz w:val="22"/>
        </w:rPr>
        <w:t xml:space="preserve">（三） 项目立项后两日内，由项目经理建立飞书工作群，成员包括项目部成员、相应的投后管理小组成员、扩大会成员、风控委全职委员、监事会负责经营监督的人员；重要事项需组织线下讨论的，由项目经理在群里与参会人员确认时间； </w:t>
      </w:r>
    </w:p>
    <w:p>
      <w:pPr>
        <w:spacing w:before="120" w:after="120" w:line="288" w:lineRule="auto"/>
        <w:ind w:left="0" w:firstLine="420"/>
        <w:jc w:val="left"/>
      </w:pPr>
      <w:r>
        <w:rPr>
          <w:rFonts w:eastAsia="等线" w:ascii="Arial" w:cs="Arial" w:hAnsi="Arial"/>
          <w:sz w:val="22"/>
        </w:rPr>
        <w:t>（四） 项目部应在现场尽职调查之前，完成《附件2282-投资协议核心条款协议书》的签署，最迟不超过第一次项目讨论会会议通知发出之日；如有领投，核心条款原则上与领投协议保持一致。</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尽职调查</w:t>
      </w:r>
    </w:p>
    <w:p>
      <w:pPr>
        <w:spacing w:before="120" w:after="120" w:line="288" w:lineRule="auto"/>
        <w:ind w:left="0" w:firstLine="420"/>
        <w:jc w:val="left"/>
      </w:pPr>
      <w:r>
        <w:rPr>
          <w:rFonts w:eastAsia="等线" w:ascii="Arial" w:cs="Arial" w:hAnsi="Arial"/>
          <w:sz w:val="22"/>
        </w:rPr>
        <w:t xml:space="preserve">（一） 实地尽调前给项目方发送《附件2281-投资协议模板》，并发送《附件2274-尽职调查清单》，请其对照清单整理后发送电子版文档； </w:t>
      </w:r>
    </w:p>
    <w:p>
      <w:pPr>
        <w:spacing w:before="120" w:after="120" w:line="288" w:lineRule="auto"/>
        <w:ind w:left="0" w:firstLine="420"/>
        <w:jc w:val="left"/>
      </w:pPr>
      <w:r>
        <w:rPr>
          <w:rFonts w:eastAsia="等线" w:ascii="Arial" w:cs="Arial" w:hAnsi="Arial"/>
          <w:sz w:val="22"/>
        </w:rPr>
        <w:t>（二） 项目部成员收到电子文档后，认真审阅并对重点事项标注。项目部和协调人协商并协调尽调参加人员，需邀请律师及注册会计师协同尽调的报总经理批准。项目部成员收到电子文档后，认真审阅并标注重点事项，完善现场尽调问题清单；实地尽调时，根据需要随时要求项目方补充相关数据、文件；</w:t>
      </w:r>
    </w:p>
    <w:p>
      <w:pPr>
        <w:spacing w:before="120" w:after="120" w:line="288" w:lineRule="auto"/>
        <w:ind w:left="0" w:firstLine="420"/>
        <w:jc w:val="left"/>
      </w:pPr>
      <w:r>
        <w:rPr>
          <w:rFonts w:eastAsia="等线" w:ascii="Arial" w:cs="Arial" w:hAnsi="Arial"/>
          <w:sz w:val="22"/>
        </w:rPr>
        <w:t>（三）与公司签约财务顾问沟通财务问题、法律顾问沟通法务问题，并协商解决方案；</w:t>
      </w:r>
    </w:p>
    <w:p>
      <w:pPr>
        <w:spacing w:before="120" w:after="120" w:line="288" w:lineRule="auto"/>
        <w:ind w:left="0" w:firstLine="420"/>
        <w:jc w:val="left"/>
      </w:pPr>
      <w:r>
        <w:rPr>
          <w:rFonts w:eastAsia="等线" w:ascii="Arial" w:cs="Arial" w:hAnsi="Arial"/>
          <w:sz w:val="22"/>
        </w:rPr>
        <w:t xml:space="preserve">（四） 进一步扩大文献、专家、客户等方面的调研样本量，上下游（包括目标客户）实地访谈，进行深度技术、市场的调研和验证； </w:t>
      </w:r>
    </w:p>
    <w:p>
      <w:pPr>
        <w:spacing w:before="120" w:after="120" w:line="288" w:lineRule="auto"/>
        <w:ind w:left="0" w:firstLine="420"/>
        <w:jc w:val="left"/>
      </w:pPr>
      <w:r>
        <w:rPr>
          <w:rFonts w:eastAsia="等线" w:ascii="Arial" w:cs="Arial" w:hAnsi="Arial"/>
          <w:sz w:val="22"/>
        </w:rPr>
        <w:t>（五） 根据调研情况对生产（成本、产能）、市场、盈利情况等进行分析；</w:t>
      </w:r>
    </w:p>
    <w:p>
      <w:pPr>
        <w:spacing w:before="120" w:after="120" w:line="288" w:lineRule="auto"/>
        <w:ind w:left="0" w:firstLine="420"/>
        <w:jc w:val="left"/>
      </w:pPr>
      <w:r>
        <w:rPr>
          <w:rFonts w:eastAsia="等线" w:ascii="Arial" w:cs="Arial" w:hAnsi="Arial"/>
          <w:sz w:val="22"/>
        </w:rPr>
        <w:t>（六） 现场与创始人沟通投资协议模板相关条款，尽量发现双方分歧以便</w:t>
      </w:r>
    </w:p>
    <w:p>
      <w:pPr>
        <w:spacing w:before="120" w:after="120" w:line="288" w:lineRule="auto"/>
        <w:ind w:left="0" w:firstLine="0"/>
        <w:jc w:val="left"/>
      </w:pPr>
      <w:r>
        <w:rPr>
          <w:rFonts w:eastAsia="等线" w:ascii="Arial" w:cs="Arial" w:hAnsi="Arial"/>
          <w:sz w:val="22"/>
        </w:rPr>
        <w:t>提早寻找相应解决方案；</w:t>
      </w:r>
    </w:p>
    <w:p>
      <w:pPr>
        <w:spacing w:before="120" w:after="120" w:line="288" w:lineRule="auto"/>
        <w:ind w:left="0" w:firstLine="420"/>
        <w:jc w:val="left"/>
      </w:pPr>
      <w:r>
        <w:rPr>
          <w:rFonts w:eastAsia="等线" w:ascii="Arial" w:cs="Arial" w:hAnsi="Arial"/>
          <w:sz w:val="22"/>
        </w:rPr>
        <w:t>（七）若完成尽职调查6个月后方召开风决会与投委会，或过会后6个月内尚未完成投资协议签署，项目部须重启尽调，并向风控委与投委会提交补充尽调报告，说明项目基本面是否发生重大不利变化，由风控委与投委会补充决策意见。</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拟订投资协议</w:t>
      </w:r>
    </w:p>
    <w:p>
      <w:pPr>
        <w:spacing w:before="120" w:after="120" w:line="288" w:lineRule="auto"/>
        <w:ind w:left="0" w:firstLine="420"/>
        <w:jc w:val="left"/>
      </w:pPr>
      <w:r>
        <w:rPr>
          <w:rFonts w:eastAsia="等线" w:ascii="Arial" w:cs="Arial" w:hAnsi="Arial"/>
          <w:sz w:val="22"/>
        </w:rPr>
        <w:t xml:space="preserve">（一）根据之前沟通的关键条款内容和公司的《附件2281-投资协议模板》以及《合同管理制度》的相关规定，拟订投资协议，沟通投资协议应该分为领投跟投，领投可采用原投资协议模板表述，跟投应该是主要参考领投协议，做出适当修改； </w:t>
      </w:r>
    </w:p>
    <w:p>
      <w:pPr>
        <w:spacing w:before="120" w:after="120" w:line="288" w:lineRule="auto"/>
        <w:ind w:left="0" w:firstLine="420"/>
        <w:jc w:val="left"/>
      </w:pPr>
      <w:r>
        <w:rPr>
          <w:rFonts w:eastAsia="等线" w:ascii="Arial" w:cs="Arial" w:hAnsi="Arial"/>
          <w:sz w:val="22"/>
        </w:rPr>
        <w:t>（二） 就项目方提出疑问的条款与其进行充分沟通，期间与律师随时保持沟通并留痕。所有提交投后小组、扩大会或其他机构讨论、审议的协议文本均应包含各方批注意见。</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撰写调研报告</w:t>
      </w:r>
    </w:p>
    <w:p>
      <w:pPr>
        <w:spacing w:before="120" w:after="120" w:line="288" w:lineRule="auto"/>
        <w:ind w:left="0" w:firstLine="420"/>
        <w:jc w:val="left"/>
      </w:pPr>
      <w:r>
        <w:rPr>
          <w:rFonts w:eastAsia="等线" w:ascii="Arial" w:cs="Arial" w:hAnsi="Arial"/>
          <w:sz w:val="22"/>
        </w:rPr>
        <w:t>（一）项目部成员按照«负面清单、调研要点及调研报告制度»的要求，客观、严谨、全面地撰写调研报告（不必过于冗长），并准备调研报告附件。报告及附件作为公司全体全职员工评价项目、风控委与投委会投资决策的参考；</w:t>
      </w:r>
    </w:p>
    <w:p>
      <w:pPr>
        <w:numPr>
          <w:numId w:val="181"/>
        </w:numPr>
        <w:spacing w:before="120" w:after="120" w:line="288" w:lineRule="auto"/>
        <w:ind w:left="0"/>
        <w:jc w:val="left"/>
      </w:pPr>
      <w:r>
        <w:rPr>
          <w:rFonts w:eastAsia="等线" w:ascii="Arial" w:cs="Arial" w:hAnsi="Arial"/>
          <w:sz w:val="22"/>
        </w:rPr>
        <w:t>撰写调研报告PPT，PPT需简明扼要反映调研报告要点，分别在项目讨论会、风决会和投委会上讲解。</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项目讨论会</w:t>
      </w:r>
    </w:p>
    <w:p>
      <w:pPr>
        <w:spacing w:before="120" w:after="120" w:line="288" w:lineRule="auto"/>
        <w:ind w:left="0" w:firstLine="420"/>
        <w:jc w:val="left"/>
      </w:pPr>
      <w:r>
        <w:rPr>
          <w:rFonts w:eastAsia="等线" w:ascii="Arial" w:cs="Arial" w:hAnsi="Arial"/>
          <w:sz w:val="22"/>
        </w:rPr>
        <w:t>（一） 项目经理确认材料完备后组织召开两次项目讨论会；第一次项目讨论会后，项目部基于全员的问题和建议补充调研，完善«调研报告»及附件；</w:t>
      </w:r>
    </w:p>
    <w:p>
      <w:pPr>
        <w:numPr>
          <w:numId w:val="182"/>
        </w:numPr>
        <w:spacing w:before="120" w:after="120" w:line="288" w:lineRule="auto"/>
        <w:ind w:left="0"/>
        <w:jc w:val="left"/>
      </w:pPr>
      <w:r>
        <w:rPr>
          <w:rFonts w:eastAsia="等线" w:ascii="Arial" w:cs="Arial" w:hAnsi="Arial"/>
          <w:sz w:val="22"/>
        </w:rPr>
        <w:t xml:space="preserve">第二次项目讨论会后，除项目部外的全体员工需将个人最终意见整理后以微信方式匿名提交投委会主席，前述意见作为风决会与投委会决策的参考依据；投委会秘书在项目部提出书面上会申请后三日内确定投委会时间并按照相关制度发送会议文件； </w:t>
      </w:r>
    </w:p>
    <w:p>
      <w:pPr>
        <w:numPr>
          <w:numId w:val="183"/>
        </w:numPr>
        <w:spacing w:before="120" w:after="120" w:line="288" w:lineRule="auto"/>
        <w:ind w:left="0"/>
        <w:jc w:val="left"/>
      </w:pPr>
      <w:r>
        <w:rPr>
          <w:rFonts w:eastAsia="等线" w:ascii="Arial" w:cs="Arial" w:hAnsi="Arial"/>
          <w:sz w:val="22"/>
        </w:rPr>
        <w:t>若项目需要合投，需基本确定合投情况（合投同步上会或已过会），我方领投时，领投项目适当早于合投方上会，以便后续寻找合投；</w:t>
      </w:r>
    </w:p>
    <w:p>
      <w:pPr>
        <w:numPr>
          <w:numId w:val="184"/>
        </w:numPr>
        <w:spacing w:before="120" w:after="120" w:line="288" w:lineRule="auto"/>
        <w:ind w:left="0"/>
        <w:jc w:val="left"/>
      </w:pPr>
      <w:r>
        <w:rPr>
          <w:rFonts w:eastAsia="等线" w:ascii="Arial" w:cs="Arial" w:hAnsi="Arial"/>
          <w:sz w:val="22"/>
        </w:rPr>
        <w:t>会后基本确定项目部及公司其他人员跟投情况并作为上会材料提交投委会。</w:t>
      </w:r>
    </w:p>
    <w:p>
      <w:pPr>
        <w:spacing w:before="120" w:after="120" w:line="288" w:lineRule="auto"/>
        <w:ind w:left="0" w:firstLine="420"/>
        <w:jc w:val="left"/>
      </w:pPr>
      <w:r>
        <w:rPr>
          <w:rFonts w:eastAsia="等线" w:ascii="Arial" w:cs="Arial" w:hAnsi="Arial"/>
          <w:b w:val="true"/>
          <w:sz w:val="22"/>
        </w:rPr>
        <w:t>第十条</w:t>
      </w:r>
      <w:r>
        <w:rPr>
          <w:rFonts w:eastAsia="等线" w:ascii="Arial" w:cs="Arial" w:hAnsi="Arial"/>
          <w:sz w:val="22"/>
        </w:rPr>
        <w:t xml:space="preserve"> 风决会</w:t>
      </w:r>
    </w:p>
    <w:p>
      <w:pPr>
        <w:spacing w:before="120" w:after="120" w:line="288" w:lineRule="auto"/>
        <w:ind w:left="0" w:firstLine="420"/>
        <w:jc w:val="left"/>
      </w:pPr>
      <w:r>
        <w:rPr>
          <w:rFonts w:eastAsia="等线" w:ascii="Arial" w:cs="Arial" w:hAnsi="Arial"/>
          <w:sz w:val="22"/>
        </w:rPr>
        <w:t>第二次项目讨论会结束后，项目部以邮件形式向风控委主席及投委会秘书提交书面上会申请及调研报告与附件、PPT、讨论会问题回复等相关上会文件，风控部协同投资管理一/二部人员飞书在线撰写项目三性审查意见，风控委主席在规定时间内将上会文件发送给全体风控委委员，组织召开风决会做出决策。风决会结束后，风控委主席负责将相关会议文件上传至投资云（风决会文件放项目文件夹，权限暂时不开放，视实际情况决定）。</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投资决策</w:t>
      </w:r>
    </w:p>
    <w:p>
      <w:pPr>
        <w:spacing w:before="120" w:after="120" w:line="288" w:lineRule="auto"/>
        <w:ind w:left="0" w:firstLine="420"/>
        <w:jc w:val="left"/>
      </w:pPr>
      <w:r>
        <w:rPr>
          <w:rFonts w:eastAsia="等线" w:ascii="Arial" w:cs="Arial" w:hAnsi="Arial"/>
          <w:sz w:val="22"/>
        </w:rPr>
        <w:t>（一）项目经理将项目调研报告、相关附件、调研报告ppt、讨论会回复文件等内容材料发送给投委会秘书，抄送投委会主席；投委会主席将员工评价意见匿名化处理发送给投委会秘书，投委会秘书将评价意见同步发送负责经营监督的监事；</w:t>
      </w:r>
    </w:p>
    <w:p>
      <w:pPr>
        <w:spacing w:before="120" w:after="120" w:line="288" w:lineRule="auto"/>
        <w:ind w:left="0" w:firstLine="420"/>
        <w:jc w:val="left"/>
      </w:pPr>
      <w:r>
        <w:rPr>
          <w:rFonts w:eastAsia="等线" w:ascii="Arial" w:cs="Arial" w:hAnsi="Arial"/>
          <w:sz w:val="22"/>
        </w:rPr>
        <w:t>（二） 投委会秘书将相关材料转发投委会委员、总经理和副总经理并由投委会主席主持召开投委会，如果项目部由总经理或者副总经理组成，则遵守回避原则。</w:t>
      </w:r>
    </w:p>
    <w:p>
      <w:pPr>
        <w:spacing w:before="120" w:after="120" w:line="288" w:lineRule="auto"/>
        <w:ind w:left="0" w:firstLine="420"/>
        <w:jc w:val="left"/>
      </w:pPr>
      <w:r>
        <w:rPr>
          <w:rFonts w:eastAsia="等线" w:ascii="Arial" w:cs="Arial" w:hAnsi="Arial"/>
          <w:sz w:val="22"/>
        </w:rPr>
        <w:t>（三） 投资决策会应参考风决会的意见对于项目进行评审，给出无条件投资、附条件投资或不予投资的投资决策。对于风决会一些疑问问题，项目部可以向投委会进行回答。</w:t>
      </w:r>
    </w:p>
    <w:p>
      <w:pPr>
        <w:spacing w:before="120" w:after="120" w:line="288" w:lineRule="auto"/>
        <w:ind w:left="0" w:firstLine="420"/>
        <w:jc w:val="left"/>
      </w:pPr>
      <w:r>
        <w:rPr>
          <w:rFonts w:eastAsia="等线" w:ascii="Arial" w:cs="Arial" w:hAnsi="Arial"/>
          <w:sz w:val="22"/>
        </w:rPr>
        <w:t>（四）投决会结束后5日内，投委会秘书将投委会决议邮件发送给项目部、总经理和副总经理。</w:t>
      </w:r>
    </w:p>
    <w:p>
      <w:pPr>
        <w:spacing w:before="120" w:after="120" w:line="288" w:lineRule="auto"/>
        <w:ind w:left="0" w:firstLine="420"/>
        <w:jc w:val="left"/>
      </w:pPr>
      <w:r>
        <w:rPr>
          <w:rFonts w:eastAsia="等线" w:ascii="Arial" w:cs="Arial" w:hAnsi="Arial"/>
          <w:sz w:val="22"/>
        </w:rPr>
        <w:t>（五）无论项目是否过会，项目部均须做复盘总结。对于被否决的项目，项目部应在收到投委会表决意见之日起两个月内在月度会上做复盘分享，投委会主席阐述投委会决策意见；过会项目的复盘参照《投资管理规定》的相关要求执行。</w:t>
      </w:r>
    </w:p>
    <w:p>
      <w:pPr>
        <w:spacing w:before="120" w:after="120" w:line="288" w:lineRule="auto"/>
        <w:ind w:left="0" w:firstLine="420"/>
        <w:jc w:val="left"/>
      </w:pPr>
      <w:r>
        <w:rPr>
          <w:rFonts w:eastAsia="等线" w:ascii="Arial" w:cs="Arial" w:hAnsi="Arial"/>
          <w:b w:val="true"/>
          <w:sz w:val="22"/>
        </w:rPr>
        <w:t>第十二条</w:t>
      </w:r>
      <w:r>
        <w:rPr>
          <w:rFonts w:eastAsia="等线" w:ascii="Arial" w:cs="Arial" w:hAnsi="Arial"/>
          <w:sz w:val="22"/>
        </w:rPr>
        <w:t xml:space="preserve"> 投资协议决策 </w:t>
      </w:r>
    </w:p>
    <w:p>
      <w:pPr>
        <w:spacing w:before="120" w:after="120" w:line="288" w:lineRule="auto"/>
        <w:ind w:left="0" w:firstLine="420"/>
        <w:jc w:val="left"/>
      </w:pPr>
      <w:r>
        <w:rPr>
          <w:rFonts w:eastAsia="等线" w:ascii="Arial" w:cs="Arial" w:hAnsi="Arial"/>
          <w:sz w:val="22"/>
        </w:rPr>
        <w:t xml:space="preserve">（一） 扩大会依据《三会议事规则》、《风险控制管理制度》及《合同管理制度》的相关规定对投资协议、补充协议及相关附件进行决策； </w:t>
      </w:r>
    </w:p>
    <w:p>
      <w:pPr>
        <w:spacing w:before="120" w:after="120" w:line="288" w:lineRule="auto"/>
        <w:ind w:left="0" w:firstLine="420"/>
        <w:jc w:val="left"/>
      </w:pPr>
      <w:r>
        <w:rPr>
          <w:rFonts w:eastAsia="等线" w:ascii="Arial" w:cs="Arial" w:hAnsi="Arial"/>
          <w:sz w:val="22"/>
        </w:rPr>
        <w:t>（二） 签署正式的«投资协议»、《补充协议》及相关附件（如有）。</w:t>
      </w: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投资决定投资款交割</w:t>
      </w:r>
    </w:p>
    <w:p>
      <w:pPr>
        <w:spacing w:before="120" w:after="120" w:line="288" w:lineRule="auto"/>
        <w:ind w:left="0" w:firstLine="420"/>
        <w:jc w:val="left"/>
      </w:pPr>
      <w:r>
        <w:rPr>
          <w:rFonts w:eastAsia="等线" w:ascii="Arial" w:cs="Arial" w:hAnsi="Arial"/>
          <w:sz w:val="22"/>
        </w:rPr>
        <w:t>经扩大会讨论权衡所附条件沟通情况最终做出投资决定并签署投资协议及补充协议；项目方完成交割前承诺事项后（如有），项目部负责按照协议约定协调相关人员安排投资款交割事宜。</w:t>
      </w:r>
    </w:p>
    <w:p>
      <w:pPr>
        <w:spacing w:before="120" w:after="120" w:line="288" w:lineRule="auto"/>
        <w:ind w:left="0" w:firstLine="420"/>
        <w:jc w:val="left"/>
      </w:pPr>
      <w:r>
        <w:rPr>
          <w:rFonts w:eastAsia="等线" w:ascii="Arial" w:cs="Arial" w:hAnsi="Arial"/>
          <w:b w:val="true"/>
          <w:sz w:val="22"/>
        </w:rPr>
        <w:t>第十四条：</w:t>
      </w:r>
      <w:r>
        <w:rPr>
          <w:rFonts w:eastAsia="等线" w:ascii="Arial" w:cs="Arial" w:hAnsi="Arial"/>
          <w:sz w:val="22"/>
        </w:rPr>
        <w:t>公司内部协议签署</w:t>
      </w:r>
    </w:p>
    <w:p>
      <w:pPr>
        <w:spacing w:before="120" w:after="120" w:line="288" w:lineRule="auto"/>
        <w:ind w:left="0" w:firstLine="420"/>
        <w:jc w:val="left"/>
      </w:pPr>
      <w:r>
        <w:rPr>
          <w:rFonts w:eastAsia="等线" w:ascii="Arial" w:cs="Arial" w:hAnsi="Arial"/>
          <w:sz w:val="22"/>
        </w:rPr>
        <w:t>项目部向法务提出申请，公司法务依据《分配制度》组织项目部签署代持协议、项目股权奖励协议和项目内部奖励分配方案等公司内部协议。在投资云中设置“代持协议、项目股权奖励协议和项目内部奖励分配方案”的流程。</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投后管理</w:t>
      </w:r>
    </w:p>
    <w:p>
      <w:pPr>
        <w:spacing w:before="120" w:after="120" w:line="288" w:lineRule="auto"/>
        <w:ind w:left="0" w:firstLine="420"/>
        <w:jc w:val="left"/>
      </w:pPr>
      <w:r>
        <w:rPr>
          <w:rFonts w:eastAsia="等线" w:ascii="Arial" w:cs="Arial" w:hAnsi="Arial"/>
          <w:sz w:val="22"/>
        </w:rPr>
        <w:t>（一） 根据投资协议及补充协议的约定，委派董事、董事会观察员、监事人员；</w:t>
      </w:r>
    </w:p>
    <w:p>
      <w:pPr>
        <w:spacing w:before="120" w:after="120" w:line="288" w:lineRule="auto"/>
        <w:ind w:left="0" w:firstLine="420"/>
        <w:jc w:val="left"/>
      </w:pPr>
      <w:r>
        <w:rPr>
          <w:rFonts w:eastAsia="等线" w:ascii="Arial" w:cs="Arial" w:hAnsi="Arial"/>
          <w:sz w:val="22"/>
        </w:rPr>
        <w:t>（二） 根据《投资管理规定》、《会议合作管理制度》及《投后管理制度》的相关规定，召开投后管理讨论会、组织企业经营管理审查与投后管理培训等，对已投项目开展各项投后管理工作；</w:t>
      </w:r>
    </w:p>
    <w:p>
      <w:pPr>
        <w:spacing w:before="120" w:after="120" w:line="288" w:lineRule="auto"/>
        <w:ind w:left="0" w:firstLine="420"/>
        <w:jc w:val="left"/>
      </w:pPr>
      <w:r>
        <w:rPr>
          <w:rFonts w:eastAsia="等线" w:ascii="Arial" w:cs="Arial" w:hAnsi="Arial"/>
          <w:b w:val="true"/>
          <w:sz w:val="22"/>
        </w:rPr>
        <w:t>第十六条</w:t>
      </w:r>
      <w:r>
        <w:rPr>
          <w:rFonts w:eastAsia="等线" w:ascii="Arial" w:cs="Arial" w:hAnsi="Arial"/>
          <w:sz w:val="22"/>
        </w:rPr>
        <w:t xml:space="preserve"> 后续轮追加投资</w:t>
      </w:r>
    </w:p>
    <w:p>
      <w:pPr>
        <w:spacing w:before="120" w:after="120" w:line="288" w:lineRule="auto"/>
        <w:ind w:left="0" w:firstLine="420"/>
        <w:jc w:val="left"/>
      </w:pPr>
      <w:r>
        <w:rPr>
          <w:rFonts w:eastAsia="等线" w:ascii="Arial" w:cs="Arial" w:hAnsi="Arial"/>
          <w:b w:val="true"/>
          <w:sz w:val="22"/>
        </w:rPr>
        <w:t xml:space="preserve"> 追加投资</w:t>
      </w:r>
    </w:p>
    <w:p>
      <w:pPr>
        <w:spacing w:before="120" w:after="120" w:line="288" w:lineRule="auto"/>
        <w:ind w:left="0" w:firstLine="420"/>
        <w:jc w:val="left"/>
      </w:pPr>
      <w:r>
        <w:rPr>
          <w:rFonts w:eastAsia="等线" w:ascii="Arial" w:cs="Arial" w:hAnsi="Arial"/>
          <w:sz w:val="22"/>
        </w:rPr>
        <w:t>若项目投资额和估值未超过调研要点与清单限定额度的，项目部可依据投资协议约定（如追加投资权）申请追加投资。</w:t>
      </w:r>
    </w:p>
    <w:p>
      <w:pPr>
        <w:spacing w:before="120" w:after="120" w:line="288" w:lineRule="auto"/>
        <w:ind w:left="0" w:firstLine="420"/>
        <w:jc w:val="left"/>
      </w:pPr>
      <w:r>
        <w:rPr>
          <w:rFonts w:eastAsia="等线" w:ascii="Arial" w:cs="Arial" w:hAnsi="Arial"/>
          <w:sz w:val="22"/>
        </w:rPr>
        <w:t>所投项目进行后续轮融资时，根据届时公司所管理基金的实际情况，项目部可根据届时情况提出追加投资申请，投前流程为：</w:t>
      </w:r>
    </w:p>
    <w:p>
      <w:pPr>
        <w:numPr>
          <w:numId w:val="185"/>
        </w:numPr>
        <w:spacing w:before="120" w:after="120" w:line="288" w:lineRule="auto"/>
        <w:ind w:left="453"/>
        <w:jc w:val="left"/>
      </w:pPr>
      <w:r>
        <w:rPr>
          <w:rFonts w:eastAsia="等线" w:ascii="Arial" w:cs="Arial" w:hAnsi="Arial"/>
          <w:sz w:val="22"/>
        </w:rPr>
        <w:t>调研报告 项目部在原尽调报告基础上根据所投项目的投后发展情况进一步完善丰富，其他具体要求参照第八条的相关规定；项目部在原文相关段落下另起一段对企业自上次过会以来的进展情况进行阐述并将新阐述部分高亮处理；为避免新老部分混淆，要去除原文高亮和标红等标记。</w:t>
      </w:r>
    </w:p>
    <w:p>
      <w:pPr>
        <w:numPr>
          <w:numId w:val="186"/>
        </w:numPr>
        <w:spacing w:before="120" w:after="120" w:line="288" w:lineRule="auto"/>
        <w:ind w:left="453"/>
        <w:jc w:val="left"/>
      </w:pPr>
      <w:r>
        <w:rPr>
          <w:rFonts w:eastAsia="等线" w:ascii="Arial" w:cs="Arial" w:hAnsi="Arial"/>
          <w:sz w:val="22"/>
        </w:rPr>
        <w:t>投后管理小组组长应组织投后管理小组出具项目追加投资意见，项目部应完成项目的最新情况说明材料，内容包括：追加投资的原因，公司在签订投资协议后的发展情况、项目部拟跟投金额等。</w:t>
      </w:r>
    </w:p>
    <w:p>
      <w:pPr>
        <w:numPr>
          <w:numId w:val="187"/>
        </w:numPr>
        <w:spacing w:before="120" w:after="120" w:line="288" w:lineRule="auto"/>
        <w:ind w:left="453"/>
        <w:jc w:val="left"/>
      </w:pPr>
      <w:r>
        <w:rPr>
          <w:rFonts w:eastAsia="等线" w:ascii="Arial" w:cs="Arial" w:hAnsi="Arial"/>
          <w:sz w:val="22"/>
        </w:rPr>
        <w:t>对于所投项目后续轮追加投资的，由项目部组织召开一次全员讨论会，不再召开第二次讨论会，参会人员相关问题由项目部书面进行回复，并提交风决会和投委会，其余事项参照第九条的相关规定；</w:t>
      </w:r>
    </w:p>
    <w:p>
      <w:pPr>
        <w:numPr>
          <w:numId w:val="188"/>
        </w:numPr>
        <w:spacing w:before="120" w:after="120" w:line="288" w:lineRule="auto"/>
        <w:ind w:left="453"/>
        <w:jc w:val="left"/>
      </w:pPr>
      <w:r>
        <w:rPr>
          <w:rFonts w:eastAsia="等线" w:ascii="Arial" w:cs="Arial" w:hAnsi="Arial"/>
          <w:sz w:val="22"/>
        </w:rPr>
        <w:t>对于受让老股的项目，应在风决会和投委会前确认转让金额和价格，并与受让方签署书面协议；</w:t>
      </w:r>
    </w:p>
    <w:p>
      <w:pPr>
        <w:spacing w:before="120" w:after="120" w:line="288" w:lineRule="auto"/>
        <w:ind w:left="0" w:firstLine="0"/>
        <w:jc w:val="left"/>
      </w:pPr>
      <w:r>
        <w:rPr>
          <w:rFonts w:eastAsia="等线" w:ascii="Arial" w:cs="Arial" w:hAnsi="Arial"/>
          <w:sz w:val="22"/>
        </w:rPr>
        <w:t>（五）其余投资流程环节按照第十条和第十一条的相关规定办理，分别提交风决会和投委会进行决策</w:t>
      </w:r>
    </w:p>
    <w:p>
      <w:pPr>
        <w:spacing w:before="120" w:after="120" w:line="288" w:lineRule="auto"/>
        <w:ind w:left="0" w:firstLine="420"/>
        <w:jc w:val="left"/>
      </w:pPr>
      <w:r>
        <w:rPr>
          <w:rFonts w:eastAsia="等线" w:ascii="Arial" w:cs="Arial" w:hAnsi="Arial"/>
          <w:b w:val="true"/>
          <w:sz w:val="22"/>
        </w:rPr>
        <w:t>第十七条</w:t>
      </w:r>
      <w:r>
        <w:rPr>
          <w:rFonts w:eastAsia="等线" w:ascii="Arial" w:cs="Arial" w:hAnsi="Arial"/>
          <w:sz w:val="22"/>
        </w:rPr>
        <w:t xml:space="preserve"> 协助后续轮融资、并购与上市</w:t>
      </w:r>
    </w:p>
    <w:p>
      <w:pPr>
        <w:spacing w:before="120" w:after="120" w:line="288" w:lineRule="auto"/>
        <w:ind w:left="0" w:firstLine="420"/>
        <w:jc w:val="left"/>
      </w:pPr>
      <w:r>
        <w:rPr>
          <w:rFonts w:eastAsia="等线" w:ascii="Arial" w:cs="Arial" w:hAnsi="Arial"/>
          <w:sz w:val="22"/>
        </w:rPr>
        <w:t>（一） 公司全体员工有责任和义务协助所投公司进行投后融资、并购与上市；</w:t>
      </w:r>
    </w:p>
    <w:p>
      <w:pPr>
        <w:spacing w:before="120" w:after="120" w:line="288" w:lineRule="auto"/>
        <w:ind w:left="0" w:firstLine="420"/>
        <w:jc w:val="left"/>
      </w:pPr>
      <w:r>
        <w:rPr>
          <w:rFonts w:eastAsia="等线" w:ascii="Arial" w:cs="Arial" w:hAnsi="Arial"/>
          <w:sz w:val="22"/>
        </w:rPr>
        <w:t>（二）员工将投资人的联系方式提供给项目经理并协助接洽与洽谈；</w:t>
      </w:r>
    </w:p>
    <w:p>
      <w:pPr>
        <w:spacing w:before="120" w:after="120" w:line="288" w:lineRule="auto"/>
        <w:ind w:left="0" w:firstLine="420"/>
        <w:jc w:val="left"/>
      </w:pPr>
      <w:r>
        <w:rPr>
          <w:rFonts w:eastAsia="等线" w:ascii="Arial" w:cs="Arial" w:hAnsi="Arial"/>
          <w:sz w:val="22"/>
        </w:rPr>
        <w:t>（三）项目部应适时向所投企业讲授融资、并购与上市过程中的注意事项、经验和技巧，帮助该公司尽快实现融资、并购与上市目的。</w:t>
      </w:r>
    </w:p>
    <w:p>
      <w:pPr>
        <w:spacing w:before="120" w:after="120" w:line="288" w:lineRule="auto"/>
        <w:ind w:left="0" w:firstLine="420"/>
        <w:jc w:val="left"/>
      </w:pPr>
      <w:r>
        <w:rPr>
          <w:rFonts w:eastAsia="等线" w:ascii="Arial" w:cs="Arial" w:hAnsi="Arial"/>
          <w:b w:val="true"/>
          <w:sz w:val="22"/>
        </w:rPr>
        <w:t xml:space="preserve">第十八条 </w:t>
      </w:r>
      <w:r>
        <w:rPr>
          <w:rFonts w:eastAsia="等线" w:ascii="Arial" w:cs="Arial" w:hAnsi="Arial"/>
          <w:sz w:val="22"/>
        </w:rPr>
        <w:t>退出</w:t>
      </w:r>
    </w:p>
    <w:p>
      <w:pPr>
        <w:spacing w:before="120" w:after="120" w:line="288" w:lineRule="auto"/>
        <w:ind w:left="0" w:firstLine="420"/>
        <w:jc w:val="left"/>
      </w:pPr>
      <w:r>
        <w:rPr>
          <w:rFonts w:eastAsia="等线" w:ascii="Arial" w:cs="Arial" w:hAnsi="Arial"/>
          <w:sz w:val="22"/>
        </w:rPr>
        <w:t>（一） 公司所作的股权投资以获利退出为目的；所有员工有提供资源协助公司获利退出的责任和义务；</w:t>
      </w:r>
    </w:p>
    <w:p>
      <w:pPr>
        <w:spacing w:before="120" w:after="120" w:line="288" w:lineRule="auto"/>
        <w:ind w:left="0" w:firstLine="420"/>
        <w:jc w:val="left"/>
      </w:pPr>
      <w:r>
        <w:rPr>
          <w:rFonts w:eastAsia="等线" w:ascii="Arial" w:cs="Arial" w:hAnsi="Arial"/>
          <w:sz w:val="22"/>
        </w:rPr>
        <w:t>（二）退出时间应尽早规划。基金应已退定投，以投定退，要提早做好退出的准备。项目部应该在投前和投后将退出作为投资该项目重要考虑因素，投后要动态看企业发展，根据企业发展态势考虑项目退出事宜，并且要注意基金到期时间。</w:t>
      </w:r>
    </w:p>
    <w:p>
      <w:pPr>
        <w:spacing w:before="120" w:after="120" w:line="288" w:lineRule="auto"/>
        <w:ind w:left="0" w:firstLine="420"/>
        <w:jc w:val="left"/>
      </w:pPr>
      <w:r>
        <w:rPr>
          <w:rFonts w:eastAsia="等线" w:ascii="Arial" w:cs="Arial" w:hAnsi="Arial"/>
          <w:sz w:val="22"/>
        </w:rPr>
        <w:t>（三） 退出方式包括回购、后续轮股份转让、并购以及上市退出；公司的退出以获得货币（人民币、美元等）为目的，但也不排除获得有价证（债）券、贵金属、固定资产等冲抵退出金额。</w:t>
      </w:r>
    </w:p>
    <w:p>
      <w:pPr>
        <w:spacing w:before="120" w:after="120" w:line="288" w:lineRule="auto"/>
        <w:ind w:left="0" w:firstLine="420"/>
        <w:jc w:val="left"/>
      </w:pPr>
      <w:r>
        <w:rPr>
          <w:rFonts w:eastAsia="等线" w:ascii="Arial" w:cs="Arial" w:hAnsi="Arial"/>
          <w:b w:val="true"/>
          <w:sz w:val="22"/>
        </w:rPr>
        <w:t xml:space="preserve">第十九条 </w:t>
      </w:r>
      <w:r>
        <w:rPr>
          <w:rFonts w:eastAsia="等线" w:ascii="Arial" w:cs="Arial" w:hAnsi="Arial"/>
          <w:sz w:val="22"/>
        </w:rPr>
        <w:t>项目部在投前、投中和投后工作的过程中，需要就相关事项征求相关人员意见的，须通过飞书形式并且应在明确回复的截止时间，要给相关人员留出充足的阅读和反馈时间。</w:t>
      </w:r>
    </w:p>
    <w:p>
      <w:pPr>
        <w:spacing w:before="120" w:after="120" w:line="288" w:lineRule="auto"/>
        <w:ind w:left="0" w:firstLine="420"/>
        <w:jc w:val="left"/>
      </w:pPr>
      <w:r>
        <w:rPr>
          <w:rFonts w:eastAsia="等线" w:ascii="Arial" w:cs="Arial" w:hAnsi="Arial"/>
          <w:b w:val="true"/>
          <w:sz w:val="22"/>
        </w:rPr>
        <w:t>第二十条</w:t>
      </w:r>
      <w:r>
        <w:rPr>
          <w:rFonts w:eastAsia="等线" w:ascii="Arial" w:cs="Arial" w:hAnsi="Arial"/>
          <w:sz w:val="22"/>
        </w:rPr>
        <w:t xml:space="preserve"> 项目部应及时在投资云中更新项目的阶段信息和文档资料。（例如，项目正在尽调，则投资云中该项目也应处于“项目尽调”阶段）。完成本阶段的所有工作后，如有意向继续推进项目，则应将项目推进至下个阶段。</w:t>
      </w:r>
    </w:p>
    <w:p>
      <w:pPr>
        <w:spacing w:before="120" w:after="120" w:line="288" w:lineRule="auto"/>
        <w:ind w:left="0" w:firstLine="420"/>
        <w:jc w:val="left"/>
      </w:pPr>
      <w:r>
        <w:rPr>
          <w:rFonts w:eastAsia="等线" w:ascii="Arial" w:cs="Arial" w:hAnsi="Arial"/>
          <w:b w:val="true"/>
          <w:sz w:val="22"/>
        </w:rPr>
        <w:t>第二十一条</w:t>
      </w:r>
      <w:r>
        <w:rPr>
          <w:rFonts w:eastAsia="等线" w:ascii="Arial" w:cs="Arial" w:hAnsi="Arial"/>
          <w:sz w:val="22"/>
        </w:rPr>
        <w:t xml:space="preserve"> 项目部预约预立项会、第一次讨论会、第二次讨论会前，应在投资云中将项目推进至对应阶段，并在投资云中上传会议资料。如未完成上述工作，总经理有权取消该会议。</w:t>
      </w:r>
    </w:p>
    <w:p>
      <w:pPr>
        <w:spacing w:before="120" w:after="120" w:line="288" w:lineRule="auto"/>
        <w:ind w:left="0" w:firstLine="420"/>
        <w:jc w:val="left"/>
      </w:pPr>
      <w:r>
        <w:rPr>
          <w:rFonts w:eastAsia="等线" w:ascii="Arial" w:cs="Arial" w:hAnsi="Arial"/>
          <w:sz w:val="22"/>
        </w:rPr>
        <w:t>参会人员可在投资云的对应阶段中查看项目信息和会议资料。</w:t>
      </w:r>
    </w:p>
    <w:p>
      <w:pPr>
        <w:spacing w:before="120" w:after="120" w:line="288" w:lineRule="auto"/>
        <w:ind w:left="0" w:firstLine="420"/>
        <w:jc w:val="left"/>
      </w:pPr>
      <w:r>
        <w:rPr>
          <w:rFonts w:eastAsia="等线" w:ascii="Arial" w:cs="Arial" w:hAnsi="Arial"/>
          <w:b w:val="true"/>
          <w:sz w:val="22"/>
        </w:rPr>
        <w:t>第二十二条</w:t>
      </w:r>
      <w:r>
        <w:rPr>
          <w:rFonts w:eastAsia="等线" w:ascii="Arial" w:cs="Arial" w:hAnsi="Arial"/>
          <w:sz w:val="22"/>
        </w:rPr>
        <w:t xml:space="preserve"> 投资云中的项目负责人应为项目经理；项目成员中的个人成员应为项目部成员和协调人（如有）；项目部以外成员以部门为单位在投资云“项目成员”中添加。</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附件：</w:t>
      </w:r>
      <w:hyperlink r:id="rId6">
        <w:r>
          <w:rPr>
            <w:rFonts w:eastAsia="等线" w:ascii="Arial" w:cs="Arial" w:hAnsi="Arial"/>
            <w:color w:val="3370ff"/>
            <w:sz w:val="22"/>
          </w:rPr>
          <w:t>附件2251-读书顺序调研法 202003</w:t>
        </w:r>
      </w:hyperlink>
    </w:p>
    <w:p>
      <w:pPr>
        <w:spacing w:before="120" w:after="120" w:line="288" w:lineRule="auto"/>
        <w:ind w:left="0" w:firstLine="420"/>
        <w:jc w:val="left"/>
      </w:pPr>
      <w:hyperlink r:id="rId7">
        <w:r>
          <w:rPr>
            <w:rFonts w:eastAsia="等线" w:ascii="Arial" w:cs="Arial" w:hAnsi="Arial"/>
            <w:color w:val="3370ff"/>
            <w:sz w:val="22"/>
          </w:rPr>
          <w:t>附件2252-项目筛选表模板 202003</w:t>
        </w:r>
      </w:hyperlink>
    </w:p>
    <w:p>
      <w:pPr>
        <w:spacing w:before="120" w:after="120" w:line="288" w:lineRule="auto"/>
        <w:ind w:left="0" w:firstLine="420"/>
        <w:jc w:val="left"/>
      </w:pPr>
      <w:hyperlink r:id="rId8">
        <w:r>
          <w:rPr>
            <w:rFonts w:eastAsia="等线" w:ascii="Arial" w:cs="Arial" w:hAnsi="Arial"/>
            <w:color w:val="3370ff"/>
            <w:sz w:val="22"/>
          </w:rPr>
          <w:t>附件2253-员工评价项目模板202203</w:t>
        </w:r>
      </w:hyperlink>
    </w:p>
    <w:p>
      <w:pPr>
        <w:spacing w:before="120" w:after="120" w:line="288" w:lineRule="auto"/>
        <w:ind w:left="0" w:firstLine="420"/>
        <w:jc w:val="left"/>
      </w:pPr>
      <w:hyperlink r:id="rId9">
        <w:r>
          <w:rPr>
            <w:rFonts w:eastAsia="等线" w:ascii="Arial" w:cs="Arial" w:hAnsi="Arial"/>
            <w:color w:val="3370ff"/>
            <w:sz w:val="22"/>
          </w:rPr>
          <w:t>附件2254-投资流程表 202306</w:t>
        </w:r>
      </w:hyperlink>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5" w:id="25"/>
      <w:r>
        <w:rPr>
          <w:rFonts w:eastAsia="等线" w:ascii="Arial" w:cs="Arial" w:hAnsi="Arial"/>
          <w:b w:val="true"/>
          <w:sz w:val="30"/>
        </w:rPr>
        <w:t>第六节 种子期项目投资管理制度（</w:t>
      </w:r>
      <w:r>
        <w:rPr>
          <w:rFonts w:eastAsia="等线" w:ascii="Arial" w:cs="Arial" w:hAnsi="Arial"/>
          <w:b w:val="true"/>
          <w:color w:val="3370ff"/>
          <w:sz w:val="30"/>
        </w:rPr>
        <w:t>@刘绍辉</w:t>
      </w:r>
      <w:r>
        <w:rPr>
          <w:rFonts w:eastAsia="等线" w:ascii="Arial" w:cs="Arial" w:hAnsi="Arial"/>
          <w:b w:val="true"/>
          <w:sz w:val="30"/>
        </w:rPr>
        <w:t>）</w:t>
      </w:r>
      <w:bookmarkEnd w:id="25"/>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为了更快地促进高新技术转化为产品、从更前端把握高新技术项目来源、更全面地拓展公司投资阶段，为公司投资提供优质项目储备，特制订本制度。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种子期项目是指：创新/创业项目处于创意、发明或实验室初级产品阶段，即将实现产品化，此类项目特点参见项目断代表（附件2263-2267）。</w:t>
      </w:r>
    </w:p>
    <w:p>
      <w:pPr>
        <w:spacing w:before="120" w:after="120" w:line="288" w:lineRule="auto"/>
        <w:ind w:left="0" w:firstLine="0"/>
        <w:jc w:val="left"/>
      </w:pPr>
      <w:r>
        <w:rPr>
          <w:rFonts w:eastAsia="等线" w:ascii="Arial" w:cs="Arial" w:hAnsi="Arial"/>
          <w:b w:val="true"/>
          <w:sz w:val="22"/>
        </w:rPr>
        <w:t>第三条</w:t>
      </w:r>
      <w:r>
        <w:rPr>
          <w:rFonts w:eastAsia="等线" w:ascii="Arial" w:cs="Arial" w:hAnsi="Arial"/>
          <w:sz w:val="22"/>
        </w:rPr>
        <w:t xml:space="preserve"> 种子期项目部人数在1~2人，如项目部人数为1人，原则上由投资管理一部或二部人员作为项目部唯一成员即项目经理，项目经理有要求的可从三部或风控部门选择一人加入；三部或风控部门调研种子轮项目须有一部或二部人员作为项目部成员加入。</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种子期项目单个项目投资额度不超过200万元，估值限定在5000万以下。我方资金持股比例须小于本轮融资额的50%。（例：我方本轮投资100万，则项目方本轮实际融资金额不得少于200万）。</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项目部应严格按照本制度及《投资流程管理制度》《种子期项目负面清单与调研要点列表》的相关规定开展种子期项目调研。</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本制度未尽事宜，参照公司其他相关制度的规定执行。</w:t>
      </w: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 xml:space="preserve">附件： </w:t>
      </w:r>
      <w:hyperlink r:id="rId10">
        <w:r>
          <w:rPr>
            <w:rFonts w:eastAsia="等线" w:ascii="Arial" w:cs="Arial" w:hAnsi="Arial"/>
            <w:color w:val="3370ff"/>
            <w:sz w:val="22"/>
          </w:rPr>
          <w:t>附件2261-种子期项目负面清单与调研要点列表202302</w:t>
        </w:r>
      </w:hyperlink>
    </w:p>
    <w:p>
      <w:pPr>
        <w:spacing w:before="120" w:after="120" w:line="288" w:lineRule="auto"/>
        <w:ind w:left="0" w:firstLine="420"/>
        <w:jc w:val="left"/>
      </w:pPr>
      <w:hyperlink r:id="rId11">
        <w:r>
          <w:rPr>
            <w:rFonts w:eastAsia="等线" w:ascii="Arial" w:cs="Arial" w:hAnsi="Arial"/>
            <w:color w:val="3370ff"/>
            <w:sz w:val="22"/>
          </w:rPr>
          <w:t>附件2262-智能制造偏硬项目断代表</w:t>
        </w:r>
      </w:hyperlink>
    </w:p>
    <w:p>
      <w:pPr>
        <w:spacing w:before="120" w:after="120" w:line="288" w:lineRule="auto"/>
        <w:ind w:left="0" w:firstLine="420"/>
        <w:jc w:val="left"/>
      </w:pPr>
      <w:hyperlink r:id="rId12">
        <w:r>
          <w:rPr>
            <w:rFonts w:eastAsia="等线" w:ascii="Arial" w:cs="Arial" w:hAnsi="Arial"/>
            <w:color w:val="3370ff"/>
            <w:sz w:val="22"/>
          </w:rPr>
          <w:t>附件2263-生物技术（细胞治疗）项目断代表</w:t>
        </w:r>
      </w:hyperlink>
    </w:p>
    <w:p>
      <w:pPr>
        <w:spacing w:before="120" w:after="120" w:line="288" w:lineRule="auto"/>
        <w:ind w:left="0" w:firstLine="420"/>
        <w:jc w:val="left"/>
      </w:pPr>
      <w:hyperlink r:id="rId13">
        <w:r>
          <w:rPr>
            <w:rFonts w:eastAsia="等线" w:ascii="Arial" w:cs="Arial" w:hAnsi="Arial"/>
            <w:color w:val="3370ff"/>
            <w:sz w:val="22"/>
          </w:rPr>
          <w:t>附件2264-新材料项目断代表 201901</w:t>
        </w:r>
      </w:hyperlink>
    </w:p>
    <w:p>
      <w:pPr>
        <w:spacing w:before="120" w:after="120" w:line="288" w:lineRule="auto"/>
        <w:ind w:left="0" w:firstLine="420"/>
        <w:jc w:val="left"/>
      </w:pPr>
      <w:hyperlink r:id="rId14">
        <w:r>
          <w:rPr>
            <w:rFonts w:eastAsia="等线" w:ascii="Arial" w:cs="Arial" w:hAnsi="Arial"/>
            <w:color w:val="3370ff"/>
            <w:sz w:val="22"/>
          </w:rPr>
          <w:t>附件2265-医疗器械项目断代表</w:t>
        </w:r>
      </w:hyperlink>
    </w:p>
    <w:p>
      <w:pPr>
        <w:spacing w:before="120" w:after="120" w:line="288" w:lineRule="auto"/>
        <w:ind w:left="0" w:firstLine="420"/>
        <w:jc w:val="left"/>
      </w:pPr>
      <w:hyperlink r:id="rId15">
        <w:r>
          <w:rPr>
            <w:rFonts w:eastAsia="等线" w:ascii="Arial" w:cs="Arial" w:hAnsi="Arial"/>
            <w:color w:val="3370ff"/>
            <w:sz w:val="22"/>
          </w:rPr>
          <w:t>附件2266-智能制造偏软项目断代表 201901</w:t>
        </w:r>
      </w:hyperlink>
    </w:p>
    <w:p>
      <w:pPr>
        <w:spacing w:before="120" w:after="120" w:line="288" w:lineRule="auto"/>
        <w:ind w:left="0" w:firstLine="420"/>
        <w:jc w:val="left"/>
      </w:pPr>
      <w:hyperlink r:id="rId16">
        <w:r>
          <w:rPr>
            <w:rFonts w:eastAsia="等线" w:ascii="Arial" w:cs="Arial" w:hAnsi="Arial"/>
            <w:color w:val="3370ff"/>
            <w:sz w:val="22"/>
          </w:rPr>
          <w:t>附件2267-芯片项目断代表202103</w:t>
        </w:r>
      </w:hyperlink>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6" w:id="26"/>
      <w:r>
        <w:rPr>
          <w:rFonts w:eastAsia="等线" w:ascii="Arial" w:cs="Arial" w:hAnsi="Arial"/>
          <w:b w:val="true"/>
          <w:sz w:val="30"/>
        </w:rPr>
        <w:t>第七节 负面清单、调研要点及调研报告制度（</w:t>
      </w:r>
      <w:r>
        <w:rPr>
          <w:rFonts w:eastAsia="等线" w:ascii="Arial" w:cs="Arial" w:hAnsi="Arial"/>
          <w:b w:val="true"/>
          <w:color w:val="3370ff"/>
          <w:sz w:val="30"/>
        </w:rPr>
        <w:t>@刘绍辉</w:t>
      </w:r>
      <w:r>
        <w:rPr>
          <w:rFonts w:eastAsia="等线" w:ascii="Arial" w:cs="Arial" w:hAnsi="Arial"/>
          <w:b w:val="true"/>
          <w:sz w:val="30"/>
        </w:rPr>
        <w:t>）</w:t>
      </w:r>
      <w:bookmarkEnd w:id="26"/>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为了规范公司投资业务，避免在项目调研中出现重大遗漏及过失，明确公司对于项目的筛选和投资标准，特制定本制度。</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调研材料清单作为公司投资业务的指导性文件，对于投资调研过程中需要项目方提供材料情况以及项目部提交投委会的资料进行梳理和规范，其内容主要包括：《附件2273-立项前所需调研材料清单》、《附件2274-尽职调查清单》、《附件2275-调研报告模板》、《附件2271-负面清单与调研要点》与《附件102-文登委派代表否决事项负面清单》，其中《附件2271-负面清单与调研要点》是项目部成员进行项目调研的根本依据，是公司其他员工对上会项目进行评价的依据，是风决会和投委会进行决策的参考标准，是控制投资风险的重要保障；</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根据调研深度的推进情况，参照附件2273请项目方提供立项前所需调研材料，可分次提供。项目立项后进入尽调阶段，需项目方按照《附件 2274-尽职调查清单》提供相关材料。项目经理在向项目方发送该清单时，应根据项目的实际情况，经项目部成员协商对各自负责的内容进行适当的修改或增减。</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调研要点保证公司员工项目调研的全面性、严谨性，负面清单划定了公司对于项目各个方面的要求红线。</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公司员工在项目调研中应遵循以下原则。</w:t>
      </w:r>
    </w:p>
    <w:p>
      <w:pPr>
        <w:spacing w:before="120" w:after="120" w:line="288" w:lineRule="auto"/>
        <w:ind w:left="0" w:firstLine="420"/>
        <w:jc w:val="left"/>
      </w:pPr>
      <w:r>
        <w:rPr>
          <w:rFonts w:eastAsia="等线" w:ascii="Arial" w:cs="Arial" w:hAnsi="Arial"/>
          <w:sz w:val="22"/>
        </w:rPr>
        <w:t>（一） 项目调研中，时刻对照负面清单反复确认项目有无触发负面清单，时刻对照调研要点确保项目调研的全面性；但要注意不能仅根据项目方提供的商业计划书判断已经触发负面清单放弃项目调研，在深度沟通交流的基础上依据事实判断是否实质上触发，注意实质重于形式，如果把握不好请及时和公司多名资深同事进行沟通；</w:t>
      </w:r>
    </w:p>
    <w:p>
      <w:pPr>
        <w:spacing w:before="120" w:after="120" w:line="288" w:lineRule="auto"/>
        <w:ind w:left="0" w:firstLine="420"/>
        <w:jc w:val="left"/>
      </w:pPr>
      <w:r>
        <w:rPr>
          <w:rFonts w:eastAsia="等线" w:ascii="Arial" w:cs="Arial" w:hAnsi="Arial"/>
          <w:sz w:val="22"/>
        </w:rPr>
        <w:t>（二）项目调研完成后，负面清单与调研要点是撰写调研报告的重要依据，调研报告须全面、严谨、真实反映调研要点。</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在与项目方早期沟通中，可重点基于《附件2271-负面清单与调研要点列表》沟通，帮助项目方快速理解公司的投资风格和关注重点。</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调研人员依据分工分别参考负面清单与调研要点的不同部分，具体参考内容参见《附件2271-负面清单与调研要点列表》。</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调研报告及依据调研要点和负面清单、调研报告制作的PPT为公司进行投资业务过程中，项目部向风控委和投委会提交的项目汇报材料。为对调研报告进行统一和规范，保证调研报告的全面性，特制订附件2275-《调研报告模板》、PPT参照附件4361-《立项预备会PPT模板》，供公司员工参考使用，模板中的章节顺序可根据项目逻辑自行调整。模板中的章节如需删除，应将删除的内容和原因在调研报告正文末尾说明。</w:t>
      </w:r>
    </w:p>
    <w:p>
      <w:pPr>
        <w:spacing w:before="120" w:after="120" w:line="288" w:lineRule="auto"/>
        <w:ind w:left="0" w:firstLine="420"/>
        <w:jc w:val="left"/>
      </w:pPr>
      <w:r>
        <w:rPr>
          <w:rFonts w:eastAsia="等线" w:ascii="Arial" w:cs="Arial" w:hAnsi="Arial"/>
          <w:sz w:val="22"/>
        </w:rPr>
        <w:t>准项目部发送预立项ppt时，应填写《立项前所需调研材料清单》的完成情况，并将该文件上传飞书。风控应在准项目部上传文件的基础上，在线进行全面性提示。具体要求详见附件2273《立项前所需调研材料清单》。</w:t>
      </w:r>
    </w:p>
    <w:p>
      <w:pPr>
        <w:spacing w:before="120" w:after="120" w:line="288" w:lineRule="auto"/>
        <w:ind w:left="0" w:firstLine="420"/>
        <w:jc w:val="left"/>
      </w:pPr>
      <w:r>
        <w:rPr>
          <w:rFonts w:eastAsia="等线" w:ascii="Arial" w:cs="Arial" w:hAnsi="Arial"/>
          <w:sz w:val="22"/>
        </w:rPr>
        <w:t>项目部发送第一次讨论会材料时，应填写《负面清单与调研要点列表》的完成情况，并将该文件上传至飞书。具体要求详见附件2271《负面清单与调研要点列表》。</w:t>
      </w:r>
    </w:p>
    <w:p>
      <w:pPr>
        <w:spacing w:before="120" w:after="120" w:line="288" w:lineRule="auto"/>
        <w:ind w:left="0" w:firstLine="420"/>
        <w:jc w:val="left"/>
      </w:pPr>
      <w:r>
        <w:rPr>
          <w:rFonts w:eastAsia="等线" w:ascii="Arial" w:cs="Arial" w:hAnsi="Arial"/>
          <w:sz w:val="22"/>
        </w:rPr>
        <w:t>项目部发送第一次讨论会材料时，应填写《负面清单与调研要点列表》的完成情况，并将该文件上传至飞书。发送第二次具体要求详见附件2271《负面清单与调研要点列表》。</w:t>
      </w:r>
    </w:p>
    <w:p>
      <w:pPr>
        <w:spacing w:before="120" w:after="120" w:line="288" w:lineRule="auto"/>
        <w:ind w:left="0" w:firstLine="0"/>
        <w:jc w:val="left"/>
      </w:pPr>
      <w:r>
        <w:rPr>
          <w:rFonts w:eastAsia="等线" w:ascii="Arial" w:cs="Arial" w:hAnsi="Arial"/>
          <w:b w:val="true"/>
          <w:sz w:val="22"/>
        </w:rPr>
        <w:t xml:space="preserve">    第九条</w:t>
      </w:r>
      <w:r>
        <w:rPr>
          <w:rFonts w:eastAsia="等线" w:ascii="Arial" w:cs="Arial" w:hAnsi="Arial"/>
          <w:sz w:val="22"/>
        </w:rPr>
        <w:t xml:space="preserve"> 项目部人员在撰写项目调研报告时，应突出重点并根据项目实际情况对其进行适当修改或增减。调研报告正文部分不得超过90页。</w:t>
      </w:r>
    </w:p>
    <w:p>
      <w:pPr>
        <w:spacing w:before="120" w:after="120" w:line="288" w:lineRule="auto"/>
        <w:ind w:left="0" w:firstLine="0"/>
        <w:jc w:val="left"/>
      </w:pPr>
      <w:r>
        <w:rPr>
          <w:rFonts w:eastAsia="等线" w:ascii="Arial" w:cs="Arial" w:hAnsi="Arial"/>
          <w:b w:val="true"/>
          <w:sz w:val="22"/>
        </w:rPr>
        <w:t xml:space="preserve">    第十条</w:t>
      </w:r>
      <w:r>
        <w:rPr>
          <w:rFonts w:eastAsia="等线" w:ascii="Arial" w:cs="Arial" w:hAnsi="Arial"/>
          <w:sz w:val="22"/>
        </w:rPr>
        <w:t xml:space="preserve"> 项目部在撰写第一次讨论会的调研报告时，需将立项预备会、立项会关注的重要问题进行详细描述。立项预备会、立项会会议记录，作为调研报告附件一起发送。</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撰写调研报告时，需列出引用材料名录供项目部和参评人参考，引用材料作为调研报告附件，包括但不限于项目方提供的资料、项目部查阅的文献、专家意见、立项会会议记录（立项会会议记录需包括与会人员与创始人的沟通内容）等，其中文献部分须单独设立文件夹。引用文献须通过脚注对引用来源加以说明，重要引用内容如引用原话、引用数据、引用他人观点须在调研报告中突出显示，并在脚注中写明文献作者、文献名称、出版年份、页码，以体现清晰明了和专业度。格式要求详见附件2276 《调研报告文献引用格式示例》。</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调研报告对于主观性的文本描述，应当说明其依据来源。举例如下：</w:t>
      </w:r>
    </w:p>
    <w:p>
      <w:pPr>
        <w:spacing w:before="120" w:after="120" w:line="288" w:lineRule="auto"/>
        <w:ind w:left="0" w:firstLine="420"/>
        <w:jc w:val="left"/>
      </w:pPr>
      <w:r>
        <w:rPr>
          <w:rFonts w:eastAsia="等线" w:ascii="Arial" w:cs="Arial" w:hAnsi="Arial"/>
          <w:sz w:val="22"/>
        </w:rPr>
        <w:t>（一） “xx客户对项目方的xx型产品认可度非常高”应当描述为“根据项目部与项目方销售总监xx的访谈/根据项目部对xx客户的电话访谈，客户对项目方的xx型产品认可度非常高。”对于客观性的文本描述，应当注意说明时效性和调查渠道方式；</w:t>
      </w:r>
    </w:p>
    <w:p>
      <w:pPr>
        <w:spacing w:before="120" w:after="120" w:line="288" w:lineRule="auto"/>
        <w:ind w:left="0" w:firstLine="420"/>
        <w:jc w:val="left"/>
      </w:pPr>
      <w:r>
        <w:rPr>
          <w:rFonts w:eastAsia="等线" w:ascii="Arial" w:cs="Arial" w:hAnsi="Arial"/>
          <w:sz w:val="22"/>
        </w:rPr>
        <w:t>（二） “项目方不存在股权质押的情况”应当描述为“截止xx年xx月xx日，根据天眼查的网络检索结果/根据项目部对工商档案的核查，项目方不存在股权质押的情况”。</w:t>
      </w: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第二次项目讨论会时，项目部成员须将第一次项目讨论会中的问题及解答做成独立的文档，类似问题可以合并回答。该文档中项目部认为必要的相关内容须补充到调研报告相应的位置并特殊标注。该文档应按照报告章节进行分类，并作为调研报告的附件一起提交风控委和投委会。</w:t>
      </w:r>
    </w:p>
    <w:p>
      <w:pPr>
        <w:spacing w:before="120" w:after="120" w:line="288" w:lineRule="auto"/>
        <w:ind w:left="0" w:firstLine="420"/>
        <w:jc w:val="left"/>
      </w:pPr>
      <w:r>
        <w:rPr>
          <w:rFonts w:eastAsia="等线" w:ascii="Arial" w:cs="Arial" w:hAnsi="Arial"/>
          <w:b w:val="true"/>
          <w:sz w:val="22"/>
        </w:rPr>
        <w:t xml:space="preserve">第十四条 </w:t>
      </w:r>
      <w:r>
        <w:rPr>
          <w:rFonts w:eastAsia="等线" w:ascii="Arial" w:cs="Arial" w:hAnsi="Arial"/>
          <w:sz w:val="22"/>
        </w:rPr>
        <w:t>调研报告及附件呈现项目部调研成果，是未来追溯项目调研严谨性、真实性、全面性的依据。</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对于在管或新设基金的投资项目，在投委会讲解的PPT中须包含“落地计划”的内容。</w:t>
      </w:r>
    </w:p>
    <w:p>
      <w:pPr>
        <w:spacing w:before="120" w:after="120" w:line="288" w:lineRule="auto"/>
        <w:ind w:left="0" w:firstLine="420"/>
        <w:jc w:val="left"/>
      </w:pPr>
      <w:r>
        <w:rPr>
          <w:rFonts w:eastAsia="等线" w:ascii="Arial" w:cs="Arial" w:hAnsi="Arial"/>
          <w:b w:val="true"/>
          <w:sz w:val="22"/>
        </w:rPr>
        <w:t xml:space="preserve">第十六条 </w:t>
      </w:r>
      <w:r>
        <w:rPr>
          <w:rFonts w:eastAsia="等线" w:ascii="Arial" w:cs="Arial" w:hAnsi="Arial"/>
          <w:sz w:val="22"/>
        </w:rPr>
        <w:t>召开风决会与投委会时，项目部PPT中无需体现跟投员工姓名。</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附件：</w:t>
      </w:r>
      <w:hyperlink r:id="rId17">
        <w:r>
          <w:rPr>
            <w:rFonts w:eastAsia="等线" w:ascii="Arial" w:cs="Arial" w:hAnsi="Arial"/>
            <w:color w:val="3370ff"/>
            <w:sz w:val="22"/>
          </w:rPr>
          <w:t>附件2271-负面清单与调研要点列表202310</w:t>
        </w:r>
      </w:hyperlink>
    </w:p>
    <w:p>
      <w:pPr>
        <w:spacing w:before="120" w:after="120" w:line="288" w:lineRule="auto"/>
        <w:ind w:left="0" w:firstLine="420"/>
        <w:jc w:val="left"/>
      </w:pPr>
      <w:r>
        <w:rPr>
          <w:rFonts w:eastAsia="等线" w:ascii="Arial" w:cs="Arial" w:hAnsi="Arial"/>
          <w:sz w:val="22"/>
        </w:rPr>
        <w:t xml:space="preserve">       </w:t>
      </w:r>
      <w:hyperlink r:id="rId18">
        <w:r>
          <w:rPr>
            <w:rFonts w:eastAsia="等线" w:ascii="Arial" w:cs="Arial" w:hAnsi="Arial"/>
            <w:color w:val="3370ff"/>
            <w:sz w:val="22"/>
          </w:rPr>
          <w:t>附件2272-尽职调查常用网站及相关法律法规202203</w:t>
        </w:r>
      </w:hyperlink>
    </w:p>
    <w:p>
      <w:pPr>
        <w:spacing w:before="120" w:after="120" w:line="288" w:lineRule="auto"/>
        <w:ind w:left="0" w:firstLine="420"/>
        <w:jc w:val="left"/>
      </w:pPr>
      <w:r>
        <w:rPr>
          <w:rFonts w:eastAsia="等线" w:ascii="Arial" w:cs="Arial" w:hAnsi="Arial"/>
          <w:sz w:val="22"/>
        </w:rPr>
        <w:t xml:space="preserve">       </w:t>
      </w:r>
      <w:hyperlink r:id="rId19">
        <w:r>
          <w:rPr>
            <w:rFonts w:eastAsia="等线" w:ascii="Arial" w:cs="Arial" w:hAnsi="Arial"/>
            <w:color w:val="3370ff"/>
            <w:sz w:val="22"/>
          </w:rPr>
          <w:t>附件2273-立项前所需调研材料清单 202303</w:t>
        </w:r>
      </w:hyperlink>
    </w:p>
    <w:p>
      <w:pPr>
        <w:spacing w:before="120" w:after="120" w:line="288" w:lineRule="auto"/>
        <w:ind w:left="0" w:firstLine="420"/>
        <w:jc w:val="left"/>
      </w:pPr>
      <w:r>
        <w:rPr>
          <w:rFonts w:eastAsia="等线" w:ascii="Arial" w:cs="Arial" w:hAnsi="Arial"/>
          <w:sz w:val="22"/>
        </w:rPr>
        <w:t xml:space="preserve">       </w:t>
      </w:r>
      <w:hyperlink r:id="rId20">
        <w:r>
          <w:rPr>
            <w:rFonts w:eastAsia="等线" w:ascii="Arial" w:cs="Arial" w:hAnsi="Arial"/>
            <w:color w:val="3370ff"/>
            <w:sz w:val="22"/>
          </w:rPr>
          <w:t>附件2274-尽职调查清单202303</w:t>
        </w:r>
      </w:hyperlink>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sz w:val="22"/>
        </w:rPr>
        <w:t xml:space="preserve">  </w:t>
      </w:r>
      <w:hyperlink r:id="rId21">
        <w:r>
          <w:rPr>
            <w:rFonts w:eastAsia="等线" w:ascii="Arial" w:cs="Arial" w:hAnsi="Arial"/>
            <w:color w:val="3370ff"/>
            <w:sz w:val="22"/>
          </w:rPr>
          <w:t>附件2275-调研报告模板202403</w:t>
        </w:r>
      </w:hyperlink>
    </w:p>
    <w:p>
      <w:pPr>
        <w:spacing w:before="120" w:after="120" w:line="288" w:lineRule="auto"/>
        <w:ind w:left="0" w:firstLine="420"/>
        <w:jc w:val="left"/>
      </w:pPr>
      <w:r>
        <w:rPr>
          <w:rFonts w:eastAsia="等线" w:ascii="Arial" w:cs="Arial" w:hAnsi="Arial"/>
          <w:sz w:val="22"/>
        </w:rPr>
        <w:t xml:space="preserve">       </w:t>
      </w:r>
      <w:hyperlink r:id="rId22">
        <w:r>
          <w:rPr>
            <w:rFonts w:eastAsia="等线" w:ascii="Arial" w:cs="Arial" w:hAnsi="Arial"/>
            <w:color w:val="3370ff"/>
            <w:sz w:val="22"/>
          </w:rPr>
          <w:t>附件2276-调研报告文献引用格式示例202105</w:t>
        </w:r>
      </w:hyperlink>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7" w:id="27"/>
      <w:r>
        <w:rPr>
          <w:rFonts w:eastAsia="等线" w:ascii="Arial" w:cs="Arial" w:hAnsi="Arial"/>
          <w:b w:val="true"/>
          <w:sz w:val="30"/>
        </w:rPr>
        <w:t>第八节 投资协议制度（</w:t>
      </w:r>
      <w:r>
        <w:rPr>
          <w:rFonts w:eastAsia="等线" w:ascii="Arial" w:cs="Arial" w:hAnsi="Arial"/>
          <w:b w:val="true"/>
          <w:color w:val="3370ff"/>
          <w:sz w:val="30"/>
        </w:rPr>
        <w:t>@赵栋</w:t>
      </w:r>
      <w:r>
        <w:rPr>
          <w:rFonts w:eastAsia="等线" w:ascii="Arial" w:cs="Arial" w:hAnsi="Arial"/>
          <w:b w:val="true"/>
          <w:sz w:val="30"/>
        </w:rPr>
        <w:t>）</w:t>
      </w:r>
      <w:bookmarkEnd w:id="27"/>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投资协议及其补充协议等附件全面、准确的约定了公司或公司所管理基金与所投企业及其原股东、本轮合投方、创始团队等所有利益相关方之间协商达成的所有权利义务关系。</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投资协议核心条款协议书能够保障公司或公司所管理基金在约定期限内享有对目标公司投资的权利。核心条款协议书应当在项目立项前与项目方提早沟通尽早签署，原则上应在现场尽调之前签署确定，最迟不超过第一次项目讨论会召开之日。与项目方拟签订的投资协议与已签署投资协议核心条款协议书存在约定内容不一致的，项目部应该重点标注提示。</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投资协议及其附属文件是公司或公司所管理基金完成投资后保障权益的根本性法律文件。</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项目部应依据投资协议模板拟定投资协议，投资协议须完整、准确的体现核心条款协议中已达成的约定以及公司与所投企业及其原股东所达成的其他一致约定，同时满足投委会所附过会条件。如为跟投项目，所签署投资协议的核心条款需参考领投方协议及附件《2284跟投注意事项》。</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在投资协议正式签署前，需按照《合同管理制度》规定的相关流程进行审核定稿。项目部全员应共同参与、共同讨论。投资协议与模板不同的部分应标注，以便讨论。</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项目部需提前将协议沟通方式与项目方说明，沟通方式为：早期以书面沟通为主，如后续有重点问题的重大分歧需要协调的，可邀请项目方到公司沟通，特殊情况可以线上沟通。讨论过程建议录音记录。</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完成投资后，项目部应依据投资协议及公司制度规定进行投后管理，保障公司或公司所管理基金权益、帮助所投企业发展。</w:t>
      </w:r>
    </w:p>
    <w:p>
      <w:pPr>
        <w:spacing w:before="120" w:after="120" w:line="288" w:lineRule="auto"/>
        <w:ind w:left="0" w:firstLine="420"/>
        <w:jc w:val="left"/>
      </w:pPr>
      <w:r>
        <w:rPr>
          <w:rFonts w:eastAsia="等线" w:ascii="Arial" w:cs="Arial" w:hAnsi="Arial"/>
          <w:sz w:val="22"/>
        </w:rPr>
        <w:t>项目部成员变更时，新项目部成员应尽快熟悉与项目方签署的投资协议及其附件（如有），尤其是与投后相关性非常高的条款，包括：业绩承诺、回购条款等等。</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债转股项目需</w:t>
      </w:r>
      <w:r>
        <w:rPr>
          <w:rFonts w:eastAsia="等线" w:ascii="Arial" w:cs="Arial" w:hAnsi="Arial"/>
          <w:strike w:val="true"/>
          <w:sz w:val="22"/>
        </w:rPr>
        <w:t>要</w:t>
      </w:r>
      <w:r>
        <w:rPr>
          <w:rFonts w:eastAsia="等线" w:ascii="Arial" w:cs="Arial" w:hAnsi="Arial"/>
          <w:sz w:val="22"/>
        </w:rPr>
        <w:t>在签署的投资协议中对借款事项、转股条件和程序进行详细约定。</w:t>
      </w:r>
    </w:p>
    <w:p>
      <w:pPr>
        <w:spacing w:before="120" w:after="120" w:line="288" w:lineRule="auto"/>
        <w:ind w:left="0" w:firstLine="420"/>
        <w:jc w:val="left"/>
      </w:pPr>
      <w:r>
        <w:rPr>
          <w:rFonts w:eastAsia="等线" w:ascii="Arial" w:cs="Arial" w:hAnsi="Arial"/>
          <w:sz w:val="22"/>
        </w:rPr>
        <w:t>附件：</w:t>
      </w:r>
      <w:hyperlink r:id="rId23">
        <w:r>
          <w:rPr>
            <w:rFonts w:eastAsia="等线" w:ascii="Arial" w:cs="Arial" w:hAnsi="Arial"/>
            <w:color w:val="3370ff"/>
            <w:sz w:val="22"/>
          </w:rPr>
          <w:t>附件2281-投资协议模板202403</w:t>
        </w:r>
      </w:hyperlink>
    </w:p>
    <w:p>
      <w:pPr>
        <w:spacing w:before="120" w:after="120" w:line="288" w:lineRule="auto"/>
        <w:ind w:left="0" w:firstLine="420"/>
        <w:jc w:val="left"/>
      </w:pPr>
      <w:hyperlink r:id="rId24">
        <w:r>
          <w:rPr>
            <w:rFonts w:eastAsia="等线" w:ascii="Arial" w:cs="Arial" w:hAnsi="Arial"/>
            <w:color w:val="3370ff"/>
            <w:sz w:val="22"/>
          </w:rPr>
          <w:t>附件2282-投资协议核心条款协议书模板202403</w:t>
        </w:r>
      </w:hyperlink>
    </w:p>
    <w:p>
      <w:pPr>
        <w:spacing w:before="120" w:after="120" w:line="288" w:lineRule="auto"/>
        <w:ind w:left="0" w:firstLine="420"/>
        <w:jc w:val="left"/>
      </w:pPr>
      <w:hyperlink r:id="rId25">
        <w:r>
          <w:rPr>
            <w:rFonts w:eastAsia="等线" w:ascii="Arial" w:cs="Arial" w:hAnsi="Arial"/>
            <w:color w:val="3370ff"/>
            <w:sz w:val="22"/>
          </w:rPr>
          <w:t>附件2283-核心条款的原理及沟通方法 201901</w:t>
        </w:r>
      </w:hyperlink>
    </w:p>
    <w:p>
      <w:pPr>
        <w:spacing w:before="120" w:after="120" w:line="288" w:lineRule="auto"/>
        <w:ind w:left="0" w:firstLine="420"/>
        <w:jc w:val="left"/>
      </w:pPr>
      <w:hyperlink r:id="rId26">
        <w:r>
          <w:rPr>
            <w:rFonts w:eastAsia="等线" w:ascii="Arial" w:cs="Arial" w:hAnsi="Arial"/>
            <w:color w:val="3370ff"/>
            <w:sz w:val="22"/>
          </w:rPr>
          <w:t>附件2284-跟投注意事项</w:t>
        </w:r>
      </w:hyperlink>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8" w:id="28"/>
      <w:r>
        <w:rPr>
          <w:rFonts w:eastAsia="等线" w:ascii="Arial" w:cs="Arial" w:hAnsi="Arial"/>
          <w:b w:val="true"/>
          <w:sz w:val="30"/>
        </w:rPr>
        <w:t>第九节 保密协议制度（</w:t>
      </w:r>
      <w:r>
        <w:rPr>
          <w:rFonts w:eastAsia="等线" w:ascii="Arial" w:cs="Arial" w:hAnsi="Arial"/>
          <w:b w:val="true"/>
          <w:color w:val="3370ff"/>
          <w:sz w:val="30"/>
        </w:rPr>
        <w:t>@赵栋</w:t>
      </w:r>
      <w:r>
        <w:rPr>
          <w:rFonts w:eastAsia="等线" w:ascii="Arial" w:cs="Arial" w:hAnsi="Arial"/>
          <w:b w:val="true"/>
          <w:sz w:val="30"/>
        </w:rPr>
        <w:t>）</w:t>
      </w:r>
      <w:bookmarkEnd w:id="28"/>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保密协议是公司在投资业务过程中与项目方、其他投资机构、合作方等签订的相互保守秘密的承诺性协议，为规范承诺形式和内容特制订保密协议制度。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在与项目方沟通产品技术细节之前，可与项目方或其融资主体（公司）或个人签订该保密协议，以便增加相互的信任度。</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签订保密协议后，所有接触项目（信息）人员均有义务对项目方提供的包括但不限于技术、市场、团队、客户、生产等方面的所有信息进行保密，仅在公司内部人员之间进行讨论。不得向任何个人、团体、公司、组织泄露获得的项目任何保密信息，包括不得向境内外任何相关媒体、新闻发布会、互联网网站、手机微博、微博公众账号或个人账号等任何公开渠道，以及在论坛、讲座等任何场所，透露、发布项目的保密信息。</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若项目方要求使用其提供的模板或对我方协议提出修改，须按照《合同管理制度》的相关规定由相关人员审核。</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公司在对外推介项目、同外部专家、合投机构交流时，如需提供公司的调研报告，需与对方签订保密协议；其他情况，由对方与项目方直接签署保密协议。</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保密协议签订后需要参照档案管理制度进行存档。</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附件：</w:t>
      </w:r>
      <w:hyperlink r:id="rId27">
        <w:r>
          <w:rPr>
            <w:rFonts w:eastAsia="等线" w:ascii="Arial" w:cs="Arial" w:hAnsi="Arial"/>
            <w:color w:val="3370ff"/>
            <w:sz w:val="22"/>
          </w:rPr>
          <w:t>附件2291-保密协议模板 202302</w:t>
        </w:r>
      </w:hyperlink>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29" w:id="29"/>
      <w:r>
        <w:rPr>
          <w:rFonts w:eastAsia="等线" w:ascii="Arial" w:cs="Arial" w:hAnsi="Arial"/>
          <w:b w:val="true"/>
          <w:sz w:val="32"/>
        </w:rPr>
        <w:t>第三章 基金与投资决策管理制度</w:t>
      </w:r>
      <w:r>
        <w:rPr>
          <w:rFonts w:eastAsia="等线" w:ascii="Arial" w:cs="Arial" w:hAnsi="Arial"/>
          <w:b w:val="true"/>
          <w:sz w:val="32"/>
        </w:rPr>
        <w:t>（</w:t>
      </w:r>
      <w:r>
        <w:rPr>
          <w:rFonts w:eastAsia="等线" w:ascii="Arial" w:cs="Arial" w:hAnsi="Arial"/>
          <w:b w:val="true"/>
          <w:color w:val="3370ff"/>
          <w:sz w:val="32"/>
        </w:rPr>
        <w:t>@余子政</w:t>
      </w:r>
      <w:r>
        <w:rPr>
          <w:rFonts w:eastAsia="等线" w:ascii="Arial" w:cs="Arial" w:hAnsi="Arial"/>
          <w:b w:val="true"/>
          <w:sz w:val="32"/>
        </w:rPr>
        <w:t>）（扩大会）</w:t>
      </w:r>
      <w:bookmarkEnd w:id="29"/>
    </w:p>
    <w:p>
      <w:pPr>
        <w:pStyle w:val="3"/>
        <w:spacing w:before="300" w:after="120" w:line="288" w:lineRule="auto"/>
        <w:ind w:left="0"/>
        <w:jc w:val="center"/>
        <w:outlineLvl w:val="2"/>
      </w:pPr>
      <w:bookmarkStart w:name="heading_30" w:id="30"/>
      <w:r>
        <w:rPr>
          <w:rFonts w:eastAsia="等线" w:ascii="Arial" w:cs="Arial" w:hAnsi="Arial"/>
          <w:b w:val="true"/>
          <w:sz w:val="30"/>
        </w:rPr>
        <w:t>第一节 基金管理制度</w:t>
      </w:r>
      <w:bookmarkEnd w:id="30"/>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本制度适用于公司或其关联方设立的股权投资基金及其子基金。</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公司本着诚实守信、规范透明的原则以非公开方式向特定对象进行募集，按照有关法规、政策的规定落实投资者适当性匹配、风险揭示、合格投资者确认等规范性要求，切实做好募集合规性工作。</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募资居间费率由公司根据市场通行情况确定，尊重居间人意见是否签署居间协议，居间人为多人的由第一联系人负责分配。</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根据基金合伙人会议的授权，由基金管理人负责组建投委会及委派投委会委员，建立投资决策管理流程，按照合伙协议的规定对基金行使投资决策等管理、协调、监督职能。基金管理人向基金合伙人会议负责。</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基金管理人处理基金事务时需勤勉尽责，应优先考虑基金投资者的利益，避免利益冲突发生，不得利用基金财产或者职务之便，为基金管理人或者基金投资者以外的人谋取利益，进行利益输送。</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基金管理人应当公平对待其所管理的不同基金，不能通过损害某一基金的利益让其他基金或基金管理人自身获得不当的利益。</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基金管理人应当尽职尽责切实履行信息披露义务，包括但不限于对于协会的信息披露义务以及根据合同约定对基金投资者的信息披露义务。</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在审议基金相关项目投资退出方案时，基金管理人应保证交易的对价的公允性。</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特别规定：政府引导基金或当地国有出资平台作为基金投资者向由公司或其关联方设立的基金出资的，在基金合作协议核心条款、合作协议中需对政府主导基金政策、人才政策、科技政策等核心要点加以具体明确。此外原则上不再为政府引导基金设置一票否决权利，若设置，则需明确返投比例任务完成后政府引导基金放弃一票否决权。</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与政府引导基金进行现场会议时需形成并签署会议纪要。</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每只基金设立基金秘书处，是基金的日常办事机构，在管理人董事会领导下工作。基金秘书兼任投委会秘书，基金书记员兼任投委会书记员。基金秘书处负责基金相关的会议组织、对内对外联系和协调基金经营管理事务等职能。</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每只基金设立基金专委会，在基金管理人董事会领导下工作，由董事会授权扩大会确定具体人员。专委会设主任1名，负责与基金合作方的沟通、洽谈，以及内外各方的协调与会议组织；设书记员1名，由投委会书记员兼任，负责基金会议文件的的整理、归档等等；风控部全员加入，按照分工负责基金申报资料的整理、提交，以及相关合规与监督工作。扩大会可视情形随时增补相关专业背景的人员作为专委会成员承担相应职责。原则上专委会成员任期自扩大会纪要发布之日起直至基金退出为止。</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附件：2311.私募基金募集流程图</w:t>
      </w:r>
    </w:p>
    <w:p>
      <w:pPr>
        <w:spacing w:before="120" w:after="120" w:line="288" w:lineRule="auto"/>
        <w:ind w:left="0" w:firstLine="420"/>
        <w:jc w:val="left"/>
      </w:pPr>
      <w:r>
        <w:rPr>
          <w:rFonts w:eastAsia="等线" w:ascii="Arial" w:cs="Arial" w:hAnsi="Arial"/>
          <w:sz w:val="22"/>
        </w:rPr>
        <w:t xml:space="preserve">      2312.私募投资基金材料清单-中基协</w:t>
      </w:r>
    </w:p>
    <w:p>
      <w:pPr>
        <w:spacing w:before="120" w:after="120" w:line="288" w:lineRule="auto"/>
        <w:ind w:left="0" w:firstLine="420"/>
        <w:jc w:val="left"/>
      </w:pPr>
      <w:r>
        <w:rPr>
          <w:rFonts w:eastAsia="等线" w:ascii="Arial" w:cs="Arial" w:hAnsi="Arial"/>
          <w:color w:val="d83931"/>
          <w:sz w:val="22"/>
        </w:rPr>
        <w:t xml:space="preserve">      </w:t>
      </w:r>
      <w:r>
        <w:rPr>
          <w:rFonts w:eastAsia="等线" w:ascii="Arial" w:cs="Arial" w:hAnsi="Arial"/>
          <w:sz w:val="22"/>
        </w:rPr>
        <w:t>2313.基金专委会成员名单</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31" w:id="31"/>
      <w:r>
        <w:rPr>
          <w:rFonts w:eastAsia="等线" w:ascii="Arial" w:cs="Arial" w:hAnsi="Arial"/>
          <w:b w:val="true"/>
          <w:sz w:val="30"/>
        </w:rPr>
        <w:t>第二节 投资决策委员会制度总则</w:t>
      </w:r>
      <w:bookmarkEnd w:id="31"/>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基金设立后，基金管理人依据合伙协议的相关约定组织投资委员会并拟订投委会制度提交合伙人会议通过。原则上投资决策委员会的组成应覆盖技术、法务、财务、管理等专业背景，选择资深专业人士组成。投委会制度的拟订、投委会会议流程、要求以及表决方式等原则上参照最近一支基金的相关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本制度适用于公司或其关联方所管理基金的一切对外投资行为。</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公司主要通过所管理的基金以及公司自有资金投资项目，投资决策委员会是项目投资的最终决策机构。</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投资项目所需的风险监管意见，由风险控制决策会负责提供，风决会是投委会的前置性程序。风决会的相关制度详见第三编。</w:t>
      </w:r>
    </w:p>
    <w:p>
      <w:pPr>
        <w:spacing w:before="120" w:after="120" w:line="288" w:lineRule="auto"/>
        <w:ind w:left="0" w:firstLine="0"/>
        <w:jc w:val="left"/>
      </w:pPr>
      <w:r>
        <w:rPr>
          <w:rFonts w:eastAsia="等线" w:ascii="Arial" w:cs="Arial" w:hAnsi="Arial"/>
          <w:b w:val="true"/>
          <w:sz w:val="22"/>
        </w:rPr>
        <w:t xml:space="preserve">    第五条 </w:t>
      </w:r>
      <w:r>
        <w:rPr>
          <w:rFonts w:eastAsia="等线" w:ascii="Arial" w:cs="Arial" w:hAnsi="Arial"/>
          <w:sz w:val="22"/>
        </w:rPr>
        <w:t>投委会由投委会主席负责召集和主持。</w:t>
      </w:r>
    </w:p>
    <w:p>
      <w:pPr>
        <w:spacing w:before="120" w:after="120" w:line="288" w:lineRule="auto"/>
        <w:ind w:left="0" w:firstLine="420"/>
        <w:jc w:val="left"/>
      </w:pPr>
      <w:r>
        <w:rPr>
          <w:rFonts w:eastAsia="等线" w:ascii="Arial" w:cs="Arial" w:hAnsi="Arial"/>
          <w:sz w:val="22"/>
        </w:rPr>
        <w:t>投委会下设秘书处，秘书处由一名秘书和一名书记员组成。</w:t>
      </w:r>
    </w:p>
    <w:p>
      <w:pPr>
        <w:spacing w:before="120" w:after="120" w:line="288" w:lineRule="auto"/>
        <w:ind w:left="0" w:firstLine="420"/>
        <w:jc w:val="left"/>
      </w:pPr>
      <w:r>
        <w:rPr>
          <w:rFonts w:eastAsia="等线" w:ascii="Arial" w:cs="Arial" w:hAnsi="Arial"/>
          <w:sz w:val="22"/>
        </w:rPr>
        <w:t>书记员在相关制度要求及秘书的指导下展开具体工作。</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color w:val="d83931"/>
          <w:sz w:val="22"/>
        </w:rPr>
        <w:t xml:space="preserve"> </w:t>
      </w:r>
      <w:r>
        <w:rPr>
          <w:rFonts w:eastAsia="等线" w:ascii="Arial" w:cs="Arial" w:hAnsi="Arial"/>
          <w:sz w:val="22"/>
        </w:rPr>
        <w:t>投委会投决时，主要创始人指定其他核心团队成员参加，主要创始人自主选择是否参加。</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投委会秘书由投委会主席任免，履行以下职责：</w:t>
      </w:r>
    </w:p>
    <w:p>
      <w:pPr>
        <w:spacing w:before="120" w:after="120" w:line="288" w:lineRule="auto"/>
        <w:ind w:left="0" w:firstLine="420"/>
        <w:jc w:val="left"/>
      </w:pPr>
      <w:r>
        <w:rPr>
          <w:rFonts w:eastAsia="等线" w:ascii="Arial" w:cs="Arial" w:hAnsi="Arial"/>
          <w:sz w:val="22"/>
        </w:rPr>
        <w:t>（一） 任免投委会书记员；</w:t>
      </w:r>
    </w:p>
    <w:p>
      <w:pPr>
        <w:spacing w:before="120" w:after="120" w:line="288" w:lineRule="auto"/>
        <w:ind w:left="0" w:firstLine="420"/>
        <w:jc w:val="left"/>
      </w:pPr>
      <w:r>
        <w:rPr>
          <w:rFonts w:eastAsia="等线" w:ascii="Arial" w:cs="Arial" w:hAnsi="Arial"/>
          <w:sz w:val="22"/>
        </w:rPr>
        <w:t>（二） 依据投委会制度起草投委会会议通知并与其他会议资料一起发送投委会委员；</w:t>
      </w:r>
    </w:p>
    <w:p>
      <w:pPr>
        <w:spacing w:before="120" w:after="120" w:line="288" w:lineRule="auto"/>
        <w:ind w:left="0" w:firstLine="420"/>
        <w:jc w:val="left"/>
      </w:pPr>
      <w:r>
        <w:rPr>
          <w:rFonts w:eastAsia="等线" w:ascii="Arial" w:cs="Arial" w:hAnsi="Arial"/>
          <w:sz w:val="22"/>
        </w:rPr>
        <w:t>（三） 确认委员参会情况并提前两天再次提醒确认；</w:t>
      </w:r>
    </w:p>
    <w:p>
      <w:pPr>
        <w:spacing w:before="120" w:after="120" w:line="288" w:lineRule="auto"/>
        <w:ind w:left="0" w:firstLine="420"/>
        <w:jc w:val="left"/>
      </w:pPr>
      <w:r>
        <w:rPr>
          <w:rFonts w:eastAsia="等线" w:ascii="Arial" w:cs="Arial" w:hAnsi="Arial"/>
          <w:sz w:val="22"/>
        </w:rPr>
        <w:t>（四） 投委会会场布置，包括调试设备、打印会议文件、准备茶水瓜果等；</w:t>
      </w:r>
    </w:p>
    <w:p>
      <w:pPr>
        <w:spacing w:before="120" w:after="120" w:line="288" w:lineRule="auto"/>
        <w:ind w:left="0" w:firstLine="420"/>
        <w:jc w:val="left"/>
      </w:pPr>
      <w:r>
        <w:rPr>
          <w:rFonts w:eastAsia="等线" w:ascii="Arial" w:cs="Arial" w:hAnsi="Arial"/>
          <w:sz w:val="22"/>
        </w:rPr>
        <w:t>（五） 安排书记员负责会议记录；</w:t>
      </w:r>
    </w:p>
    <w:p>
      <w:pPr>
        <w:spacing w:before="120" w:after="120" w:line="288" w:lineRule="auto"/>
        <w:ind w:left="0" w:firstLine="420"/>
        <w:jc w:val="left"/>
      </w:pPr>
      <w:r>
        <w:rPr>
          <w:rFonts w:eastAsia="等线" w:ascii="Arial" w:cs="Arial" w:hAnsi="Arial"/>
          <w:sz w:val="22"/>
        </w:rPr>
        <w:t>（六） 投委会决议的现场签署或会后轮签；</w:t>
      </w:r>
    </w:p>
    <w:p>
      <w:pPr>
        <w:spacing w:before="120" w:after="120" w:line="288" w:lineRule="auto"/>
        <w:ind w:left="0" w:firstLine="420"/>
        <w:jc w:val="left"/>
      </w:pPr>
      <w:r>
        <w:rPr>
          <w:rFonts w:eastAsia="等线" w:ascii="Arial" w:cs="Arial" w:hAnsi="Arial"/>
          <w:sz w:val="22"/>
        </w:rPr>
        <w:t>（七） 协调涉及拟投资主体各方（其他管理人、LP等）的各项工作联系；</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投委会召开时间的确定，以项目部主动提出上会申请为启动原则，兼顾考虑出席人数确保会议有效性，会议时间具体要求参见各基金投委会制度规定。</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为了帮助投委会真实、全面的研究判断投资项目的质地、前景、投资价值，公司员工的项目评价意见作为投委会会议材料的必备文件。</w:t>
      </w:r>
    </w:p>
    <w:p>
      <w:pPr>
        <w:spacing w:before="120" w:after="120" w:line="288" w:lineRule="auto"/>
        <w:ind w:left="0" w:firstLine="420"/>
        <w:jc w:val="left"/>
      </w:pPr>
      <w:r>
        <w:rPr>
          <w:rFonts w:eastAsia="等线" w:ascii="Arial" w:cs="Arial" w:hAnsi="Arial"/>
          <w:sz w:val="22"/>
        </w:rPr>
        <w:t>投委会召开7日前，员工将评价意见微信发送给投委会主席，投委会主席进行匿名化处理后，由投委会秘书与其他会议资料一并提交投委会。</w:t>
      </w:r>
    </w:p>
    <w:p>
      <w:pPr>
        <w:spacing w:before="120" w:after="120" w:line="288" w:lineRule="auto"/>
        <w:ind w:left="0" w:firstLine="0"/>
        <w:jc w:val="left"/>
      </w:pPr>
      <w:r>
        <w:rPr>
          <w:rFonts w:eastAsia="等线" w:ascii="Arial" w:cs="Arial" w:hAnsi="Arial"/>
          <w:color w:val="d83931"/>
          <w:sz w:val="22"/>
        </w:rPr>
        <w:t xml:space="preserve">  </w:t>
      </w:r>
      <w:r>
        <w:rPr>
          <w:rFonts w:eastAsia="等线" w:ascii="Arial" w:cs="Arial" w:hAnsi="Arial"/>
          <w:sz w:val="22"/>
        </w:rPr>
        <w:t xml:space="preserve">  投委会委员应对员工评价意见进行打分。分数应与项目投资意见一同发送给投委会秘书。</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投委会会议议程参照附件2323的相关内容，投委会主席可以根据实际情况调整，投委会秘书须至少在会议召开前一日将调整后的议程通知所有参会人员。项目部的报告时间需控制在50分钟以内，时间届满则报告终止按议程进入下一环节。</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投委会召开完毕后，投委会秘书处需在投委会召开完毕后5个工作日内将投委会决议发送给项目部，项目部根据投委会决议的要求自主开展下一步工作，如遇有附条件过会情形且项目部在后续项目谈判推进中出现投委会所附条件无法达成一致、抵触或有重大变化等情况，则项目部视情况决定是否需就最新情况再行提交投委会进行再次决策，继续推进项目。</w:t>
      </w:r>
    </w:p>
    <w:p>
      <w:pPr>
        <w:numPr>
          <w:numId w:val="189"/>
        </w:numPr>
        <w:spacing w:before="120" w:after="120" w:line="288" w:lineRule="auto"/>
        <w:ind w:left="453"/>
        <w:jc w:val="left"/>
      </w:pPr>
      <w:r>
        <w:rPr>
          <w:rFonts w:eastAsia="等线" w:ascii="Arial" w:cs="Arial" w:hAnsi="Arial"/>
          <w:sz w:val="22"/>
        </w:rPr>
        <w:t>投委会做出同意投资的决策满60日尚未交割投资款的，项目部负责整理项目进展最新资料，由投委会秘书发送投委会委员。</w:t>
      </w: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项目部报告的重大事项、不利情况等投委会主席认为有必要时需及时提报投委会，由投委会委员参与讨论，由投委会进行最终决策。</w:t>
      </w:r>
    </w:p>
    <w:p>
      <w:pPr>
        <w:spacing w:before="120" w:after="120" w:line="288" w:lineRule="auto"/>
        <w:ind w:left="0" w:firstLine="420"/>
        <w:jc w:val="left"/>
      </w:pPr>
      <w:r>
        <w:rPr>
          <w:rFonts w:eastAsia="等线" w:ascii="Arial" w:cs="Arial" w:hAnsi="Arial"/>
          <w:b w:val="true"/>
          <w:sz w:val="22"/>
        </w:rPr>
        <w:t>第十四条</w:t>
      </w:r>
      <w:r>
        <w:rPr>
          <w:rFonts w:eastAsia="等线" w:ascii="Arial" w:cs="Arial" w:hAnsi="Arial"/>
          <w:color w:val="d83931"/>
          <w:sz w:val="22"/>
        </w:rPr>
        <w:t xml:space="preserve"> </w:t>
      </w:r>
      <w:r>
        <w:rPr>
          <w:rFonts w:eastAsia="等线" w:ascii="Arial" w:cs="Arial" w:hAnsi="Arial"/>
          <w:sz w:val="22"/>
        </w:rPr>
        <w:t>投委会对项目各轮次投资进行决策，决定投资，确定该轮次单笔投资额后，公司员工有权使用自有资金跟投项目。公司员工认购后所余部分，由基金出资投资，但员工（含项目部成员）最终认购额度须以项目部随上会材料提交风控委或投委会时申报额度为准。</w:t>
      </w:r>
    </w:p>
    <w:p>
      <w:pPr>
        <w:spacing w:before="120" w:after="120" w:line="288" w:lineRule="auto"/>
        <w:ind w:left="0" w:firstLine="420"/>
        <w:jc w:val="left"/>
      </w:pPr>
      <w:r>
        <w:rPr>
          <w:rFonts w:eastAsia="等线" w:ascii="Arial" w:cs="Arial" w:hAnsi="Arial"/>
          <w:sz w:val="22"/>
        </w:rPr>
        <w:t>在保障项目部成员跟投权利的前提下，公司其他员工享有优先认购跟投的权利。公司员工（含项目部成员）合计跟投额度比例不得超过该单笔投资总额度的 30%。员工跟投合计超过投资总额30%的，项目部优先与拟跟投员工进行友好协商调整；协商不成的，项目经理有权决定每个人的最终出资额。</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投委会对已投项目退出方案进行决策。</w:t>
      </w:r>
    </w:p>
    <w:p>
      <w:pPr>
        <w:spacing w:before="120" w:after="120" w:line="288" w:lineRule="auto"/>
        <w:ind w:left="0" w:firstLine="0"/>
        <w:jc w:val="left"/>
      </w:pPr>
      <w:r>
        <w:rPr>
          <w:rFonts w:eastAsia="等线" w:ascii="Arial" w:cs="Arial" w:hAnsi="Arial"/>
          <w:sz w:val="22"/>
        </w:rPr>
        <w:t xml:space="preserve">    附件： 2321. 投委会表决票</w:t>
      </w:r>
    </w:p>
    <w:p>
      <w:pPr>
        <w:spacing w:before="120" w:after="120" w:line="288" w:lineRule="auto"/>
        <w:ind w:left="0" w:firstLine="0"/>
        <w:jc w:val="left"/>
      </w:pPr>
      <w:r>
        <w:rPr>
          <w:rFonts w:eastAsia="等线" w:ascii="Arial" w:cs="Arial" w:hAnsi="Arial"/>
          <w:color w:val="d83931"/>
          <w:sz w:val="22"/>
        </w:rPr>
        <w:t xml:space="preserve">          </w:t>
      </w:r>
      <w:r>
        <w:rPr>
          <w:rFonts w:eastAsia="等线" w:ascii="Arial" w:cs="Arial" w:hAnsi="Arial"/>
          <w:sz w:val="22"/>
        </w:rPr>
        <w:t xml:space="preserve"> 2322.投委会委员签到表</w:t>
      </w:r>
    </w:p>
    <w:p>
      <w:pPr>
        <w:spacing w:before="120" w:after="120" w:line="288" w:lineRule="auto"/>
        <w:ind w:left="0" w:firstLine="420"/>
        <w:jc w:val="left"/>
      </w:pPr>
      <w:r>
        <w:rPr>
          <w:rFonts w:eastAsia="等线" w:ascii="Arial" w:cs="Arial" w:hAnsi="Arial"/>
          <w:sz w:val="22"/>
        </w:rPr>
        <w:t>2323.投委会会议议程</w:t>
      </w:r>
    </w:p>
    <w:p>
      <w:pPr>
        <w:spacing w:before="120" w:after="120" w:line="288" w:lineRule="auto"/>
        <w:ind w:left="0" w:firstLine="420"/>
        <w:jc w:val="left"/>
      </w:pPr>
      <w:r>
        <w:rPr>
          <w:rFonts w:eastAsia="等线" w:ascii="Arial" w:cs="Arial" w:hAnsi="Arial"/>
          <w:sz w:val="22"/>
        </w:rPr>
        <w:t>2324.白羊座投委会制度</w:t>
      </w:r>
    </w:p>
    <w:p>
      <w:pPr>
        <w:spacing w:before="120" w:after="120" w:line="288" w:lineRule="auto"/>
        <w:ind w:left="0" w:firstLine="420"/>
        <w:jc w:val="left"/>
      </w:pPr>
      <w:r>
        <w:rPr>
          <w:rFonts w:eastAsia="等线" w:ascii="Arial" w:cs="Arial" w:hAnsi="Arial"/>
          <w:sz w:val="22"/>
        </w:rPr>
        <w:t>2325.双子座投委会制度</w:t>
      </w: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32" w:id="32"/>
      <w:r>
        <w:rPr>
          <w:rFonts w:eastAsia="等线" w:ascii="Arial" w:cs="Arial" w:hAnsi="Arial"/>
          <w:b w:val="true"/>
          <w:sz w:val="32"/>
        </w:rPr>
        <w:t>第四章 投后管理制度</w:t>
      </w:r>
      <w:r>
        <w:rPr>
          <w:rFonts w:eastAsia="等线" w:ascii="Arial" w:cs="Arial" w:hAnsi="Arial"/>
          <w:b w:val="true"/>
          <w:sz w:val="32"/>
        </w:rPr>
        <w:t>（</w:t>
      </w:r>
      <w:r>
        <w:rPr>
          <w:rFonts w:eastAsia="等线" w:ascii="Arial" w:cs="Arial" w:hAnsi="Arial"/>
          <w:b w:val="true"/>
          <w:color w:val="3370ff"/>
          <w:sz w:val="32"/>
        </w:rPr>
        <w:t>@丁泉惠</w:t>
      </w:r>
      <w:r>
        <w:rPr>
          <w:rFonts w:eastAsia="等线" w:ascii="Arial" w:cs="Arial" w:hAnsi="Arial"/>
          <w:b w:val="true"/>
          <w:sz w:val="32"/>
        </w:rPr>
        <w:t>）（总经办）</w:t>
      </w:r>
      <w:bookmarkEnd w:id="32"/>
    </w:p>
    <w:p>
      <w:pPr>
        <w:spacing w:before="120" w:after="120" w:line="288" w:lineRule="auto"/>
        <w:ind w:left="0" w:firstLine="420"/>
        <w:jc w:val="left"/>
      </w:pPr>
      <w:r>
        <w:rPr>
          <w:rFonts w:eastAsia="等线" w:ascii="Arial" w:cs="Arial" w:hAnsi="Arial"/>
          <w:sz w:val="22"/>
        </w:rPr>
        <w:t>公司通过近几年的探索与实践，逐步形成了较为成熟的投后管理理念与方法。</w:t>
      </w:r>
    </w:p>
    <w:p>
      <w:pPr>
        <w:pStyle w:val="3"/>
        <w:spacing w:before="300" w:after="120" w:line="288" w:lineRule="auto"/>
        <w:ind w:left="0"/>
        <w:jc w:val="center"/>
        <w:outlineLvl w:val="2"/>
      </w:pPr>
      <w:bookmarkStart w:name="heading_33" w:id="33"/>
      <w:r>
        <w:rPr>
          <w:rFonts w:eastAsia="等线" w:ascii="Arial" w:cs="Arial" w:hAnsi="Arial"/>
          <w:b w:val="true"/>
          <w:sz w:val="30"/>
        </w:rPr>
        <w:t>第一节 投后管理理念与方法论</w:t>
      </w:r>
      <w:bookmarkEnd w:id="33"/>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投后管理的概念</w:t>
      </w:r>
    </w:p>
    <w:p>
      <w:pPr>
        <w:spacing w:before="120" w:after="120" w:line="288" w:lineRule="auto"/>
        <w:ind w:left="0" w:firstLine="420"/>
        <w:jc w:val="left"/>
      </w:pPr>
      <w:r>
        <w:rPr>
          <w:rFonts w:eastAsia="等线" w:ascii="Arial" w:cs="Arial" w:hAnsi="Arial"/>
          <w:sz w:val="22"/>
        </w:rPr>
        <w:t>投后管理是项目投资全生命周期的重要组成部分，通常包括股权投资机构对所投企业进行风险监控，并通过自身优势和资源协助所投企业规范企业治理，为其提供各项增值服务等一系列活动。</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投后管理的意义</w:t>
      </w:r>
    </w:p>
    <w:p>
      <w:pPr>
        <w:spacing w:before="120" w:after="120" w:line="288" w:lineRule="auto"/>
        <w:ind w:left="0" w:firstLine="420"/>
        <w:jc w:val="left"/>
      </w:pPr>
      <w:r>
        <w:rPr>
          <w:rFonts w:eastAsia="等线" w:ascii="Arial" w:cs="Arial" w:hAnsi="Arial"/>
          <w:sz w:val="22"/>
        </w:rPr>
        <w:t>（一）风险监控是投后管理的重要功能，有效的投后管理有助于及时发现风险，做好风险防范预案（包括紧急和突发事件）和应对措施。</w:t>
      </w:r>
    </w:p>
    <w:p>
      <w:pPr>
        <w:spacing w:before="120" w:after="120" w:line="288" w:lineRule="auto"/>
        <w:ind w:left="0" w:firstLine="420"/>
        <w:jc w:val="left"/>
      </w:pPr>
      <w:r>
        <w:rPr>
          <w:rFonts w:eastAsia="等线" w:ascii="Arial" w:cs="Arial" w:hAnsi="Arial"/>
          <w:sz w:val="22"/>
        </w:rPr>
        <w:t>（二）投后管理可以反哺投前，通过投后长期跟进、追踪，可以检验投资逻辑，促进投资经理提升投资能力，帮助基金决策机构调整投资与退出策略，从而确保基金退出比率与收益率，募投管退全生命投资周期得以实现良性循环。</w:t>
      </w:r>
    </w:p>
    <w:p>
      <w:pPr>
        <w:spacing w:before="120" w:after="120" w:line="288" w:lineRule="auto"/>
        <w:ind w:left="0" w:firstLine="420"/>
        <w:jc w:val="left"/>
      </w:pPr>
      <w:r>
        <w:rPr>
          <w:rFonts w:eastAsia="等线" w:ascii="Arial" w:cs="Arial" w:hAnsi="Arial"/>
          <w:sz w:val="22"/>
        </w:rPr>
        <w:t>（三）通过投后管理与项目方深入互动发展长期合作关系,创造共赢局面，与产业界、项目过往投资机构建立良好的合作关系。</w:t>
      </w:r>
    </w:p>
    <w:p>
      <w:pPr>
        <w:spacing w:before="120" w:after="120" w:line="288" w:lineRule="auto"/>
        <w:ind w:left="0" w:firstLine="420"/>
        <w:jc w:val="left"/>
      </w:pPr>
      <w:r>
        <w:rPr>
          <w:rFonts w:eastAsia="等线" w:ascii="Arial" w:cs="Arial" w:hAnsi="Arial"/>
          <w:sz w:val="22"/>
        </w:rPr>
        <w:t>（四）通过高质量的投后管理规范企业经营，提高企业经营管理水平；协助对接融资、市场等各类资源，促进企业发展，为顺利退出奠定良好的基础。</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投后管理应自投前即开始铺垫并持续延伸，直至项目完全退出。项目部在最初接触创业方时就应注意向对方传递公司企业文化与投后管理理念，在长期陪跑过程中逐渐建立信任与默契。</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投后管理的核心在于企业管理能力，首要问题是了解所投领域的企业管理，否则无法做好投后管理。投资经理要认真学习所投领域企业管理基础知识，并经常深入行业标杆企业实地学习，以做到知己知彼。</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color w:val="d83931"/>
          <w:sz w:val="22"/>
        </w:rPr>
        <w:t xml:space="preserve"> </w:t>
      </w:r>
      <w:r>
        <w:rPr>
          <w:rFonts w:eastAsia="等线" w:ascii="Arial" w:cs="Arial" w:hAnsi="Arial"/>
          <w:sz w:val="22"/>
        </w:rPr>
        <w:t>重视与创业者的沟通，处理好与创始人及创始团队的关系。如果双方能建立顺畅的沟通机制，创业者对我们具有较高的信任程度，我们就更容易获取关于所投企业较为真实的一手信息，并藉此提出合理的建议，创业者也会更积极地参考我们的意见，从而有助于加强我们对所投企业的影响力，以及建议和监督的有效实施。</w:t>
      </w:r>
    </w:p>
    <w:p>
      <w:pPr>
        <w:spacing w:before="120" w:after="120" w:line="288" w:lineRule="auto"/>
        <w:ind w:left="0" w:firstLine="420"/>
        <w:jc w:val="left"/>
      </w:pPr>
      <w:r>
        <w:rPr>
          <w:rFonts w:eastAsia="等线" w:ascii="Arial" w:cs="Arial" w:hAnsi="Arial"/>
          <w:sz w:val="22"/>
        </w:rPr>
        <w:t>沟通过程中，项目部应充分尊重创始团队意见，但如遇重大分歧，以风控部的名义给出最后意见。</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color w:val="d83931"/>
          <w:sz w:val="22"/>
        </w:rPr>
        <w:t xml:space="preserve"> </w:t>
      </w:r>
      <w:r>
        <w:rPr>
          <w:rFonts w:eastAsia="等线" w:ascii="Arial" w:cs="Arial" w:hAnsi="Arial"/>
          <w:sz w:val="22"/>
        </w:rPr>
        <w:t>加强与其他投资方股东、董事、监事的沟通，及时了解其对所投企业发展的看法与判断，及时了解行业动态和技术发展情况，了解后端投资方的特点，借鉴其优秀的投后管理理念与模式；同时借助与各方建立的良好关系，更好地发挥对企业的影响力。</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投后管理是动态管理的过程。</w:t>
      </w:r>
    </w:p>
    <w:p>
      <w:pPr>
        <w:numPr>
          <w:numId w:val="190"/>
        </w:numPr>
        <w:spacing w:before="120" w:after="120" w:line="288" w:lineRule="auto"/>
        <w:ind w:left="453"/>
        <w:jc w:val="left"/>
      </w:pPr>
      <w:r>
        <w:rPr>
          <w:rFonts w:eastAsia="等线" w:ascii="Arial" w:cs="Arial" w:hAnsi="Arial"/>
          <w:sz w:val="22"/>
        </w:rPr>
        <w:t>根据创业者的性格、成熟度与创业状态，来调整投后管理方式，对不同的创业者采用不同的沟通模式，对同一创业者也要根据其不同处境调整投后管理风格；</w:t>
      </w:r>
    </w:p>
    <w:p>
      <w:pPr>
        <w:spacing w:before="120" w:after="120" w:line="288" w:lineRule="auto"/>
        <w:ind w:left="0" w:firstLine="420"/>
        <w:jc w:val="left"/>
      </w:pPr>
      <w:r>
        <w:rPr>
          <w:rFonts w:eastAsia="等线" w:ascii="Arial" w:cs="Arial" w:hAnsi="Arial"/>
          <w:sz w:val="22"/>
        </w:rPr>
        <w:t>（二） 根据所投企业的发展阶段及所处环境适时调整投后管理频率与精力分配；</w:t>
      </w:r>
    </w:p>
    <w:p>
      <w:pPr>
        <w:spacing w:before="120" w:after="120" w:line="288" w:lineRule="auto"/>
        <w:ind w:left="0" w:firstLine="420"/>
        <w:jc w:val="left"/>
      </w:pPr>
      <w:r>
        <w:rPr>
          <w:rFonts w:eastAsia="等线" w:ascii="Arial" w:cs="Arial" w:hAnsi="Arial"/>
          <w:sz w:val="22"/>
        </w:rPr>
        <w:t>（三） 密切关注所投企业其与竞争对手的竞争互动，加强行业分析（竞对、上下游调研等），及时评估企业经营环境。</w:t>
      </w:r>
    </w:p>
    <w:p>
      <w:pPr>
        <w:spacing w:before="120" w:after="120" w:line="288" w:lineRule="auto"/>
        <w:ind w:left="0" w:firstLine="0"/>
        <w:jc w:val="left"/>
      </w:pPr>
      <w:r>
        <w:rPr>
          <w:rFonts w:eastAsia="等线" w:ascii="Arial" w:cs="Arial" w:hAnsi="Arial"/>
          <w:b w:val="true"/>
          <w:sz w:val="22"/>
        </w:rPr>
        <w:t xml:space="preserve">    第八条 </w:t>
      </w:r>
      <w:r>
        <w:rPr>
          <w:rFonts w:eastAsia="等线" w:ascii="Arial" w:cs="Arial" w:hAnsi="Arial"/>
          <w:sz w:val="22"/>
        </w:rPr>
        <w:t>投后管理的主要执行主体是项目部，项目部依据《投资协议》、《公司章程》和相关法律法规的规定履行投后管理职责，投后管理的核心内容是监督、规范与帮助。</w:t>
      </w:r>
    </w:p>
    <w:p>
      <w:pPr>
        <w:spacing w:before="120" w:after="120" w:line="288" w:lineRule="auto"/>
        <w:ind w:left="0" w:firstLine="0"/>
        <w:jc w:val="left"/>
      </w:pPr>
      <w:r>
        <w:rPr>
          <w:rFonts w:eastAsia="等线" w:ascii="Arial" w:cs="Arial" w:hAnsi="Arial"/>
          <w:b w:val="true"/>
          <w:sz w:val="22"/>
        </w:rPr>
        <w:t xml:space="preserve">    第九条 </w:t>
      </w:r>
      <w:r>
        <w:rPr>
          <w:rFonts w:eastAsia="等线" w:ascii="Arial" w:cs="Arial" w:hAnsi="Arial"/>
          <w:sz w:val="22"/>
        </w:rPr>
        <w:t>投后管理的主要平台是投后管理讨论会。</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投后管理的主要决策机构是投后管理小组及扩大会，各机构按照相关制度的规定在各自职权范围内进行决策。</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如需要向被投企业出具投后管理意见，由投后管理小组提出方案并经扩大会审查确认后，以风控部名义出具具体意见或建议，通过股东、董事、监事议案形式提交至被投企业。</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项目部开展投后管理工作时，应该遵循了解、分析、解决、总结问题的总体思路，同时运用决策、执行、监督相互制约与协调的内部管理机制，解决权力集中、缺乏有效监督及执行不力等问题。</w:t>
      </w:r>
    </w:p>
    <w:p>
      <w:pPr>
        <w:spacing w:before="120" w:after="120" w:line="288" w:lineRule="auto"/>
        <w:ind w:left="0" w:firstLine="420"/>
        <w:jc w:val="left"/>
      </w:pPr>
      <w:r>
        <w:rPr>
          <w:rFonts w:eastAsia="等线" w:ascii="Arial" w:cs="Arial" w:hAnsi="Arial"/>
          <w:sz w:val="22"/>
        </w:rPr>
        <w:t>（一）  项目部应该熟悉所投企业历次投资协议内容和章程，熟悉手中权力和肩上责任，这是有效开展投后管理工作的基础；</w:t>
      </w:r>
    </w:p>
    <w:p>
      <w:pPr>
        <w:spacing w:before="120" w:after="120" w:line="288" w:lineRule="auto"/>
        <w:ind w:left="0" w:firstLine="420"/>
        <w:jc w:val="left"/>
      </w:pPr>
      <w:r>
        <w:rPr>
          <w:rFonts w:eastAsia="等线" w:ascii="Arial" w:cs="Arial" w:hAnsi="Arial"/>
          <w:sz w:val="22"/>
        </w:rPr>
        <w:t>（二） 投后管理中发现问题的渠道为日常投后管理和投后管理审查。</w:t>
      </w:r>
    </w:p>
    <w:p>
      <w:pPr>
        <w:spacing w:before="120" w:after="120" w:line="288" w:lineRule="auto"/>
        <w:ind w:left="0" w:firstLine="420"/>
        <w:jc w:val="left"/>
      </w:pPr>
      <w:r>
        <w:rPr>
          <w:rFonts w:eastAsia="等线" w:ascii="Arial" w:cs="Arial" w:hAnsi="Arial"/>
          <w:sz w:val="22"/>
        </w:rPr>
        <w:t>项目部须保持对所投企业所处行业、市场、上下游产业链以及资本市场等的持续关注与分析，根据投后管理分工报告模板列示内容，根据内部分工从不同的维度定期与所投企业交流，了解相关信息，在投后管理讨论会上进行汇报，针对相关问题进行分析并拟订初步方案，供各决策机构讨论；</w:t>
      </w:r>
    </w:p>
    <w:p>
      <w:pPr>
        <w:spacing w:before="120" w:after="120" w:line="288" w:lineRule="auto"/>
        <w:ind w:left="0" w:firstLine="420"/>
        <w:jc w:val="left"/>
      </w:pPr>
      <w:r>
        <w:rPr>
          <w:rFonts w:eastAsia="等线" w:ascii="Arial" w:cs="Arial" w:hAnsi="Arial"/>
          <w:sz w:val="22"/>
        </w:rPr>
        <w:t>风控部对所投企业进行投后管理审查，对项目部的投后管理履职情况出具审查意见、改进建议，并结合投后管理讨论会汇报内容、审查中发现的问题与项目部沟通，以强化项目部投后管理能力、促进被投企业保持良性发展、降低投资风险；</w:t>
      </w:r>
    </w:p>
    <w:p>
      <w:pPr>
        <w:spacing w:before="120" w:after="120" w:line="288" w:lineRule="auto"/>
        <w:ind w:left="0" w:firstLine="420"/>
        <w:jc w:val="left"/>
      </w:pPr>
      <w:r>
        <w:rPr>
          <w:rFonts w:eastAsia="等线" w:ascii="Arial" w:cs="Arial" w:hAnsi="Arial"/>
          <w:sz w:val="22"/>
        </w:rPr>
        <w:t>（三）投后小组与扩大会根据日常投后管理情况及企业审查意见，分别对相关事项进行决策；</w:t>
      </w:r>
    </w:p>
    <w:p>
      <w:pPr>
        <w:spacing w:before="120" w:after="120" w:line="288" w:lineRule="auto"/>
        <w:ind w:left="0" w:firstLine="420"/>
        <w:jc w:val="left"/>
      </w:pPr>
      <w:r>
        <w:rPr>
          <w:rFonts w:eastAsia="等线" w:ascii="Arial" w:cs="Arial" w:hAnsi="Arial"/>
          <w:sz w:val="22"/>
        </w:rPr>
        <w:t>（四） 由项目部给所投企业传达决策意见，或根据决策内容由委派董事、监事向所投企业三会提交议案；</w:t>
      </w:r>
    </w:p>
    <w:p>
      <w:pPr>
        <w:spacing w:before="120" w:after="120" w:line="288" w:lineRule="auto"/>
        <w:ind w:left="0" w:firstLine="420"/>
        <w:jc w:val="left"/>
      </w:pPr>
      <w:r>
        <w:rPr>
          <w:rFonts w:eastAsia="等线" w:ascii="Arial" w:cs="Arial" w:hAnsi="Arial"/>
          <w:sz w:val="22"/>
        </w:rPr>
        <w:t>（五） 风控部负责监督前述执行情况，监督工作须贯彻投后管理的全程；</w:t>
      </w:r>
    </w:p>
    <w:p>
      <w:pPr>
        <w:spacing w:before="120" w:after="120" w:line="288" w:lineRule="auto"/>
        <w:ind w:left="0" w:firstLine="420"/>
        <w:jc w:val="left"/>
      </w:pPr>
      <w:r>
        <w:rPr>
          <w:rFonts w:eastAsia="等线" w:ascii="Arial" w:cs="Arial" w:hAnsi="Arial"/>
          <w:sz w:val="22"/>
        </w:rPr>
        <w:t>风控部负责已投项目报表提交情况，关联提示负责人变更为风控负责人</w:t>
      </w:r>
    </w:p>
    <w:p>
      <w:pPr>
        <w:spacing w:before="120" w:after="120" w:line="288" w:lineRule="auto"/>
        <w:ind w:left="0" w:firstLine="420"/>
        <w:jc w:val="left"/>
      </w:pPr>
      <w:r>
        <w:rPr>
          <w:rFonts w:eastAsia="等线" w:ascii="Arial" w:cs="Arial" w:hAnsi="Arial"/>
          <w:sz w:val="22"/>
        </w:rPr>
        <w:t>（六） 项目年度总结时，项目部应针对投后管理过程中的具体案例进行复盘，将代表性问题进行归纳总结后在内部进行分享，并完善相关规章制度，同时为后续制定退出方案提供依据；</w:t>
      </w:r>
    </w:p>
    <w:p>
      <w:pPr>
        <w:spacing w:before="120" w:after="120" w:line="288" w:lineRule="auto"/>
        <w:ind w:left="0" w:firstLine="420"/>
        <w:jc w:val="left"/>
      </w:pPr>
      <w:r>
        <w:rPr>
          <w:rFonts w:eastAsia="等线" w:ascii="Arial" w:cs="Arial" w:hAnsi="Arial"/>
          <w:sz w:val="22"/>
        </w:rPr>
        <w:t>定期的知识分享一方面有利于投后管理团队吸纳经验，另一方面也能促成公司的内部学习体系，从而提升团队的整体专业能力。</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34" w:id="34"/>
      <w:r>
        <w:rPr>
          <w:rFonts w:eastAsia="等线" w:ascii="Arial" w:cs="Arial" w:hAnsi="Arial"/>
          <w:b w:val="true"/>
          <w:sz w:val="30"/>
        </w:rPr>
        <w:t>第二节 投后管理的主体及职责</w:t>
      </w:r>
      <w:bookmarkEnd w:id="34"/>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为了有效提升公司投后管理水平，持续探索科学的投后管理机制，有力把控所投企业的经营管理风险，切实保障公司投资权益增值，特制定本制度。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良好的投后管理为企业发展带来更好的帮助和提升，将会降低投资风险和提高投资回报率。</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本制度适用于所有公司、公司管理或公司关联基金的已投项目中未全部退出的项目。</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公司依据《合伙协议》履行基金管理人的职责。由公司提名并经所投企业股东会选举后，公司和基金依据投资协议向所投企业委派董事、监事或董事会观察员，优先委派项目协调人或投资经理任董事、监事、股东代表或董事会观察员，代表公司和基金在所投企业股东会、董事会或监事会进行表决。</w:t>
      </w:r>
    </w:p>
    <w:p>
      <w:pPr>
        <w:spacing w:before="120" w:after="120" w:line="288" w:lineRule="auto"/>
        <w:ind w:left="0" w:firstLine="420"/>
        <w:jc w:val="left"/>
      </w:pPr>
      <w:r>
        <w:rPr>
          <w:rFonts w:eastAsia="等线" w:ascii="Arial" w:cs="Arial" w:hAnsi="Arial"/>
          <w:sz w:val="22"/>
        </w:rPr>
        <w:t>项目部成员负责所投企业的投后管理及风控部审查意见的执行，风控部负责对投后管理各项工作的监督、指导和审查，投后管理小组参与投后管理讨论会，所投企业投后管理培训、相关投后管理事项的决策、针对追加投资出具前置意见等工作。</w:t>
      </w:r>
    </w:p>
    <w:p>
      <w:pPr>
        <w:spacing w:before="120" w:after="120" w:line="288" w:lineRule="auto"/>
        <w:ind w:left="0" w:firstLine="420"/>
        <w:jc w:val="left"/>
      </w:pPr>
      <w:r>
        <w:rPr>
          <w:rFonts w:eastAsia="等线" w:ascii="Arial" w:cs="Arial" w:hAnsi="Arial"/>
          <w:sz w:val="22"/>
        </w:rPr>
        <w:t xml:space="preserve">公司聘请的外部专业顾问对所投企业的经营管理与重大决策提供专业意见。 </w:t>
      </w:r>
    </w:p>
    <w:p>
      <w:pPr>
        <w:spacing w:before="120" w:after="120" w:line="288" w:lineRule="auto"/>
        <w:ind w:left="0" w:firstLine="420"/>
        <w:jc w:val="left"/>
      </w:pPr>
      <w:r>
        <w:rPr>
          <w:rFonts w:eastAsia="等线" w:ascii="Arial" w:cs="Arial" w:hAnsi="Arial"/>
          <w:sz w:val="22"/>
        </w:rPr>
        <w:t>项目部可根据公司资源库等资源为所投企业提供投后增值服务，或视情况对其经营管理与重大决策提供专业意见，也可以在公司组织外部专家顾问培训时，根据培训内容邀请所投企业参加。</w:t>
      </w:r>
    </w:p>
    <w:p>
      <w:pPr>
        <w:spacing w:before="120" w:after="120" w:line="288" w:lineRule="auto"/>
        <w:ind w:left="0" w:firstLine="420"/>
        <w:jc w:val="left"/>
      </w:pPr>
      <w:r>
        <w:rPr>
          <w:rFonts w:eastAsia="等线" w:ascii="Arial" w:cs="Arial" w:hAnsi="Arial"/>
          <w:sz w:val="22"/>
        </w:rPr>
        <w:t>所投企业经营困难的，项目部应倾注精力对其加大管理和帮助的力度，对于懈怠管理的，经常务董事扩大会讨论，董事会批准后中止该项目部成员调研新项目。项目部成员满足管理要求后，可向董事会申请继续调研新项目。</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委派人员的任期由所投企业章程规定。委派人员任期届满，由项目经理报扩大会批准是否可以继续向所投企业委派。</w:t>
      </w:r>
    </w:p>
    <w:p>
      <w:pPr>
        <w:spacing w:before="120" w:after="120" w:line="288" w:lineRule="auto"/>
        <w:ind w:left="0" w:firstLine="420"/>
        <w:jc w:val="left"/>
      </w:pPr>
      <w:r>
        <w:rPr>
          <w:rFonts w:eastAsia="等线" w:ascii="Arial" w:cs="Arial" w:hAnsi="Arial"/>
          <w:sz w:val="22"/>
        </w:rPr>
        <w:t>若委派人员不能胜任或无法履行其职责和义务，基金管理人应书面通知所投企业更换。在新的任职人选到任之前，原委派人员仍须履行相应职责。</w:t>
      </w:r>
    </w:p>
    <w:p>
      <w:pPr>
        <w:spacing w:before="120" w:after="120" w:line="288" w:lineRule="auto"/>
        <w:ind w:left="0" w:firstLine="420"/>
        <w:jc w:val="left"/>
      </w:pPr>
      <w:r>
        <w:rPr>
          <w:rFonts w:eastAsia="等线" w:ascii="Arial" w:cs="Arial" w:hAnsi="Arial"/>
          <w:sz w:val="22"/>
        </w:rPr>
        <w:t>委派人员须按照《公司法》、所投企业《章程》及本制度的规定行使职权。</w:t>
      </w:r>
    </w:p>
    <w:p>
      <w:pPr>
        <w:spacing w:before="120" w:after="120" w:line="288" w:lineRule="auto"/>
        <w:ind w:left="0" w:firstLine="420"/>
        <w:jc w:val="left"/>
      </w:pPr>
      <w:r>
        <w:rPr>
          <w:rFonts w:eastAsia="等线" w:ascii="Arial" w:cs="Arial" w:hAnsi="Arial"/>
          <w:sz w:val="22"/>
        </w:rPr>
        <w:t>委派人员须遵循诚实守信、勤勉尽责的原则并依据基金管理人的意见行使表决权，不得擅权。</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项目部成员中途变更，新老项目部成员需做好投后管理工作的交接，新任项目部人员须尽快熟悉并充分了解项目所有档案、项目发展现状及投后管理注意事项等，以确保投后管理工作的顺利接续；过渡期间协调人共同参与并帮助熟悉项目。</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投后管理实行项目部分工负责制。如出现重大投后管理责任事故，公司将对责任人进行追责。</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为加强投后管理力度，成立投后小组，具体分组原则及名单参照《投后管理制度》的相关规定，投后小组主要履行以下职责：</w:t>
      </w:r>
    </w:p>
    <w:p>
      <w:pPr>
        <w:spacing w:before="120" w:after="120" w:line="288" w:lineRule="auto"/>
        <w:ind w:left="0" w:firstLine="0"/>
        <w:jc w:val="left"/>
      </w:pPr>
      <w:r>
        <w:rPr>
          <w:rFonts w:eastAsia="等线" w:ascii="Arial" w:cs="Arial" w:hAnsi="Arial"/>
          <w:sz w:val="22"/>
        </w:rPr>
        <w:t xml:space="preserve">    （一）负责出席有关项目的投后管理讨论会；</w:t>
      </w:r>
    </w:p>
    <w:p>
      <w:pPr>
        <w:spacing w:before="120" w:after="120" w:line="288" w:lineRule="auto"/>
        <w:ind w:left="0" w:firstLine="420"/>
        <w:jc w:val="left"/>
      </w:pPr>
      <w:r>
        <w:rPr>
          <w:rFonts w:eastAsia="等线" w:ascii="Arial" w:cs="Arial" w:hAnsi="Arial"/>
          <w:sz w:val="22"/>
        </w:rPr>
        <w:t>（二）负责对所投企业后续轮融资方案、融资相关协议、三会表决意见、重大经营合同等事项进行审查并提出意见，对于涉及的重大事项，包括但不限于一票否决、董监事席位、回购、估值调整、经营战略调整等事项由投后管理小组提出意见提交扩大会决策。需扩大会决策的事项，需在投后群收到所有扩大会成员的明确意见后，才可以走审批流程。</w:t>
      </w:r>
    </w:p>
    <w:p>
      <w:pPr>
        <w:spacing w:before="120" w:after="120" w:line="288" w:lineRule="auto"/>
        <w:ind w:left="0" w:firstLine="420"/>
        <w:jc w:val="left"/>
      </w:pPr>
      <w:r>
        <w:rPr>
          <w:rFonts w:eastAsia="等线" w:ascii="Arial" w:cs="Arial" w:hAnsi="Arial"/>
          <w:sz w:val="22"/>
        </w:rPr>
        <w:t>（三）负责对除须经董事会直接审议、确定之外的其他相关投后事项进行审议并提出意见；</w:t>
      </w:r>
    </w:p>
    <w:p>
      <w:pPr>
        <w:spacing w:before="120" w:after="120" w:line="288" w:lineRule="auto"/>
        <w:ind w:left="0" w:firstLine="420"/>
        <w:jc w:val="left"/>
      </w:pPr>
      <w:r>
        <w:rPr>
          <w:rFonts w:eastAsia="等线" w:ascii="Arial" w:cs="Arial" w:hAnsi="Arial"/>
          <w:sz w:val="22"/>
        </w:rPr>
        <w:t>（四）负责共同参与建立形成投后管理系统工具，用以具体指导投后管理工作；</w:t>
      </w:r>
    </w:p>
    <w:p>
      <w:pPr>
        <w:spacing w:before="120" w:after="120" w:line="288" w:lineRule="auto"/>
        <w:ind w:left="0" w:firstLine="420"/>
        <w:jc w:val="left"/>
      </w:pPr>
      <w:r>
        <w:rPr>
          <w:rFonts w:eastAsia="等线" w:ascii="Arial" w:cs="Arial" w:hAnsi="Arial"/>
          <w:sz w:val="22"/>
        </w:rPr>
        <w:t>（五）扩大会授权通过的其他事宜。</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35" w:id="35"/>
      <w:r>
        <w:rPr>
          <w:rFonts w:eastAsia="等线" w:ascii="Arial" w:cs="Arial" w:hAnsi="Arial"/>
          <w:b w:val="true"/>
          <w:sz w:val="30"/>
        </w:rPr>
        <w:t>第三节 投后管理流程</w:t>
      </w:r>
      <w:bookmarkEnd w:id="35"/>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投资协议签署后，项目部按照《投后管理沟通》相关规定协调项目方参加投后管理沟通会。</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原则上投资协议签署并打款交割一个月后开始投后管理工作，项目部成员按照分工每月依据《投后管理分工报告模板》内容与企业相关人员对接并交流。与所投企业交流前，项目部成员就所投企业提供的财务报表、合同台账等各类信息作出标注，沟通时重点关注。项目部成员按照分工分别与所投企业相关人员对接并进行交流，必要时由协调人协调签约会计师事务所及律师事务所协助。交流结束后，项目部按照《会议合作管理制度》的相关要求组织召开投后管理讨论会。</w:t>
      </w:r>
    </w:p>
    <w:p>
      <w:pPr>
        <w:spacing w:before="120" w:after="120" w:line="288" w:lineRule="auto"/>
        <w:ind w:left="0" w:firstLine="420"/>
        <w:jc w:val="left"/>
      </w:pPr>
      <w:r>
        <w:rPr>
          <w:rFonts w:eastAsia="等线" w:ascii="Arial" w:cs="Arial" w:hAnsi="Arial"/>
          <w:sz w:val="22"/>
        </w:rPr>
        <w:t>原则上公司办公室设立地之外的项目每季度最少进行一次实地投后管理，但每月仍需进行线上交流。</w:t>
      </w:r>
    </w:p>
    <w:p>
      <w:pPr>
        <w:spacing w:before="120" w:after="120" w:line="288" w:lineRule="auto"/>
        <w:ind w:left="0" w:firstLine="420"/>
        <w:jc w:val="left"/>
      </w:pPr>
      <w:r>
        <w:rPr>
          <w:rFonts w:eastAsia="等线" w:ascii="Arial" w:cs="Arial" w:hAnsi="Arial"/>
          <w:sz w:val="22"/>
        </w:rPr>
        <w:t>所投企业完成一轮有效后续轮融资（融资额度不少于500万）后，每季度做一次投后管理，季度投后定在1、4、7、10月。受让老股项目，视同当轮投资阶段。</w:t>
      </w:r>
    </w:p>
    <w:p>
      <w:pPr>
        <w:spacing w:before="120" w:after="120" w:line="288" w:lineRule="auto"/>
        <w:ind w:left="0" w:firstLine="420"/>
        <w:jc w:val="left"/>
      </w:pPr>
      <w:r>
        <w:rPr>
          <w:rFonts w:eastAsia="等线" w:ascii="Arial" w:cs="Arial" w:hAnsi="Arial"/>
          <w:sz w:val="22"/>
        </w:rPr>
        <w:t>前述投后管理（含投后管理讨论会）频率为原则性规定，具体到每个项目，由项目部根据其发展情况及融资轮次，并结合企业审查意见拟订，提交投后小组讨论确定给出最终意见。</w:t>
      </w:r>
    </w:p>
    <w:p>
      <w:pPr>
        <w:spacing w:before="120" w:after="120" w:line="288" w:lineRule="auto"/>
        <w:ind w:left="0" w:firstLine="420"/>
        <w:jc w:val="left"/>
      </w:pPr>
      <w:r>
        <w:rPr>
          <w:rFonts w:eastAsia="等线" w:ascii="Arial" w:cs="Arial" w:hAnsi="Arial"/>
          <w:sz w:val="22"/>
        </w:rPr>
        <w:t>项目方每年的股东会召开后，投后管理人员以PPT的形式展示该已投项目年度总结报告，包括但不限于企业上年度融资情况、业务发展状况、研发进度、下年发展目标、未来战略调整等，重点总结公司对提供了哪些帮助和资源。</w:t>
      </w:r>
    </w:p>
    <w:p>
      <w:pPr>
        <w:numPr>
          <w:numId w:val="191"/>
        </w:numPr>
        <w:spacing w:before="120" w:after="120" w:line="288" w:lineRule="auto"/>
        <w:ind w:left="453"/>
        <w:jc w:val="left"/>
      </w:pPr>
      <w:r>
        <w:rPr>
          <w:rFonts w:eastAsia="等线" w:ascii="Arial" w:cs="Arial" w:hAnsi="Arial"/>
          <w:sz w:val="22"/>
        </w:rPr>
        <w:t>项目部根据《风险控制管理制度》的相关规定，将风控部审查所需文件上传至投资云。</w:t>
      </w:r>
    </w:p>
    <w:p>
      <w:pPr>
        <w:numPr>
          <w:numId w:val="192"/>
        </w:numPr>
        <w:spacing w:before="120" w:after="120" w:line="288" w:lineRule="auto"/>
        <w:ind w:left="453"/>
        <w:jc w:val="left"/>
      </w:pPr>
      <w:r>
        <w:rPr>
          <w:rFonts w:eastAsia="等线" w:ascii="Arial" w:cs="Arial" w:hAnsi="Arial"/>
          <w:sz w:val="22"/>
        </w:rPr>
        <w:t>每年十二月份在当年企业投后管理审查结束后，风控部结合审查情况确定是否需进行投后管理培训并确定培训的企业名单与日程，项目部应根据《投后风险控制管理》的相关规定协调项目方参加投后管理培训。</w:t>
      </w:r>
    </w:p>
    <w:p>
      <w:pPr>
        <w:numPr>
          <w:numId w:val="193"/>
        </w:numPr>
        <w:spacing w:before="120" w:after="120" w:line="288" w:lineRule="auto"/>
        <w:ind w:left="453"/>
        <w:jc w:val="left"/>
      </w:pPr>
      <w:r>
        <w:rPr>
          <w:rFonts w:eastAsia="等线" w:ascii="Arial" w:cs="Arial" w:hAnsi="Arial"/>
          <w:sz w:val="22"/>
        </w:rPr>
        <w:t>在投后管理过程中的重大事项，由项目部申请召开投后管理讨论会（含临时），最终由投后管理小组或者常务董事扩大会做出最终决策。会议决策意见参考风控制度规定进行分类并由特定人员以特定形式向被投企业传达。</w:t>
      </w:r>
    </w:p>
    <w:p>
      <w:pPr>
        <w:numPr>
          <w:numId w:val="194"/>
        </w:numPr>
        <w:spacing w:before="120" w:after="120" w:line="288" w:lineRule="auto"/>
        <w:ind w:left="453"/>
        <w:jc w:val="left"/>
      </w:pPr>
      <w:r>
        <w:rPr>
          <w:rFonts w:eastAsia="等线" w:ascii="Arial" w:cs="Arial" w:hAnsi="Arial"/>
          <w:sz w:val="22"/>
        </w:rPr>
        <w:t>项目转入投资云的“已投公司”后，项目部应于1个月内在投资云中录入以下内容：历史融资情况、本轮融资融资情况和资金流水以及后续新融资情况。</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36" w:id="36"/>
      <w:r>
        <w:rPr>
          <w:rFonts w:eastAsia="等线" w:ascii="Arial" w:cs="Arial" w:hAnsi="Arial"/>
          <w:b w:val="true"/>
          <w:sz w:val="30"/>
        </w:rPr>
        <w:t>第四节 投后管理内容</w:t>
      </w:r>
      <w:bookmarkEnd w:id="36"/>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合作分工</w:t>
      </w:r>
    </w:p>
    <w:p>
      <w:pPr>
        <w:spacing w:before="120" w:after="120" w:line="288" w:lineRule="auto"/>
        <w:ind w:left="0" w:firstLine="420"/>
        <w:jc w:val="left"/>
      </w:pPr>
      <w:r>
        <w:rPr>
          <w:rFonts w:eastAsia="等线" w:ascii="Arial" w:cs="Arial" w:hAnsi="Arial"/>
          <w:sz w:val="22"/>
        </w:rPr>
        <w:t>投资管理一、二部成员主要负责研发、生产、市场、销售、团队等方面的事项；投资管理三部成员主要负责生产、企业管理、财务、法律、团队方面的事项；后续轮融资等其他事项由项目部共同负责。项目成员应共享所有信息，确保及时有效沟通。</w:t>
      </w:r>
    </w:p>
    <w:p>
      <w:pPr>
        <w:spacing w:before="120" w:after="120" w:line="288" w:lineRule="auto"/>
        <w:ind w:left="0" w:firstLine="420"/>
        <w:jc w:val="left"/>
      </w:pPr>
      <w:r>
        <w:rPr>
          <w:rFonts w:eastAsia="等线" w:ascii="Arial" w:cs="Arial" w:hAnsi="Arial"/>
          <w:sz w:val="22"/>
        </w:rPr>
        <w:t>项目部须不定期实地考察所投企业的研发、销售、生产、施工、招投标等情况。</w:t>
      </w:r>
    </w:p>
    <w:p>
      <w:pPr>
        <w:spacing w:before="120" w:after="120" w:line="288" w:lineRule="auto"/>
        <w:ind w:left="0" w:firstLine="420"/>
        <w:jc w:val="left"/>
      </w:pPr>
      <w:r>
        <w:rPr>
          <w:rFonts w:eastAsia="等线" w:ascii="Arial" w:cs="Arial" w:hAnsi="Arial"/>
          <w:sz w:val="22"/>
        </w:rPr>
        <w:t>项目部须尽快熟悉项目所在地（含分公司、子公司）国家级或者省市区级人才、科技、税收以及各种补贴、各种优惠政策，并了解项目方申请的具体情况，如未申请，可与项目方沟通了解原因。项目部应结合实际情况进行政策筛选并就上述事项在投后管理讨论会上进行汇报讨论。</w:t>
      </w:r>
    </w:p>
    <w:p>
      <w:pPr>
        <w:spacing w:before="120" w:after="120" w:line="288" w:lineRule="auto"/>
        <w:ind w:left="0" w:firstLine="420"/>
        <w:jc w:val="left"/>
      </w:pPr>
      <w:r>
        <w:rPr>
          <w:rFonts w:eastAsia="等线" w:ascii="Arial" w:cs="Arial" w:hAnsi="Arial"/>
          <w:sz w:val="22"/>
        </w:rPr>
        <w:t>项目部应关注与项目有关的其他事项，例如核心团队稳定性，团队契合度是否发生变化等。</w:t>
      </w:r>
    </w:p>
    <w:p>
      <w:pPr>
        <w:spacing w:before="120" w:after="120" w:line="288" w:lineRule="auto"/>
        <w:ind w:left="0" w:firstLine="420"/>
        <w:jc w:val="left"/>
      </w:pPr>
      <w:r>
        <w:rPr>
          <w:rFonts w:eastAsia="等线" w:ascii="Arial" w:cs="Arial" w:hAnsi="Arial"/>
          <w:sz w:val="22"/>
        </w:rPr>
        <w:t>所投项目应每季度（2、5、8、10月）录入项目的财务和运营情况。录入内容详见投资云中的模板。录入人员由项目部确定，可以为项目部人员，也可以为项目方人员。录入人员以最终留邮箱为准，若是项目方填写项目经理负责确认最后收集情况，录入人员若是项目部人员，项目部填写人进行确认结果。</w:t>
      </w:r>
    </w:p>
    <w:p>
      <w:pPr>
        <w:spacing w:before="120" w:after="120" w:line="288" w:lineRule="auto"/>
        <w:ind w:left="0" w:firstLine="420"/>
        <w:jc w:val="left"/>
      </w:pPr>
      <w:r>
        <w:rPr>
          <w:rFonts w:eastAsia="等线" w:ascii="Arial" w:cs="Arial" w:hAnsi="Arial"/>
          <w:sz w:val="22"/>
        </w:rPr>
        <w:t>如所投项目按排期为每月开展投后会的，需在每次投后会举行前，在投资云上传被投企业上一月的财务报表，通过每月的月度跟踪来及时了解其财务情况，以此更及时地对被投企业做好财务跟踪和支持。</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监督</w:t>
      </w:r>
    </w:p>
    <w:p>
      <w:pPr>
        <w:spacing w:before="120" w:after="120" w:line="288" w:lineRule="auto"/>
        <w:ind w:left="0" w:firstLine="420"/>
        <w:jc w:val="left"/>
      </w:pPr>
      <w:r>
        <w:rPr>
          <w:rFonts w:eastAsia="等线" w:ascii="Arial" w:cs="Arial" w:hAnsi="Arial"/>
          <w:sz w:val="22"/>
        </w:rPr>
        <w:t>项目部依据与所投企业签署的《投资协议》与《公司章程》对其履行情况进行跟踪检查，针对违反《投资协议》与《公司章程》的情形在投后管理讨论会上进行汇报。</w:t>
      </w:r>
    </w:p>
    <w:p>
      <w:pPr>
        <w:numPr>
          <w:numId w:val="195"/>
        </w:numPr>
        <w:spacing w:before="120" w:after="120" w:line="288" w:lineRule="auto"/>
        <w:ind w:left="453"/>
        <w:jc w:val="left"/>
      </w:pPr>
      <w:r>
        <w:rPr>
          <w:rFonts w:eastAsia="等线" w:ascii="Arial" w:cs="Arial" w:hAnsi="Arial"/>
          <w:sz w:val="22"/>
        </w:rPr>
        <w:t>规范</w:t>
      </w:r>
    </w:p>
    <w:p>
      <w:pPr>
        <w:spacing w:before="120" w:after="120" w:line="288" w:lineRule="auto"/>
        <w:ind w:left="0" w:firstLine="420"/>
        <w:jc w:val="left"/>
      </w:pPr>
      <w:r>
        <w:rPr>
          <w:rFonts w:eastAsia="等线" w:ascii="Arial" w:cs="Arial" w:hAnsi="Arial"/>
          <w:sz w:val="22"/>
        </w:rPr>
        <w:t>每次投后管理收集最新的企业经营管理（不含技术工艺细节内容）制度并导入飞书平台。</w:t>
      </w:r>
    </w:p>
    <w:p>
      <w:pPr>
        <w:spacing w:before="120" w:after="120" w:line="288" w:lineRule="auto"/>
        <w:ind w:left="0" w:firstLine="420"/>
        <w:jc w:val="left"/>
      </w:pPr>
      <w:r>
        <w:rPr>
          <w:rFonts w:eastAsia="等线" w:ascii="Arial" w:cs="Arial" w:hAnsi="Arial"/>
          <w:sz w:val="22"/>
        </w:rPr>
        <w:t>协助所投企业按照投资协议的要求开展制度建设工作，按照后续轮融资以及挂牌、上市要求分阶段逐步规范治理；协助所投企业建立民主化、动态化的制度建设流程，完善制度监督、执行体系；针对企业经营管理过程中存在的相关问题提出合理化建议。帮助所投企业规避经营管理风险。</w:t>
      </w:r>
    </w:p>
    <w:p>
      <w:pPr>
        <w:spacing w:before="120" w:after="120" w:line="288" w:lineRule="auto"/>
        <w:ind w:left="0" w:firstLine="420"/>
        <w:jc w:val="left"/>
      </w:pPr>
      <w:r>
        <w:rPr>
          <w:rFonts w:eastAsia="等线" w:ascii="Arial" w:cs="Arial" w:hAnsi="Arial"/>
          <w:sz w:val="22"/>
        </w:rPr>
        <w:t>协助所投企业规范公司三会建设，依据所投企业章程的规定召集股东会、董事会及监事会，在三会召开前应当按照公司章程约定的时间提前将需要表决的议案及会议通知发送给参会单位及人员，在会议召开时应做好会议记录并记录表决情况，在会议结束后应形成决议文件，分别由股东、董事、监事签字盖章后做好存档工作。项目部要及时将所投企业三会议案提交公司投后管理小组、扩大会审议，并最终将盖章或签字版本的决议收回并上传飞书系统，对重大事项决策程序及内容形成闭环。</w:t>
      </w:r>
    </w:p>
    <w:p>
      <w:pPr>
        <w:spacing w:before="120" w:after="120" w:line="288" w:lineRule="auto"/>
        <w:ind w:left="0" w:firstLine="420"/>
        <w:jc w:val="left"/>
      </w:pPr>
      <w:r>
        <w:rPr>
          <w:rFonts w:eastAsia="等线" w:ascii="Arial" w:cs="Arial" w:hAnsi="Arial"/>
          <w:sz w:val="22"/>
        </w:rPr>
        <w:t>项目部成员中如没有北京同事，则涉及相关决议文件用印、签字及寄送由印章管理员负责，具体用印份数、盖章主体、寄送地址由用印申请人在用印流程中明确。</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帮助</w:t>
      </w:r>
    </w:p>
    <w:p>
      <w:pPr>
        <w:spacing w:before="120" w:after="120" w:line="288" w:lineRule="auto"/>
        <w:ind w:left="0" w:firstLine="420"/>
        <w:jc w:val="left"/>
      </w:pPr>
      <w:r>
        <w:rPr>
          <w:rFonts w:eastAsia="等线" w:ascii="Arial" w:cs="Arial" w:hAnsi="Arial"/>
          <w:sz w:val="22"/>
        </w:rPr>
        <w:t>（一） 以有偿或无偿形式协助所投企业设计发展路径、对接市场和销售渠道、产业资源、后续轮融资、贷款、地方落地、获取政策支持及帮助所投企业完成并购等。在协助企业进行后续轮融资时，项目融资BP原则上要在融资当月月度会上分享；BP有重大调整或六个月以上未融到资的，要重新分享。</w:t>
      </w:r>
    </w:p>
    <w:p>
      <w:pPr>
        <w:spacing w:before="120" w:after="120" w:line="288" w:lineRule="auto"/>
        <w:ind w:left="0" w:firstLine="420"/>
        <w:jc w:val="left"/>
      </w:pPr>
      <w:r>
        <w:rPr>
          <w:rFonts w:eastAsia="等线" w:ascii="Arial" w:cs="Arial" w:hAnsi="Arial"/>
          <w:sz w:val="22"/>
        </w:rPr>
        <w:t>在月度会分享前，项目部应在飞书投资云的“在融情况”中，录入最新的融资情况。如是历史融资信息或本轮融资已完成，“在融情况”中的“是否最新一轮融资”选项应选择“否”。</w:t>
      </w:r>
    </w:p>
    <w:p>
      <w:pPr>
        <w:spacing w:before="120" w:after="120" w:line="288" w:lineRule="auto"/>
        <w:ind w:left="0" w:firstLine="420"/>
        <w:jc w:val="left"/>
      </w:pPr>
      <w:r>
        <w:rPr>
          <w:rFonts w:eastAsia="等线" w:ascii="Arial" w:cs="Arial" w:hAnsi="Arial"/>
          <w:sz w:val="22"/>
        </w:rPr>
        <w:t>公司员工可以在飞书投资云-已投公司-相关业务-在融情况 中，查看目前所有在融资的项目情况。</w:t>
      </w:r>
    </w:p>
    <w:p>
      <w:pPr>
        <w:numPr>
          <w:numId w:val="196"/>
        </w:numPr>
        <w:spacing w:before="120" w:after="120" w:line="288" w:lineRule="auto"/>
        <w:ind w:left="453"/>
        <w:jc w:val="left"/>
      </w:pPr>
      <w:r>
        <w:rPr>
          <w:rFonts w:eastAsia="等线" w:ascii="Arial" w:cs="Arial" w:hAnsi="Arial"/>
          <w:sz w:val="22"/>
        </w:rPr>
        <w:t>公司全员应积极协助所投企业进行融资、市场、中介等各项资源对接，鼓励项目部以公司名义与所投企业签订有偿服务协议详情参照《附件2475-关于开展有偿投后管理服务的相关材料》融资顾问协议模板详见《附件2476-财务顾问协议模板》。</w:t>
      </w:r>
    </w:p>
    <w:p>
      <w:pPr>
        <w:spacing w:before="120" w:after="120" w:line="288" w:lineRule="auto"/>
        <w:ind w:left="0" w:firstLine="420"/>
        <w:jc w:val="left"/>
      </w:pPr>
      <w:r>
        <w:rPr>
          <w:rFonts w:eastAsia="等线" w:ascii="Arial" w:cs="Arial" w:hAnsi="Arial"/>
          <w:sz w:val="22"/>
        </w:rPr>
        <w:t>（三）公司股东为所投企业引荐销售资源或其他上下游资源时，项目部应充分了解评估后，再向所投企业对接。</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整理</w:t>
      </w:r>
    </w:p>
    <w:p>
      <w:pPr>
        <w:spacing w:before="120" w:after="120" w:line="288" w:lineRule="auto"/>
        <w:ind w:left="0" w:firstLine="420"/>
        <w:jc w:val="left"/>
      </w:pPr>
      <w:r>
        <w:rPr>
          <w:rFonts w:eastAsia="等线" w:ascii="Arial" w:cs="Arial" w:hAnsi="Arial"/>
          <w:sz w:val="22"/>
        </w:rPr>
        <w:t>在飞书建立投后管理资料库，按照投后管理讨论会召开频率上传资料库。</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 xml:space="preserve">附件：  </w:t>
      </w:r>
    </w:p>
    <w:p>
      <w:pPr>
        <w:spacing w:before="120" w:after="120" w:line="288" w:lineRule="auto"/>
        <w:ind w:left="453"/>
        <w:jc w:val="left"/>
      </w:pPr>
      <w:hyperlink r:id="rId28">
        <w:r>
          <w:rPr>
            <w:rFonts w:eastAsia="等线" w:ascii="Arial" w:cs="Arial" w:hAnsi="Arial"/>
            <w:color w:val="3370ff"/>
            <w:sz w:val="22"/>
          </w:rPr>
          <w:t>附件2441-关于开展有偿投后管理服务的相关材料202105</w:t>
        </w:r>
      </w:hyperlink>
    </w:p>
    <w:p>
      <w:pPr>
        <w:spacing w:before="120" w:after="120" w:line="288" w:lineRule="auto"/>
        <w:ind w:left="453"/>
        <w:jc w:val="left"/>
      </w:pPr>
      <w:hyperlink r:id="rId29">
        <w:r>
          <w:rPr>
            <w:rFonts w:eastAsia="等线" w:ascii="Arial" w:cs="Arial" w:hAnsi="Arial"/>
            <w:color w:val="3370ff"/>
            <w:sz w:val="22"/>
          </w:rPr>
          <w:t>附件2442-财务顾问协议模板</w:t>
        </w:r>
      </w:hyperlink>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37" w:id="37"/>
      <w:r>
        <w:rPr>
          <w:rFonts w:eastAsia="等线" w:ascii="Arial" w:cs="Arial" w:hAnsi="Arial"/>
          <w:b w:val="true"/>
          <w:sz w:val="30"/>
        </w:rPr>
        <w:t>第五节 决策机制</w:t>
      </w:r>
      <w:bookmarkEnd w:id="37"/>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公司在投后管理中做出的重要决策，应在所投企业董事会、股东会上提交相关提案。项目部或公司委派代表应在会前及会上进行充分的说明沟通，促成公司决策内容形成所投企业的董事会、股东会决议。</w:t>
      </w:r>
    </w:p>
    <w:p>
      <w:pPr>
        <w:spacing w:before="120" w:after="120" w:line="288" w:lineRule="auto"/>
        <w:ind w:left="0" w:firstLine="420"/>
        <w:jc w:val="left"/>
      </w:pPr>
      <w:r>
        <w:rPr>
          <w:rFonts w:eastAsia="等线" w:ascii="Arial" w:cs="Arial" w:hAnsi="Arial"/>
          <w:sz w:val="22"/>
        </w:rPr>
        <w:t>所投企业应该按照章程和投资协议规定按时召开三会，并按照相关规定提前发送议案；临时召开的三会会议议程，所投企业需至少提前五日发项目部。三会表决意见应由常务董事扩大会做出，委派股东代表、董事或监事代表公司表决。相关意见应写入扩大会纪要。</w:t>
      </w:r>
    </w:p>
    <w:p>
      <w:pPr>
        <w:spacing w:before="120" w:after="120" w:line="288" w:lineRule="auto"/>
        <w:ind w:left="0" w:firstLine="420"/>
        <w:jc w:val="left"/>
      </w:pPr>
      <w:r>
        <w:rPr>
          <w:rFonts w:eastAsia="等线" w:ascii="Arial" w:cs="Arial" w:hAnsi="Arial"/>
          <w:sz w:val="22"/>
        </w:rPr>
        <w:t>若所投企业未按照协议或章程约定按时召开三会，或者未提前发送通知或议案的，参会的代表需在相应会议上提出相关议案。</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所有提交投后小组、扩大会或相应机构讨论、决策的文件均应先明确项目部意见。</w:t>
      </w:r>
    </w:p>
    <w:p>
      <w:pPr>
        <w:spacing w:before="120" w:after="120" w:line="288" w:lineRule="auto"/>
        <w:ind w:left="0" w:firstLine="42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38" w:id="38"/>
      <w:r>
        <w:rPr>
          <w:rFonts w:eastAsia="等线" w:ascii="Arial" w:cs="Arial" w:hAnsi="Arial"/>
          <w:b w:val="true"/>
          <w:sz w:val="30"/>
        </w:rPr>
        <w:t>第六节 投后项目档案管理</w:t>
      </w:r>
      <w:bookmarkEnd w:id="38"/>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项目部对每一个项目建立独立档案，投后管理过程中所形成的所有书面文件和电子文档，包括但不限于投资协议、三会会议文件（会议记录、会议决议等）、投后管理报告及附件、企业经营管理审查报告等，均须提交公司档案管理人员并上传投资云，便于随时查阅、跟踪管理和评估。</w:t>
      </w:r>
    </w:p>
    <w:p>
      <w:pPr>
        <w:spacing w:before="120" w:after="120" w:line="288" w:lineRule="auto"/>
        <w:ind w:left="0" w:firstLine="420"/>
        <w:jc w:val="left"/>
      </w:pPr>
      <w:r>
        <w:rPr>
          <w:rFonts w:eastAsia="等线" w:ascii="Arial" w:cs="Arial" w:hAnsi="Arial"/>
          <w:sz w:val="22"/>
        </w:rPr>
        <w:t xml:space="preserve">附件： </w:t>
      </w:r>
    </w:p>
    <w:p>
      <w:pPr>
        <w:spacing w:before="120" w:after="120" w:line="288" w:lineRule="auto"/>
        <w:ind w:left="453"/>
        <w:jc w:val="left"/>
      </w:pPr>
      <w:hyperlink r:id="rId30">
        <w:r>
          <w:rPr>
            <w:rFonts w:eastAsia="等线" w:ascii="Arial" w:cs="Arial" w:hAnsi="Arial"/>
            <w:color w:val="3370ff"/>
            <w:sz w:val="22"/>
          </w:rPr>
          <w:t>附件2461-董事委派书模板202103</w:t>
        </w:r>
      </w:hyperlink>
    </w:p>
    <w:p>
      <w:pPr>
        <w:spacing w:before="120" w:after="120" w:line="288" w:lineRule="auto"/>
        <w:ind w:left="453"/>
        <w:jc w:val="left"/>
      </w:pPr>
      <w:hyperlink r:id="rId31">
        <w:r>
          <w:rPr>
            <w:rFonts w:eastAsia="等线" w:ascii="Arial" w:cs="Arial" w:hAnsi="Arial"/>
            <w:color w:val="3370ff"/>
            <w:sz w:val="22"/>
          </w:rPr>
          <w:t>附件2462-监事委派书模板202103</w:t>
        </w:r>
      </w:hyperlink>
    </w:p>
    <w:p>
      <w:pPr>
        <w:spacing w:before="120" w:after="120" w:line="288" w:lineRule="auto"/>
        <w:ind w:left="453"/>
        <w:jc w:val="left"/>
      </w:pPr>
      <w:hyperlink r:id="rId32">
        <w:r>
          <w:rPr>
            <w:rFonts w:eastAsia="等线" w:ascii="Arial" w:cs="Arial" w:hAnsi="Arial"/>
            <w:color w:val="3370ff"/>
            <w:sz w:val="22"/>
          </w:rPr>
          <w:t>附件2463-投后管理分工报告模板202402</w:t>
        </w:r>
      </w:hyperlink>
    </w:p>
    <w:p>
      <w:pPr>
        <w:spacing w:before="120" w:after="120" w:line="288" w:lineRule="auto"/>
        <w:ind w:left="453"/>
        <w:jc w:val="left"/>
      </w:pPr>
      <w:hyperlink r:id="rId33">
        <w:r>
          <w:rPr>
            <w:rFonts w:eastAsia="等线" w:ascii="Arial" w:cs="Arial" w:hAnsi="Arial"/>
            <w:color w:val="3370ff"/>
            <w:sz w:val="22"/>
          </w:rPr>
          <w:t>附件2464-投后管理小组确定原则及成员名单202402</w:t>
        </w:r>
      </w:hyperlink>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0"/>
        <w:jc w:val="left"/>
      </w:pPr>
    </w:p>
    <w:p>
      <w:pPr>
        <w:pStyle w:val="2"/>
        <w:spacing w:before="320" w:after="120" w:line="288" w:lineRule="auto"/>
        <w:ind w:left="0"/>
        <w:jc w:val="center"/>
        <w:outlineLvl w:val="1"/>
      </w:pPr>
      <w:bookmarkStart w:name="heading_39" w:id="39"/>
      <w:r>
        <w:rPr>
          <w:rFonts w:eastAsia="等线" w:ascii="Arial" w:cs="Arial" w:hAnsi="Arial"/>
          <w:b w:val="true"/>
          <w:sz w:val="32"/>
        </w:rPr>
        <w:t xml:space="preserve">第五章 </w:t>
      </w:r>
      <w:r>
        <w:rPr>
          <w:rFonts w:eastAsia="等线" w:ascii="Arial" w:cs="Arial" w:hAnsi="Arial"/>
          <w:b w:val="true"/>
          <w:sz w:val="32"/>
        </w:rPr>
        <w:t>TBS（tongrun business system）</w:t>
      </w:r>
      <w:r>
        <w:rPr>
          <w:rFonts w:eastAsia="等线" w:ascii="Arial" w:cs="Arial" w:hAnsi="Arial"/>
          <w:b w:val="true"/>
          <w:sz w:val="32"/>
        </w:rPr>
        <w:t>（</w:t>
      </w:r>
      <w:r>
        <w:rPr>
          <w:rFonts w:eastAsia="等线" w:ascii="Arial" w:cs="Arial" w:hAnsi="Arial"/>
          <w:b w:val="true"/>
          <w:color w:val="3370ff"/>
          <w:sz w:val="32"/>
        </w:rPr>
        <w:t>@尹瑶</w:t>
      </w:r>
      <w:r>
        <w:rPr>
          <w:rFonts w:eastAsia="等线" w:ascii="Arial" w:cs="Arial" w:hAnsi="Arial"/>
          <w:b w:val="true"/>
          <w:sz w:val="32"/>
        </w:rPr>
        <w:t>）（扩大会）</w:t>
      </w:r>
      <w:bookmarkEnd w:id="39"/>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color w:val="d83931"/>
          <w:sz w:val="22"/>
        </w:rPr>
        <w:t>共商同祺TBS系统 （TongqiBusinessSystem）以下简称TBS。</w:t>
      </w:r>
    </w:p>
    <w:p>
      <w:pPr>
        <w:spacing w:before="120" w:after="120" w:line="288" w:lineRule="auto"/>
        <w:ind w:left="0" w:firstLine="420"/>
        <w:jc w:val="left"/>
      </w:pPr>
      <w:r>
        <w:rPr>
          <w:rFonts w:eastAsia="等线" w:ascii="Arial" w:cs="Arial" w:hAnsi="Arial"/>
          <w:color w:val="d83931"/>
          <w:sz w:val="22"/>
        </w:rPr>
        <w:t>TBS是共商同祺（北京）商务有限公司（以下简称“共商同祺”）关联公司上海同登九和私募基金管理有限公司（以下简称“同登九和”）针对硬科技创业企业早中期经营管理需求与线上优秀专业服务机构和科创企业合作研发的科创企业经营管理系统，他是一个多领域多模块的总分系统，对不同科创企业研发管理、生产管理、营销管理、供应链管理等经营管理，行政管理、人力资源管理、财税管理、法务管理等通识性企业管理给出指导意见。该系统结合各领域科创企业特点通过反复实践而建立，在运行中出现的各种新的问题不断回传到系统研究中心，研究中心根据最新问题及时处理并更新内容；该系统依托共商同祺平台做集成和推广，整体视角为“从科创投资机构角度看科创企业如何经营管理才能获得投资、并购和上市”。</w:t>
      </w:r>
    </w:p>
    <w:p>
      <w:pPr>
        <w:spacing w:before="120" w:after="120" w:line="288" w:lineRule="auto"/>
        <w:ind w:left="0" w:firstLine="420"/>
        <w:jc w:val="left"/>
      </w:pPr>
      <w:r>
        <w:rPr>
          <w:rFonts w:eastAsia="等线" w:ascii="Arial" w:cs="Arial" w:hAnsi="Arial"/>
          <w:color w:val="d83931"/>
          <w:sz w:val="22"/>
        </w:rPr>
        <w:t xml:space="preserve">科创企业面对的内外管理环境是不断变化的，该系统也是一个鲜活的没有尽头的工程，也必将是一个象同祺精神一样具有强大生命力的永不停息的永动机。（董事长，202508）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40" w:id="40"/>
      <w:r>
        <w:rPr>
          <w:rFonts w:eastAsia="等线" w:ascii="Arial" w:cs="Arial" w:hAnsi="Arial"/>
          <w:b w:val="true"/>
          <w:color w:val="d83931"/>
          <w:sz w:val="30"/>
        </w:rPr>
        <w:t>第一节 TBS方向（董事长，202508）</w:t>
      </w:r>
      <w:bookmarkEnd w:id="40"/>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 xml:space="preserve">目的 </w:t>
      </w:r>
    </w:p>
    <w:p>
      <w:pPr>
        <w:spacing w:before="120" w:after="120" w:line="288" w:lineRule="auto"/>
        <w:ind w:left="0" w:firstLine="0"/>
        <w:jc w:val="left"/>
      </w:pPr>
      <w:r>
        <w:rPr>
          <w:rFonts w:eastAsia="等线" w:ascii="Arial" w:cs="Arial" w:hAnsi="Arial"/>
          <w:sz w:val="22"/>
        </w:rPr>
        <w:t>在投前投中阶段已经严重同质化的情况下，精益化的投后管理能力将成为投资机构最重要的核心竞争力，只有在投后管理过程中</w:t>
      </w:r>
      <w:r>
        <w:rPr>
          <w:rFonts w:eastAsia="等线" w:ascii="Arial" w:cs="Arial" w:hAnsi="Arial"/>
          <w:color w:val="d83931"/>
          <w:sz w:val="22"/>
        </w:rPr>
        <w:t>坚持精益化管理</w:t>
      </w:r>
      <w:r>
        <w:rPr>
          <w:rFonts w:eastAsia="等线" w:ascii="Arial" w:cs="Arial" w:hAnsi="Arial"/>
          <w:sz w:val="22"/>
        </w:rPr>
        <w:t>才能不断的获得有益经验反哺投前、投中，摆脱同质化的困境，这是我们的一个重要论断。</w:t>
      </w:r>
      <w:r>
        <w:rPr>
          <w:rFonts w:eastAsia="等线" w:ascii="Arial" w:cs="Arial" w:hAnsi="Arial"/>
          <w:color w:val="d83931"/>
          <w:sz w:val="22"/>
        </w:rPr>
        <w:t>（余子政，202503）</w:t>
      </w:r>
    </w:p>
    <w:p>
      <w:pPr>
        <w:spacing w:before="120" w:after="120" w:line="288" w:lineRule="auto"/>
        <w:ind w:left="0" w:firstLine="420"/>
        <w:jc w:val="left"/>
      </w:pPr>
      <w:r>
        <w:rPr>
          <w:rFonts w:eastAsia="等线" w:ascii="Arial" w:cs="Arial" w:hAnsi="Arial"/>
          <w:sz w:val="22"/>
        </w:rPr>
        <w:t>投后管理是整个投资过程中持续时间最长、面临情况最复杂、最锻炼投资机构全方位能力的部分；从建立一个百年企业的愿景角度，投后管理能力是投资机构永葆竞争力的最重要的护城河。</w:t>
      </w:r>
    </w:p>
    <w:p>
      <w:pPr>
        <w:spacing w:before="120" w:after="120" w:line="288" w:lineRule="auto"/>
        <w:ind w:left="0" w:firstLine="420"/>
        <w:jc w:val="left"/>
      </w:pPr>
      <w:r>
        <w:rPr>
          <w:rFonts w:eastAsia="等线" w:ascii="Arial" w:cs="Arial" w:hAnsi="Arial"/>
          <w:sz w:val="22"/>
        </w:rPr>
        <w:t>投后管理</w:t>
      </w:r>
      <w:r>
        <w:rPr>
          <w:rFonts w:eastAsia="等线" w:ascii="Arial" w:cs="Arial" w:hAnsi="Arial"/>
          <w:color w:val="d83931"/>
          <w:sz w:val="22"/>
        </w:rPr>
        <w:t>应以价值创造为导向，我们不仅要提供资金支持，更要帮助企业创造实际价值，与其建立长期合作关系。（朱静，202503)</w:t>
      </w:r>
    </w:p>
    <w:p>
      <w:pPr>
        <w:spacing w:before="120" w:after="120" w:line="288" w:lineRule="auto"/>
        <w:ind w:left="0" w:firstLine="420"/>
        <w:jc w:val="left"/>
      </w:pPr>
      <w:r>
        <w:rPr>
          <w:rFonts w:eastAsia="等线" w:ascii="Arial" w:cs="Arial" w:hAnsi="Arial"/>
          <w:sz w:val="22"/>
        </w:rPr>
        <w:t>如何锻炼我们的投后管理能力，如何将我们的投后管理经验形成行之有效的投后管理工具，西方很多优秀的百年企业已经为我们指出了方法，其中丹纳赫的DBS系统尤其贴合我们想打造的投后管理系统。</w:t>
      </w:r>
    </w:p>
    <w:p>
      <w:pPr>
        <w:spacing w:before="120" w:after="120" w:line="288" w:lineRule="auto"/>
        <w:ind w:left="0" w:firstLine="420"/>
        <w:jc w:val="left"/>
      </w:pPr>
      <w:r>
        <w:rPr>
          <w:rFonts w:eastAsia="等线" w:ascii="Arial" w:cs="Arial" w:hAnsi="Arial"/>
          <w:sz w:val="22"/>
        </w:rPr>
        <w:t>因此，我们通过研究学习DBS系统，结合我们的实际情况，发展TBS系统。TBS系统是一个精益化的投后管理工具</w:t>
      </w:r>
      <w:r>
        <w:rPr>
          <w:rFonts w:eastAsia="等线" w:ascii="Arial" w:cs="Arial" w:hAnsi="Arial"/>
          <w:color w:val="d83931"/>
          <w:sz w:val="22"/>
        </w:rPr>
        <w:t>，</w:t>
      </w:r>
      <w:r>
        <w:rPr>
          <w:rFonts w:eastAsia="等线" w:ascii="Arial" w:cs="Arial" w:hAnsi="Arial"/>
          <w:sz w:val="22"/>
        </w:rPr>
        <w:t>是贯彻我们投后管理理念的方法论集合，是丰富投前投中能力用之不竭的经验源泉，是我们实现百年企业愿景的重要保障。</w:t>
      </w:r>
    </w:p>
    <w:p>
      <w:pPr>
        <w:numPr>
          <w:numId w:val="197"/>
        </w:numPr>
        <w:spacing w:before="120" w:after="120" w:line="288" w:lineRule="auto"/>
        <w:ind w:left="453"/>
        <w:jc w:val="left"/>
      </w:pPr>
      <w:r>
        <w:rPr>
          <w:rFonts w:eastAsia="等线" w:ascii="Arial" w:cs="Arial" w:hAnsi="Arial"/>
          <w:b w:val="true"/>
          <w:sz w:val="22"/>
        </w:rPr>
        <w:t>T</w:t>
      </w:r>
      <w:r>
        <w:rPr>
          <w:rFonts w:eastAsia="等线" w:ascii="Arial" w:cs="Arial" w:hAnsi="Arial"/>
          <w:sz w:val="22"/>
        </w:rPr>
        <w:t>BS系统的发展有从浅到深、由表及里、以点到面的发展过程，需要在长时间的实践中走向成熟。</w:t>
      </w:r>
    </w:p>
    <w:p>
      <w:pPr>
        <w:spacing w:before="120" w:after="120" w:line="288" w:lineRule="auto"/>
        <w:ind w:left="0" w:firstLine="420"/>
        <w:jc w:val="left"/>
      </w:pPr>
      <w:r>
        <w:rPr>
          <w:rFonts w:eastAsia="等线" w:ascii="Arial" w:cs="Arial" w:hAnsi="Arial"/>
          <w:color w:val="d83931"/>
          <w:sz w:val="22"/>
        </w:rPr>
        <w:t>TBS建立在持续改进的基础上，吸收丹纳赫的dbs理念，形成一套商业系统。其核心理念是：精益化管理，系统解决问题，助力所投企业。（朱静，尹瑶，202503）</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center"/>
      </w:pPr>
      <w:r>
        <w:rPr>
          <w:rFonts w:eastAsia="等线" w:ascii="Arial" w:cs="Arial" w:hAnsi="Arial"/>
          <w:color w:val="d83931"/>
          <w:sz w:val="22"/>
        </w:rPr>
        <w:t xml:space="preserve">第二节 TBS实操（董事长，202508） </w:t>
      </w:r>
    </w:p>
    <w:p>
      <w:pPr>
        <w:spacing w:before="120" w:after="120" w:line="288" w:lineRule="auto"/>
        <w:ind w:left="0" w:firstLine="0"/>
        <w:jc w:val="left"/>
      </w:pPr>
      <w:r>
        <w:rPr>
          <w:rFonts w:eastAsia="等线" w:ascii="Arial" w:cs="Arial" w:hAnsi="Arial"/>
          <w:b w:val="true"/>
          <w:color w:val="d83931"/>
          <w:sz w:val="22"/>
        </w:rPr>
        <w:t xml:space="preserve">第一条 </w:t>
      </w:r>
      <w:r>
        <w:rPr>
          <w:rFonts w:eastAsia="等线" w:ascii="Arial" w:cs="Arial" w:hAnsi="Arial"/>
          <w:color w:val="d83931"/>
          <w:sz w:val="22"/>
        </w:rPr>
        <w:t>系统分为智能制造板和医疗器械板两个版本，每板分为研发、生产、销售、采购和行人财法（财法含企业并购内容）八个模块。</w:t>
      </w:r>
    </w:p>
    <w:p>
      <w:pPr>
        <w:spacing w:before="120" w:after="120" w:line="288" w:lineRule="auto"/>
        <w:ind w:left="0" w:firstLine="0"/>
        <w:jc w:val="left"/>
      </w:pPr>
      <w:r>
        <w:rPr>
          <w:rFonts w:eastAsia="等线" w:ascii="Arial" w:cs="Arial" w:hAnsi="Arial"/>
          <w:b w:val="true"/>
          <w:color w:val="d83931"/>
          <w:sz w:val="22"/>
        </w:rPr>
        <w:t>第二条</w:t>
      </w:r>
      <w:r>
        <w:rPr>
          <w:rFonts w:eastAsia="等线" w:ascii="Arial" w:cs="Arial" w:hAnsi="Arial"/>
          <w:color w:val="d83931"/>
          <w:sz w:val="22"/>
        </w:rPr>
        <w:t xml:space="preserve"> 系统内容分为禁止性条款、限制性条款和关注性条款，每个条款附加原理注解。 </w:t>
      </w:r>
    </w:p>
    <w:p>
      <w:pPr>
        <w:spacing w:before="120" w:after="120" w:line="288" w:lineRule="auto"/>
        <w:ind w:left="0" w:firstLine="0"/>
        <w:jc w:val="left"/>
      </w:pPr>
      <w:r>
        <w:rPr>
          <w:rFonts w:eastAsia="等线" w:ascii="Arial" w:cs="Arial" w:hAnsi="Arial"/>
          <w:color w:val="d83931"/>
          <w:sz w:val="22"/>
        </w:rPr>
        <w:t>禁止类是说什么不能做，类似我们的负面清单和一票否决权；限制类是说某些方面应掌握的尺度和某些关键条件变化应做的调整；关注类属于建议类或探讨类，是研究如何做效果最佳。</w:t>
      </w:r>
    </w:p>
    <w:p>
      <w:pPr>
        <w:spacing w:before="120" w:after="120" w:line="288" w:lineRule="auto"/>
        <w:ind w:left="0" w:firstLine="0"/>
        <w:jc w:val="left"/>
      </w:pPr>
      <w:r>
        <w:rPr>
          <w:rFonts w:eastAsia="等线" w:ascii="Arial" w:cs="Arial" w:hAnsi="Arial"/>
          <w:b w:val="true"/>
          <w:color w:val="d83931"/>
          <w:sz w:val="22"/>
        </w:rPr>
        <w:t>第三条</w:t>
      </w:r>
      <w:r>
        <w:rPr>
          <w:rFonts w:eastAsia="等线" w:ascii="Arial" w:cs="Arial" w:hAnsi="Arial"/>
          <w:color w:val="d83931"/>
          <w:sz w:val="22"/>
        </w:rPr>
        <w:t xml:space="preserve"> 系统基础内容来源于同登九和十三年科创投资相关制度，其提升改进来自于同登九和与合作机构、所投企业合作。</w:t>
      </w:r>
    </w:p>
    <w:p>
      <w:pPr>
        <w:spacing w:before="120" w:after="120" w:line="288" w:lineRule="auto"/>
        <w:ind w:left="0" w:firstLine="0"/>
        <w:jc w:val="left"/>
      </w:pPr>
      <w:r>
        <w:rPr>
          <w:rFonts w:eastAsia="等线" w:ascii="Arial" w:cs="Arial" w:hAnsi="Arial"/>
          <w:b w:val="true"/>
          <w:color w:val="d83931"/>
          <w:sz w:val="22"/>
        </w:rPr>
        <w:t>第四节</w:t>
      </w:r>
      <w:r>
        <w:rPr>
          <w:rFonts w:eastAsia="等线" w:ascii="Arial" w:cs="Arial" w:hAnsi="Arial"/>
          <w:color w:val="d83931"/>
          <w:sz w:val="22"/>
        </w:rPr>
        <w:t xml:space="preserve"> TBS系统逐步形成AI软件工具，用来匹配科创企业企业管理需求，针对需求内容推荐其与TBS相关专业机构合作；匹配科创投资机构需求用于指导投资和投后管理工作，母基金依据系统选择优秀投资机构成为其LP。 </w:t>
      </w:r>
    </w:p>
    <w:p>
      <w:pPr>
        <w:spacing w:before="120" w:after="120" w:line="288" w:lineRule="auto"/>
        <w:ind w:left="0" w:firstLine="0"/>
        <w:jc w:val="left"/>
      </w:pPr>
      <w:r>
        <w:rPr>
          <w:rFonts w:eastAsia="等线" w:ascii="Arial" w:cs="Arial" w:hAnsi="Arial"/>
          <w:b w:val="true"/>
          <w:color w:val="d83931"/>
          <w:sz w:val="22"/>
        </w:rPr>
        <w:t>第五条</w:t>
      </w:r>
      <w:r>
        <w:rPr>
          <w:rFonts w:eastAsia="等线" w:ascii="Arial" w:cs="Arial" w:hAnsi="Arial"/>
          <w:color w:val="d83931"/>
          <w:sz w:val="22"/>
        </w:rPr>
        <w:t xml:space="preserve"> 科创企业作为示范企业与服务机构、同登九和合作形成案例作为同祺网TBS模块重要组成部分，模块案例作为TBS的示范工程双方期间合作互不收费。</w:t>
      </w:r>
    </w:p>
    <w:p>
      <w:pPr>
        <w:spacing w:before="120" w:after="120" w:line="288" w:lineRule="auto"/>
        <w:ind w:left="0" w:firstLine="0"/>
        <w:jc w:val="left"/>
      </w:pPr>
      <w:r>
        <w:rPr>
          <w:rFonts w:eastAsia="等线" w:ascii="Arial" w:cs="Arial" w:hAnsi="Arial"/>
          <w:b w:val="true"/>
          <w:color w:val="d83931"/>
          <w:sz w:val="22"/>
        </w:rPr>
        <w:t xml:space="preserve">第六条 </w:t>
      </w:r>
      <w:r>
        <w:rPr>
          <w:rFonts w:eastAsia="等线" w:ascii="Arial" w:cs="Arial" w:hAnsi="Arial"/>
          <w:color w:val="d83931"/>
          <w:sz w:val="22"/>
        </w:rPr>
        <w:t>先遣小组（马衍金、朱静、赵栋、荣成成）依据启颢和华系为参照先做出医疗器械板法务部分作为示范（八月月度会前完成），八月月度会全员分工完成基础版TBS。</w:t>
      </w:r>
    </w:p>
    <w:p>
      <w:pPr>
        <w:spacing w:before="120" w:after="120" w:line="288" w:lineRule="auto"/>
        <w:ind w:left="0" w:firstLine="0"/>
        <w:jc w:val="left"/>
      </w:pPr>
      <w:r>
        <w:rPr>
          <w:rFonts w:eastAsia="等线" w:ascii="Arial" w:cs="Arial" w:hAnsi="Arial"/>
          <w:b w:val="true"/>
          <w:color w:val="d83931"/>
          <w:sz w:val="22"/>
        </w:rPr>
        <w:t xml:space="preserve">第七条 </w:t>
      </w:r>
      <w:r>
        <w:rPr>
          <w:rFonts w:eastAsia="等线" w:ascii="Arial" w:cs="Arial" w:hAnsi="Arial"/>
          <w:color w:val="d83931"/>
          <w:sz w:val="22"/>
        </w:rPr>
        <w:t>关联公司美国硅谷北极星公司全员参与同登TBS系统搭建并按此思路逐步建立的独立的美版TBS系统。</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41" w:id="41"/>
      <w:r>
        <w:rPr>
          <w:rFonts w:eastAsia="等线" w:ascii="Arial" w:cs="Arial" w:hAnsi="Arial"/>
          <w:b w:val="true"/>
          <w:sz w:val="32"/>
        </w:rPr>
        <w:t>第六章 退出管理制度</w:t>
      </w:r>
      <w:r>
        <w:rPr>
          <w:rFonts w:eastAsia="等线" w:ascii="Arial" w:cs="Arial" w:hAnsi="Arial"/>
          <w:b w:val="true"/>
          <w:sz w:val="32"/>
        </w:rPr>
        <w:t>（</w:t>
      </w:r>
      <w:r>
        <w:rPr>
          <w:rFonts w:eastAsia="等线" w:ascii="Arial" w:cs="Arial" w:hAnsi="Arial"/>
          <w:b w:val="true"/>
          <w:color w:val="3370ff"/>
          <w:sz w:val="32"/>
        </w:rPr>
        <w:t>@刘绍辉</w:t>
      </w:r>
      <w:r>
        <w:rPr>
          <w:rFonts w:eastAsia="等线" w:ascii="Arial" w:cs="Arial" w:hAnsi="Arial"/>
          <w:b w:val="true"/>
          <w:sz w:val="32"/>
        </w:rPr>
        <w:t>）（扩大会）</w:t>
      </w:r>
      <w:bookmarkEnd w:id="41"/>
    </w:p>
    <w:p>
      <w:pPr>
        <w:pStyle w:val="3"/>
        <w:spacing w:before="300" w:after="120" w:line="288" w:lineRule="auto"/>
        <w:ind w:left="0"/>
        <w:jc w:val="center"/>
        <w:outlineLvl w:val="2"/>
      </w:pPr>
      <w:bookmarkStart w:name="heading_42" w:id="42"/>
      <w:r>
        <w:rPr>
          <w:rFonts w:eastAsia="等线" w:ascii="Arial" w:cs="Arial" w:hAnsi="Arial"/>
          <w:b w:val="true"/>
          <w:sz w:val="30"/>
        </w:rPr>
        <w:t>第一节 退出策略</w:t>
      </w:r>
      <w:bookmarkEnd w:id="42"/>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投资不追风口，退出亦然。风口轮动的周期越来越短，风口越热，越应该冷静思考并抓住转瞬即逝的退出机会，尤其是项目处于上升阶段时，更容易出现退出机会。</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对于早期科创投资机构来说，所投企业进行后续轮次融资时，是最佳的退出时机。</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拟订退出方案时应综合考虑资本市场所处环境、所投企业发展现状、基金收益率、基金退出期限、基金LP诉求及管理团队募资需求等因素，可以选择部分退出或全部退出、回购退出、股权转让退出、并购退出或IPO退出等多种策略组合。</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寻求股权受让方时，可以考虑财务投资者、产业投资方与高净值人群等，不设标准，灵活掌握。</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遇到退出机会时，不要过于纠结估值。区别于投资决策，退出时要重点防范失去已赚到的收益的风险，当失去的风险大于继续持股的潜在收益时，应尽快考虑退出方案。</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除公司规定的退出要求外，项目部可根据项目情况，主动在投后会上提出退出申请。</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43" w:id="43"/>
      <w:r>
        <w:rPr>
          <w:rFonts w:eastAsia="等线" w:ascii="Arial" w:cs="Arial" w:hAnsi="Arial"/>
          <w:b w:val="true"/>
          <w:sz w:val="30"/>
        </w:rPr>
        <w:t>第二节 退出流程</w:t>
      </w:r>
      <w:bookmarkEnd w:id="43"/>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在年初股东会召开前，项目部对项目当年的融资情况进行分析。参考项目预计的估值，当股权价值高于税后5倍时（不考虑老股转让价格），公司将该项目列入当年的退出工作目标。</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项目部根据项目发展情况，在项目符合第一条标准或存在其他退出机会时，须编写项目退出建议书，介绍项目投资概况及退出方案，并发送投后群提交投后管理小组及扩大会讨论。</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项目部根据投后管理小组及扩大会意见修改退出建议书，由董事长负责召集董事会会议进行讨论；通过后交由有权机构批准。</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拟退出项目获决策会通过后，由董事会秘书给公司股东发送退出建议书及投委会决策意见，有参与退出意向（受让基金在所投企业老股或其他形式）的股东须在规定时间内反馈。</w:t>
      </w:r>
    </w:p>
    <w:p>
      <w:pPr>
        <w:spacing w:before="120" w:after="120" w:line="288" w:lineRule="auto"/>
        <w:ind w:left="0" w:firstLine="420"/>
        <w:jc w:val="left"/>
      </w:pPr>
      <w:r>
        <w:rPr>
          <w:rFonts w:eastAsia="等线" w:ascii="Arial" w:cs="Arial" w:hAnsi="Arial"/>
          <w:sz w:val="22"/>
        </w:rPr>
        <w:t>对于优质项目，公司出于整体发展稳健考虑决定出让部分老股的，应优先征求股东受让意向，同等条件下尽最大可能满足股东受让老股份额的需求。</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w:t>
      </w:r>
      <w:r>
        <w:rPr>
          <w:rFonts w:eastAsia="等线" w:ascii="Arial" w:cs="Arial" w:hAnsi="Arial"/>
          <w:sz w:val="22"/>
        </w:rPr>
        <w:t>拟退出项目寻找到合适的老股接收方后，</w:t>
      </w:r>
      <w:r>
        <w:rPr>
          <w:rFonts w:eastAsia="等线" w:ascii="Arial" w:cs="Arial" w:hAnsi="Arial"/>
          <w:sz w:val="22"/>
        </w:rPr>
        <w:t>投委会秘书</w:t>
      </w:r>
      <w:r>
        <w:rPr>
          <w:rFonts w:eastAsia="等线" w:ascii="Arial" w:cs="Arial" w:hAnsi="Arial"/>
          <w:sz w:val="22"/>
        </w:rPr>
        <w:t>根据双方认可的交易情况拟定投委会决议，同时</w:t>
      </w:r>
      <w:r>
        <w:rPr>
          <w:rFonts w:eastAsia="等线" w:ascii="Arial" w:cs="Arial" w:hAnsi="Arial"/>
          <w:sz w:val="22"/>
        </w:rPr>
        <w:t>项目部</w:t>
      </w:r>
      <w:r>
        <w:rPr>
          <w:rFonts w:eastAsia="等线" w:ascii="Arial" w:cs="Arial" w:hAnsi="Arial"/>
          <w:sz w:val="22"/>
        </w:rPr>
        <w:t>负责起草相关法律文件，必要时请签约律师、税务师协助。项目部协调财务部、风控部或签约律师、税务师与交易对手方沟通退出交易文件条款。</w:t>
      </w:r>
    </w:p>
    <w:p>
      <w:pPr>
        <w:spacing w:before="120" w:after="120" w:line="288" w:lineRule="auto"/>
        <w:ind w:left="0"/>
        <w:jc w:val="left"/>
      </w:pPr>
      <w:r>
        <w:rPr>
          <w:rFonts w:eastAsia="等线" w:ascii="Arial" w:cs="Arial" w:hAnsi="Arial"/>
          <w:sz w:val="22"/>
        </w:rPr>
        <w:t xml:space="preserve">      谈判过程中若交易条件与有权机构决策有出入，须提请再次决策。</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交易文件确认后，应将退出建议书、投委会退出决议作为退出交易文件审批的附件，一并提交退出流程，经投后小组及扩大会审批。</w:t>
      </w:r>
    </w:p>
    <w:p>
      <w:pPr>
        <w:spacing w:before="120" w:after="120" w:line="288" w:lineRule="auto"/>
        <w:ind w:left="0" w:firstLine="420"/>
        <w:jc w:val="left"/>
      </w:pPr>
      <w:r>
        <w:rPr>
          <w:rFonts w:eastAsia="等线" w:ascii="Arial" w:cs="Arial" w:hAnsi="Arial"/>
          <w:b w:val="true"/>
          <w:sz w:val="22"/>
        </w:rPr>
        <w:t>第</w:t>
      </w:r>
      <w:r>
        <w:rPr>
          <w:rFonts w:eastAsia="等线" w:ascii="Arial" w:cs="Arial" w:hAnsi="Arial"/>
          <w:b w:val="true"/>
          <w:sz w:val="22"/>
        </w:rPr>
        <w:t>七</w:t>
      </w:r>
      <w:r>
        <w:rPr>
          <w:rFonts w:eastAsia="等线" w:ascii="Arial" w:cs="Arial" w:hAnsi="Arial"/>
          <w:b w:val="true"/>
          <w:sz w:val="22"/>
        </w:rPr>
        <w:t xml:space="preserve">条 </w:t>
      </w:r>
      <w:r>
        <w:rPr>
          <w:rFonts w:eastAsia="等线" w:ascii="Arial" w:cs="Arial" w:hAnsi="Arial"/>
          <w:sz w:val="22"/>
        </w:rPr>
        <w:t>各方完成交易文件签署且收到转让款后，项目部会同财务部及风控部实施退出程序：收集收款证明、计算项目收益、提供基协所需材料等。</w:t>
      </w:r>
    </w:p>
    <w:p>
      <w:pPr>
        <w:spacing w:before="120" w:after="120" w:line="288" w:lineRule="auto"/>
        <w:ind w:left="0" w:firstLine="420"/>
        <w:jc w:val="left"/>
      </w:pPr>
      <w:r>
        <w:rPr>
          <w:rFonts w:eastAsia="等线" w:ascii="Arial" w:cs="Arial" w:hAnsi="Arial"/>
          <w:b w:val="true"/>
          <w:sz w:val="22"/>
        </w:rPr>
        <w:t>第</w:t>
      </w:r>
      <w:r>
        <w:rPr>
          <w:rFonts w:eastAsia="等线" w:ascii="Arial" w:cs="Arial" w:hAnsi="Arial"/>
          <w:b w:val="true"/>
          <w:sz w:val="22"/>
        </w:rPr>
        <w:t>八</w:t>
      </w:r>
      <w:r>
        <w:rPr>
          <w:rFonts w:eastAsia="等线" w:ascii="Arial" w:cs="Arial" w:hAnsi="Arial"/>
          <w:b w:val="true"/>
          <w:sz w:val="22"/>
        </w:rPr>
        <w:t xml:space="preserve">条 </w:t>
      </w:r>
      <w:r>
        <w:rPr>
          <w:rFonts w:eastAsia="等线" w:ascii="Arial" w:cs="Arial" w:hAnsi="Arial"/>
          <w:sz w:val="22"/>
        </w:rPr>
        <w:t>项目完成全部退出后，项目部须编写投资总结报告，对项目投资、投后管理与退出进行全面、系统复盘总结。</w:t>
      </w:r>
    </w:p>
    <w:p>
      <w:pPr>
        <w:spacing w:before="120" w:after="120" w:line="288" w:lineRule="auto"/>
        <w:ind w:left="0" w:firstLine="420"/>
        <w:jc w:val="left"/>
      </w:pPr>
      <w:r>
        <w:rPr>
          <w:rFonts w:eastAsia="等线" w:ascii="Arial" w:cs="Arial" w:hAnsi="Arial"/>
          <w:b w:val="true"/>
          <w:sz w:val="22"/>
        </w:rPr>
        <w:t>第</w:t>
      </w:r>
      <w:r>
        <w:rPr>
          <w:rFonts w:eastAsia="等线" w:ascii="Arial" w:cs="Arial" w:hAnsi="Arial"/>
          <w:b w:val="true"/>
          <w:sz w:val="22"/>
        </w:rPr>
        <w:t>九</w:t>
      </w:r>
      <w:r>
        <w:rPr>
          <w:rFonts w:eastAsia="等线" w:ascii="Arial" w:cs="Arial" w:hAnsi="Arial"/>
          <w:b w:val="true"/>
          <w:sz w:val="22"/>
        </w:rPr>
        <w:t xml:space="preserve">条 </w:t>
      </w:r>
      <w:r>
        <w:rPr>
          <w:rFonts w:eastAsia="等线" w:ascii="Arial" w:cs="Arial" w:hAnsi="Arial"/>
          <w:sz w:val="22"/>
        </w:rPr>
        <w:t>退出交割完成后，项目部须按照档案管理制度的规定整理项目退出资料并归档。</w:t>
      </w:r>
    </w:p>
    <w:p>
      <w:pPr>
        <w:spacing w:before="120" w:after="120" w:line="288" w:lineRule="auto"/>
        <w:ind w:left="0"/>
        <w:jc w:val="left"/>
      </w:pPr>
      <w:r>
        <w:rPr>
          <w:rFonts w:eastAsia="等线" w:ascii="Arial" w:cs="Arial" w:hAnsi="Arial"/>
          <w:sz w:val="22"/>
        </w:rPr>
        <w:t xml:space="preserve">      附件：</w:t>
      </w:r>
    </w:p>
    <w:p>
      <w:pPr>
        <w:spacing w:before="120" w:after="120" w:line="288" w:lineRule="auto"/>
        <w:ind w:left="0"/>
        <w:jc w:val="left"/>
      </w:pPr>
      <w:r>
        <w:rPr>
          <w:rFonts w:eastAsia="等线" w:ascii="Arial" w:cs="Arial" w:hAnsi="Arial"/>
          <w:sz w:val="22"/>
        </w:rPr>
        <w:t xml:space="preserve">      </w:t>
      </w:r>
      <w:hyperlink r:id="rId34">
        <w:r>
          <w:rPr>
            <w:rFonts w:eastAsia="等线" w:ascii="Arial" w:cs="Arial" w:hAnsi="Arial"/>
            <w:color w:val="3370ff"/>
            <w:sz w:val="22"/>
          </w:rPr>
          <w:t>附件2621-投资项目退出建议书模版</w:t>
        </w:r>
      </w:hyperlink>
    </w:p>
    <w:p>
      <w:pPr>
        <w:spacing w:before="120" w:after="120" w:line="288" w:lineRule="auto"/>
        <w:ind w:left="0"/>
        <w:jc w:val="left"/>
      </w:pPr>
      <w:r>
        <w:rPr>
          <w:rFonts w:eastAsia="等线" w:ascii="Arial" w:cs="Arial" w:hAnsi="Arial"/>
          <w:sz w:val="22"/>
        </w:rPr>
        <w:t xml:space="preserve">      </w:t>
      </w:r>
      <w:hyperlink r:id="rId35">
        <w:r>
          <w:rPr>
            <w:rFonts w:eastAsia="等线" w:ascii="Arial" w:cs="Arial" w:hAnsi="Arial"/>
            <w:color w:val="3370ff"/>
            <w:sz w:val="22"/>
          </w:rPr>
          <w:t>附件2622-投委会退出决议模板</w:t>
        </w:r>
      </w:hyperlink>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44" w:id="44"/>
      <w:r>
        <w:rPr>
          <w:rFonts w:eastAsia="等线" w:ascii="Arial" w:cs="Arial" w:hAnsi="Arial"/>
          <w:b w:val="true"/>
          <w:sz w:val="30"/>
        </w:rPr>
        <w:t>第三节 退出定价机制</w:t>
      </w:r>
      <w:bookmarkEnd w:id="44"/>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回购退出</w:t>
      </w:r>
    </w:p>
    <w:p>
      <w:pPr>
        <w:spacing w:before="120" w:after="120" w:line="288" w:lineRule="auto"/>
        <w:ind w:left="0" w:firstLine="420"/>
        <w:jc w:val="left"/>
      </w:pPr>
      <w:r>
        <w:rPr>
          <w:rFonts w:eastAsia="等线" w:ascii="Arial" w:cs="Arial" w:hAnsi="Arial"/>
          <w:sz w:val="22"/>
        </w:rPr>
        <w:t>当所投企业出现触发回购情形时，适用回购退回方式。</w:t>
      </w:r>
    </w:p>
    <w:p>
      <w:pPr>
        <w:spacing w:before="120" w:after="120" w:line="288" w:lineRule="auto"/>
        <w:ind w:left="0" w:firstLine="420"/>
        <w:jc w:val="left"/>
      </w:pPr>
      <w:r>
        <w:rPr>
          <w:rFonts w:eastAsia="等线" w:ascii="Arial" w:cs="Arial" w:hAnsi="Arial"/>
          <w:sz w:val="22"/>
        </w:rPr>
        <w:t>回购退出原则上按照基金与被投企业签署的交易文件约定的价格计算。</w:t>
      </w:r>
    </w:p>
    <w:p>
      <w:pPr>
        <w:spacing w:before="120" w:after="120" w:line="288" w:lineRule="auto"/>
        <w:ind w:left="0" w:firstLine="420"/>
        <w:jc w:val="left"/>
      </w:pPr>
      <w:r>
        <w:rPr>
          <w:rFonts w:eastAsia="等线" w:ascii="Arial" w:cs="Arial" w:hAnsi="Arial"/>
          <w:sz w:val="22"/>
        </w:rPr>
        <w:t>（一） 协商作价</w:t>
      </w:r>
    </w:p>
    <w:p>
      <w:pPr>
        <w:spacing w:before="120" w:after="120" w:line="288" w:lineRule="auto"/>
        <w:ind w:left="0" w:firstLine="420"/>
        <w:jc w:val="left"/>
      </w:pPr>
      <w:r>
        <w:rPr>
          <w:rFonts w:eastAsia="等线" w:ascii="Arial" w:cs="Arial" w:hAnsi="Arial"/>
          <w:sz w:val="22"/>
        </w:rPr>
        <w:t>由转让方和受让方按照意思自治的原则协商确定股权转让价格。</w:t>
      </w:r>
    </w:p>
    <w:p>
      <w:pPr>
        <w:spacing w:before="120" w:after="120" w:line="288" w:lineRule="auto"/>
        <w:ind w:left="0" w:firstLine="420"/>
        <w:jc w:val="left"/>
      </w:pPr>
      <w:r>
        <w:rPr>
          <w:rFonts w:eastAsia="等线" w:ascii="Arial" w:cs="Arial" w:hAnsi="Arial"/>
          <w:sz w:val="22"/>
        </w:rPr>
        <w:t>所投企业整体运营顺利的前提下，原则上以其最近一轮融资的估值作为计价基础，在前述估值基础上予以10%-20%的折扣，具体折扣比例根据融资情况、资本市场环境等综合考量、确认。</w:t>
      </w:r>
    </w:p>
    <w:p>
      <w:pPr>
        <w:spacing w:before="120" w:after="120" w:line="288" w:lineRule="auto"/>
        <w:ind w:left="0" w:firstLine="420"/>
        <w:jc w:val="left"/>
      </w:pPr>
      <w:r>
        <w:rPr>
          <w:rFonts w:eastAsia="等线" w:ascii="Arial" w:cs="Arial" w:hAnsi="Arial"/>
          <w:sz w:val="22"/>
        </w:rPr>
        <w:t>（二） 净资产法</w:t>
      </w:r>
    </w:p>
    <w:p>
      <w:pPr>
        <w:spacing w:before="120" w:after="120" w:line="288" w:lineRule="auto"/>
        <w:ind w:left="0" w:firstLine="420"/>
        <w:jc w:val="left"/>
      </w:pPr>
      <w:r>
        <w:rPr>
          <w:rFonts w:eastAsia="等线" w:ascii="Arial" w:cs="Arial" w:hAnsi="Arial"/>
          <w:sz w:val="22"/>
        </w:rPr>
        <w:t>按所投企业某一时点经审计的净资产值或根据该净资产值进行适当的溢价来确定股权转让价格。</w:t>
      </w:r>
    </w:p>
    <w:p>
      <w:pPr>
        <w:spacing w:before="120" w:after="120" w:line="288" w:lineRule="auto"/>
        <w:ind w:left="0" w:firstLine="420"/>
        <w:jc w:val="left"/>
      </w:pPr>
      <w:r>
        <w:rPr>
          <w:rFonts w:eastAsia="等线" w:ascii="Arial" w:cs="Arial" w:hAnsi="Arial"/>
          <w:sz w:val="22"/>
        </w:rPr>
        <w:t>（三） 评估作价</w:t>
      </w:r>
    </w:p>
    <w:p>
      <w:pPr>
        <w:spacing w:before="120" w:after="120" w:line="288" w:lineRule="auto"/>
        <w:ind w:left="0" w:firstLine="420"/>
        <w:jc w:val="left"/>
      </w:pPr>
      <w:r>
        <w:rPr>
          <w:rFonts w:eastAsia="等线" w:ascii="Arial" w:cs="Arial" w:hAnsi="Arial"/>
          <w:sz w:val="22"/>
        </w:rPr>
        <w:t>按所投企业经第三方评估机构评估后确定的资产价格来确定股权转让价格。</w:t>
      </w:r>
    </w:p>
    <w:p>
      <w:pPr>
        <w:spacing w:before="120" w:after="120" w:line="288" w:lineRule="auto"/>
        <w:ind w:left="0" w:firstLine="420"/>
        <w:jc w:val="left"/>
      </w:pPr>
      <w:r>
        <w:rPr>
          <w:rFonts w:eastAsia="等线" w:ascii="Arial" w:cs="Arial" w:hAnsi="Arial"/>
          <w:sz w:val="22"/>
        </w:rPr>
        <w:t xml:space="preserve"> </w:t>
      </w:r>
    </w:p>
    <w:p>
      <w:pPr>
        <w:spacing w:before="120" w:after="120" w:line="288" w:lineRule="auto"/>
        <w:ind w:left="0" w:firstLine="42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firstLine="420"/>
        <w:jc w:val="center"/>
      </w:pPr>
      <w:r>
        <w:rPr>
          <w:rFonts w:eastAsia="等线" w:ascii="Arial" w:cs="Arial" w:hAnsi="Arial"/>
          <w:sz w:val="22"/>
        </w:rPr>
        <w:t xml:space="preserve"> </w:t>
      </w:r>
    </w:p>
    <w:p>
      <w:pPr>
        <w:pBdr>
          <w:bottom w:val="single" w:color="dee0e3"/>
          <w:between w:val="single" w:color="dee0e3"/>
        </w:pBdr>
        <w:spacing w:before="120" w:after="120" w:line="288" w:lineRule="auto"/>
        <w:ind w:left="0"/>
      </w:pPr>
    </w:p>
    <w:p>
      <w:pPr>
        <w:pStyle w:val="1"/>
        <w:spacing w:before="380" w:after="140" w:line="288" w:lineRule="auto"/>
        <w:ind w:left="0"/>
        <w:jc w:val="center"/>
        <w:outlineLvl w:val="0"/>
      </w:pPr>
      <w:bookmarkStart w:name="heading_45" w:id="45"/>
      <w:r>
        <w:rPr>
          <w:rFonts w:eastAsia="等线" w:ascii="Arial" w:cs="Arial" w:hAnsi="Arial"/>
          <w:b w:val="true"/>
          <w:sz w:val="36"/>
        </w:rPr>
        <w:t>第三编 风险控制管理制度（</w:t>
      </w:r>
      <w:r>
        <w:rPr>
          <w:rFonts w:eastAsia="等线" w:ascii="Arial" w:cs="Arial" w:hAnsi="Arial"/>
          <w:b w:val="true"/>
          <w:color w:val="3370ff"/>
          <w:sz w:val="36"/>
        </w:rPr>
        <w:t>@赵栋</w:t>
      </w:r>
      <w:r>
        <w:rPr>
          <w:rFonts w:eastAsia="等线" w:ascii="Arial" w:cs="Arial" w:hAnsi="Arial"/>
          <w:b w:val="true"/>
          <w:sz w:val="36"/>
        </w:rPr>
        <w:t>）（风控部）</w:t>
      </w:r>
      <w:bookmarkEnd w:id="45"/>
    </w:p>
    <w:p>
      <w:pPr>
        <w:pStyle w:val="2"/>
        <w:spacing w:before="320" w:after="120" w:line="288" w:lineRule="auto"/>
        <w:ind w:left="0"/>
        <w:jc w:val="center"/>
        <w:outlineLvl w:val="1"/>
      </w:pPr>
      <w:bookmarkStart w:name="heading_46" w:id="46"/>
      <w:r>
        <w:rPr>
          <w:rFonts w:eastAsia="等线" w:ascii="Arial" w:cs="Arial" w:hAnsi="Arial"/>
          <w:b w:val="true"/>
          <w:sz w:val="32"/>
        </w:rPr>
        <w:t>第一章 风险控制的主体与职责</w:t>
      </w:r>
      <w:bookmarkEnd w:id="46"/>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为了以监督促进公司各项经营制度的执行与落实，有效防范和控制公司经营活动中的潜在风险，设立合规与风险控制部（简称风控部）以及风险控制委员会（简称风控委）。</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风控部为风控工作执行机构，由</w:t>
      </w:r>
      <w:r>
        <w:rPr>
          <w:rFonts w:eastAsia="等线" w:ascii="Arial" w:cs="Arial" w:hAnsi="Arial"/>
          <w:color w:val="d83931"/>
          <w:sz w:val="22"/>
        </w:rPr>
        <w:t>二名</w:t>
      </w:r>
      <w:r>
        <w:rPr>
          <w:rFonts w:eastAsia="等线" w:ascii="Arial" w:cs="Arial" w:hAnsi="Arial"/>
          <w:sz w:val="22"/>
        </w:rPr>
        <w:t>风控人员组成，设风控部总监一名；风险控制委员会为风控决策机构，由二名风控部成员以及</w:t>
      </w:r>
      <w:r>
        <w:rPr>
          <w:rFonts w:eastAsia="等线" w:ascii="Arial" w:cs="Arial" w:hAnsi="Arial"/>
          <w:color w:val="d83931"/>
          <w:sz w:val="22"/>
        </w:rPr>
        <w:t>二名</w:t>
      </w:r>
      <w:r>
        <w:rPr>
          <w:rFonts w:eastAsia="等线" w:ascii="Arial" w:cs="Arial" w:hAnsi="Arial"/>
          <w:sz w:val="22"/>
        </w:rPr>
        <w:t>外部委员组成，设风控委主席一名；委员专业背景应包含财务、法务及公司投资领域相关技术背景。（赵栋，202503）</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风控部人员的聘任、解聘与离职谈话由风控委主席负责，风控委委员、风控委主席及风控部总监由董事会任命，风控部与风控委向董事会负责。</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风控部实行分工合作制，履行以下职责：</w:t>
      </w:r>
    </w:p>
    <w:p>
      <w:pPr>
        <w:spacing w:before="120" w:after="120" w:line="288" w:lineRule="auto"/>
        <w:ind w:left="0" w:firstLine="420"/>
        <w:jc w:val="left"/>
      </w:pPr>
      <w:r>
        <w:rPr>
          <w:rFonts w:eastAsia="等线" w:ascii="Arial" w:cs="Arial" w:hAnsi="Arial"/>
          <w:sz w:val="22"/>
        </w:rPr>
        <w:t>（一） 拟定《风险控制管理制度》与《基金管理人合规制度》；</w:t>
      </w:r>
    </w:p>
    <w:p>
      <w:pPr>
        <w:spacing w:before="120" w:after="120" w:line="288" w:lineRule="auto"/>
        <w:ind w:left="0" w:firstLine="420"/>
        <w:jc w:val="left"/>
      </w:pPr>
      <w:r>
        <w:rPr>
          <w:rFonts w:eastAsia="等线" w:ascii="Arial" w:cs="Arial" w:hAnsi="Arial"/>
          <w:sz w:val="22"/>
        </w:rPr>
        <w:t>（二） 负责募投管退各环节的风险控制管理工作，对基金运营和项目投资、管理及退出过程中的各种风险进行动态识别与评估，并独立于业务部门对相关主体进行合规审查与监督提示；</w:t>
      </w:r>
    </w:p>
    <w:p>
      <w:pPr>
        <w:spacing w:before="120" w:after="120" w:line="288" w:lineRule="auto"/>
        <w:ind w:left="0" w:firstLine="420"/>
        <w:jc w:val="left"/>
      </w:pPr>
      <w:r>
        <w:rPr>
          <w:rFonts w:eastAsia="等线" w:ascii="Arial" w:cs="Arial" w:hAnsi="Arial"/>
          <w:sz w:val="22"/>
        </w:rPr>
        <w:t>（三） 监督项目部在投资、投后管理及退出过程中的履职情况，并针对相关事项发表意见；</w:t>
      </w:r>
    </w:p>
    <w:p>
      <w:pPr>
        <w:spacing w:before="120" w:after="120" w:line="288" w:lineRule="auto"/>
        <w:ind w:left="0" w:firstLine="420"/>
        <w:jc w:val="left"/>
      </w:pPr>
      <w:r>
        <w:rPr>
          <w:rFonts w:eastAsia="等线" w:ascii="Arial" w:cs="Arial" w:hAnsi="Arial"/>
          <w:sz w:val="22"/>
        </w:rPr>
        <w:t xml:space="preserve">（四） </w:t>
      </w:r>
      <w:r>
        <w:rPr>
          <w:rFonts w:eastAsia="等线" w:ascii="Arial" w:cs="Arial" w:hAnsi="Arial"/>
          <w:color w:val="d83931"/>
          <w:sz w:val="22"/>
        </w:rPr>
        <w:t>对公司经营事项提出法律和风控意见；</w:t>
      </w:r>
    </w:p>
    <w:p>
      <w:pPr>
        <w:spacing w:before="120" w:after="120" w:line="288" w:lineRule="auto"/>
        <w:ind w:left="453"/>
        <w:jc w:val="left"/>
      </w:pPr>
      <w:r>
        <w:rPr>
          <w:rFonts w:eastAsia="等线" w:ascii="Arial" w:cs="Arial" w:hAnsi="Arial"/>
          <w:color w:val="d83931"/>
          <w:sz w:val="22"/>
        </w:rPr>
        <w:t xml:space="preserve"> （五） </w:t>
      </w:r>
      <w:r>
        <w:rPr>
          <w:rFonts w:eastAsia="等线" w:ascii="Arial" w:cs="Arial" w:hAnsi="Arial"/>
          <w:color w:val="d83931"/>
          <w:sz w:val="22"/>
        </w:rPr>
        <w:t>根据需要对其他部门工作提供专业支持；</w:t>
      </w:r>
      <w:r>
        <w:rPr>
          <w:rFonts w:eastAsia="等线" w:ascii="Arial" w:cs="Arial" w:hAnsi="Arial"/>
          <w:sz w:val="22"/>
        </w:rPr>
        <w:t>（赵栋，202503）</w:t>
      </w:r>
    </w:p>
    <w:p>
      <w:pPr>
        <w:spacing w:before="120" w:after="120" w:line="288" w:lineRule="auto"/>
        <w:ind w:left="0" w:firstLine="0"/>
        <w:jc w:val="left"/>
      </w:pPr>
      <w:r>
        <w:rPr>
          <w:rFonts w:eastAsia="等线" w:ascii="Arial" w:cs="Arial" w:hAnsi="Arial"/>
          <w:b w:val="true"/>
          <w:sz w:val="22"/>
        </w:rPr>
        <w:t xml:space="preserve">    </w:t>
      </w:r>
      <w:r>
        <w:rPr>
          <w:rFonts w:eastAsia="等线" w:ascii="Arial" w:cs="Arial" w:hAnsi="Arial"/>
          <w:sz w:val="22"/>
        </w:rPr>
        <w:t>（六） 风控部按照分工履行前述职责，实施及时有效的风险控制是风控部的核心工作目标，风控部成员在参加相关会议或讨论时应首先针对合规性进行提示或发表意见；</w:t>
      </w:r>
    </w:p>
    <w:p>
      <w:pPr>
        <w:spacing w:before="120" w:after="120" w:line="288" w:lineRule="auto"/>
        <w:ind w:left="0" w:firstLine="0"/>
        <w:jc w:val="left"/>
      </w:pPr>
      <w:r>
        <w:rPr>
          <w:rFonts w:eastAsia="等线" w:ascii="Arial" w:cs="Arial" w:hAnsi="Arial"/>
          <w:sz w:val="22"/>
        </w:rPr>
        <w:t xml:space="preserve">     （七） 风控部在参加投资阶段各类会议时，应该首先履行风险控制职责。</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风控部内部决策实行一人一票制，所有事项必须经三分之二以上成员通过方为有效，不允许弃权。</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风控委职责：负责对拟投资标的的投资方案与已投项目的退出方案进行风险评估，并向投委会提交前置性风控决策意见。</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风控部总监职责：</w:t>
      </w:r>
    </w:p>
    <w:p>
      <w:pPr>
        <w:numPr>
          <w:numId w:val="198"/>
        </w:numPr>
        <w:spacing w:before="120" w:after="120" w:line="288" w:lineRule="auto"/>
        <w:ind w:left="453"/>
        <w:jc w:val="left"/>
      </w:pPr>
      <w:r>
        <w:rPr>
          <w:rFonts w:eastAsia="等线" w:ascii="Arial" w:cs="Arial" w:hAnsi="Arial"/>
          <w:sz w:val="22"/>
        </w:rPr>
        <w:t>主持风控部日常管理工作；</w:t>
      </w:r>
    </w:p>
    <w:p>
      <w:pPr>
        <w:spacing w:before="120" w:after="120" w:line="288" w:lineRule="auto"/>
        <w:ind w:left="0" w:firstLine="420"/>
        <w:jc w:val="left"/>
      </w:pPr>
      <w:r>
        <w:rPr>
          <w:rFonts w:eastAsia="等线" w:ascii="Arial" w:cs="Arial" w:hAnsi="Arial"/>
          <w:sz w:val="22"/>
        </w:rPr>
        <w:t>（二） 召集主持风控部门例会及相关临时会议；</w:t>
      </w:r>
    </w:p>
    <w:p>
      <w:pPr>
        <w:spacing w:before="120" w:after="120" w:line="288" w:lineRule="auto"/>
        <w:ind w:left="0" w:firstLine="420"/>
        <w:jc w:val="left"/>
      </w:pPr>
      <w:r>
        <w:rPr>
          <w:rFonts w:eastAsia="等线" w:ascii="Arial" w:cs="Arial" w:hAnsi="Arial"/>
          <w:sz w:val="22"/>
        </w:rPr>
        <w:t>（三） 结合风控部各项职责确定风控部内部分工；</w:t>
      </w:r>
    </w:p>
    <w:p>
      <w:pPr>
        <w:spacing w:before="120" w:after="120" w:line="288" w:lineRule="auto"/>
        <w:ind w:left="0" w:firstLine="420"/>
        <w:jc w:val="left"/>
      </w:pPr>
      <w:r>
        <w:rPr>
          <w:rFonts w:eastAsia="等线" w:ascii="Arial" w:cs="Arial" w:hAnsi="Arial"/>
          <w:sz w:val="22"/>
        </w:rPr>
        <w:t>（四） 风决会结束后，组织对项目部提交风决会的调研报告、附件等打分，打分时侧重三性要求及项目部成员在整个调研过程中的工作质量与完成度；</w:t>
      </w:r>
    </w:p>
    <w:p>
      <w:pPr>
        <w:spacing w:before="120" w:after="120" w:line="288" w:lineRule="auto"/>
        <w:ind w:left="0" w:firstLine="420"/>
        <w:jc w:val="left"/>
      </w:pPr>
      <w:r>
        <w:rPr>
          <w:rFonts w:eastAsia="等线" w:ascii="Arial" w:cs="Arial" w:hAnsi="Arial"/>
          <w:sz w:val="22"/>
        </w:rPr>
        <w:t>（五） 组织投后管理沟通会议与投后管理审查工作；</w:t>
      </w:r>
    </w:p>
    <w:p>
      <w:pPr>
        <w:spacing w:before="120" w:after="120" w:line="288" w:lineRule="auto"/>
        <w:ind w:left="0" w:firstLine="420"/>
        <w:jc w:val="left"/>
      </w:pPr>
      <w:r>
        <w:rPr>
          <w:rFonts w:eastAsia="等线" w:ascii="Arial" w:cs="Arial" w:hAnsi="Arial"/>
          <w:sz w:val="22"/>
        </w:rPr>
        <w:t>（六） 牵头开展管理人与各基金主体的日常维护、信息披露及其他运营合规工作；</w:t>
      </w:r>
    </w:p>
    <w:p>
      <w:pPr>
        <w:spacing w:before="120" w:after="120" w:line="288" w:lineRule="auto"/>
        <w:ind w:left="0" w:firstLine="420"/>
        <w:jc w:val="left"/>
      </w:pPr>
      <w:r>
        <w:rPr>
          <w:rFonts w:eastAsia="等线" w:ascii="Arial" w:cs="Arial" w:hAnsi="Arial"/>
          <w:sz w:val="22"/>
        </w:rPr>
        <w:t>（七） 扩大会交办的其他工作。</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风控委主席职责：</w:t>
      </w:r>
    </w:p>
    <w:p>
      <w:pPr>
        <w:spacing w:before="120" w:after="120" w:line="288" w:lineRule="auto"/>
        <w:ind w:left="0" w:firstLine="420"/>
        <w:jc w:val="left"/>
      </w:pPr>
      <w:r>
        <w:rPr>
          <w:rFonts w:eastAsia="等线" w:ascii="Arial" w:cs="Arial" w:hAnsi="Arial"/>
          <w:sz w:val="22"/>
        </w:rPr>
        <w:t>（一） 主持风控委全面工作；</w:t>
      </w:r>
    </w:p>
    <w:p>
      <w:pPr>
        <w:spacing w:before="120" w:after="120" w:line="288" w:lineRule="auto"/>
        <w:ind w:left="0" w:firstLine="420"/>
        <w:jc w:val="left"/>
      </w:pPr>
      <w:r>
        <w:rPr>
          <w:rFonts w:eastAsia="等线" w:ascii="Arial" w:cs="Arial" w:hAnsi="Arial"/>
          <w:sz w:val="22"/>
        </w:rPr>
        <w:t>（二） 召集并主持风决会；</w:t>
      </w:r>
    </w:p>
    <w:p>
      <w:pPr>
        <w:spacing w:before="120" w:after="120" w:line="288" w:lineRule="auto"/>
        <w:ind w:left="0" w:firstLine="420"/>
        <w:jc w:val="left"/>
      </w:pPr>
      <w:r>
        <w:rPr>
          <w:rFonts w:eastAsia="等线" w:ascii="Arial" w:cs="Arial" w:hAnsi="Arial"/>
          <w:sz w:val="22"/>
        </w:rPr>
        <w:t>（三） 组织实施董事会决议；</w:t>
      </w:r>
    </w:p>
    <w:p>
      <w:pPr>
        <w:spacing w:before="120" w:after="120" w:line="288" w:lineRule="auto"/>
        <w:ind w:left="0" w:firstLine="420"/>
        <w:jc w:val="left"/>
      </w:pPr>
      <w:r>
        <w:rPr>
          <w:rFonts w:eastAsia="等线" w:ascii="Arial" w:cs="Arial" w:hAnsi="Arial"/>
          <w:sz w:val="22"/>
        </w:rPr>
        <w:t>（四） 代表风控委向董事会做工作报告；</w:t>
      </w:r>
    </w:p>
    <w:p>
      <w:pPr>
        <w:spacing w:before="120" w:after="120" w:line="288" w:lineRule="auto"/>
        <w:ind w:left="0" w:firstLine="420"/>
        <w:jc w:val="left"/>
      </w:pPr>
      <w:r>
        <w:rPr>
          <w:rFonts w:eastAsia="等线" w:ascii="Arial" w:cs="Arial" w:hAnsi="Arial"/>
          <w:sz w:val="22"/>
        </w:rPr>
        <w:t>（五） 董事会交办的其他工作。</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除有特殊约定外，第三编相关内容适用于境内外各基金管理团队及投资主体。</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附件：</w:t>
      </w:r>
      <w:r>
        <w:rPr>
          <w:rFonts w:eastAsia="等线" w:ascii="Arial" w:cs="Arial" w:hAnsi="Arial"/>
          <w:sz w:val="22"/>
        </w:rPr>
        <w:t xml:space="preserve"> </w:t>
      </w:r>
      <w:hyperlink r:id="rId36">
        <w:r>
          <w:rPr>
            <w:rFonts w:eastAsia="等线" w:ascii="Arial" w:cs="Arial" w:hAnsi="Arial"/>
            <w:color w:val="3370ff"/>
            <w:sz w:val="22"/>
          </w:rPr>
          <w:t>附件3101-风控人员职责分工202402</w:t>
        </w:r>
      </w:hyperlink>
      <w:r>
        <w:rPr>
          <w:rFonts w:eastAsia="等线" w:ascii="Arial" w:cs="Arial" w:hAnsi="Arial"/>
          <w:sz w:val="22"/>
        </w:rPr>
        <w:t xml:space="preserve"> </w:t>
      </w:r>
    </w:p>
    <w:p>
      <w:pPr>
        <w:spacing w:before="120" w:after="120" w:line="288" w:lineRule="auto"/>
        <w:ind w:left="0" w:firstLine="420"/>
        <w:jc w:val="left"/>
      </w:pP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47" w:id="47"/>
      <w:r>
        <w:rPr>
          <w:rFonts w:eastAsia="等线" w:ascii="Arial" w:cs="Arial" w:hAnsi="Arial"/>
          <w:b w:val="true"/>
          <w:sz w:val="32"/>
        </w:rPr>
        <w:t>第二章 基金管理人与基金的风险控制</w:t>
      </w:r>
      <w:bookmarkEnd w:id="47"/>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风控部通过对基金管理人备案登记、基金募集、设立、运行及清算过程中各项工作的监督，以及基金管理人与各基金主体的重大变更、信息披露的日常管理实施风险控制管理。</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工作内容：</w:t>
      </w:r>
    </w:p>
    <w:p>
      <w:pPr>
        <w:spacing w:before="120" w:after="120" w:line="288" w:lineRule="auto"/>
        <w:ind w:left="0" w:firstLine="420"/>
        <w:jc w:val="left"/>
      </w:pPr>
      <w:r>
        <w:rPr>
          <w:rFonts w:eastAsia="等线" w:ascii="Arial" w:cs="Arial" w:hAnsi="Arial"/>
          <w:sz w:val="22"/>
        </w:rPr>
        <w:t>（一） 出席基金管理人备案与基金设立相关的重要会议，参与管理人架构设计与基金设立方案等相关事项的讨论，负责相关文件的拟订，对管理人备案登记与基金设立所涉各项工作的程序与内容的合法合规性进行审核；负责针对中基协问询进行反馈；</w:t>
      </w:r>
    </w:p>
    <w:p>
      <w:pPr>
        <w:spacing w:before="120" w:after="120" w:line="288" w:lineRule="auto"/>
        <w:ind w:left="0" w:firstLine="420"/>
        <w:jc w:val="left"/>
      </w:pPr>
      <w:r>
        <w:rPr>
          <w:rFonts w:eastAsia="等线" w:ascii="Arial" w:cs="Arial" w:hAnsi="Arial"/>
          <w:sz w:val="22"/>
        </w:rPr>
        <w:t>（二） 基金运行过程中负责监督合伙协议的执行情况、合伙人会议决议的落实情况与基金的合规运行情况；</w:t>
      </w:r>
    </w:p>
    <w:p>
      <w:pPr>
        <w:spacing w:before="120" w:after="120" w:line="288" w:lineRule="auto"/>
        <w:ind w:left="0" w:firstLine="420"/>
        <w:jc w:val="left"/>
      </w:pPr>
      <w:r>
        <w:rPr>
          <w:rFonts w:eastAsia="等线" w:ascii="Arial" w:cs="Arial" w:hAnsi="Arial"/>
          <w:sz w:val="22"/>
        </w:rPr>
        <w:t>（三） 出席基金清算过程中的重要会议，参与基金清算方案的讨论，参与基金清算过程汇总各类文件的讨论；</w:t>
      </w:r>
    </w:p>
    <w:p>
      <w:pPr>
        <w:spacing w:before="120" w:after="120" w:line="288" w:lineRule="auto"/>
        <w:ind w:left="0" w:firstLine="420"/>
        <w:jc w:val="left"/>
      </w:pPr>
      <w:r>
        <w:rPr>
          <w:rFonts w:eastAsia="等线" w:ascii="Arial" w:cs="Arial" w:hAnsi="Arial"/>
          <w:sz w:val="22"/>
        </w:rPr>
        <w:t>（四） 负责管理人与各基金主体的重大变更、信息披露及相关运营合规工作；（《管理人及基金全年信批及官方系统维护合规事项》详见附件3201）</w:t>
      </w:r>
    </w:p>
    <w:p>
      <w:pPr>
        <w:spacing w:before="120" w:after="120" w:line="288" w:lineRule="auto"/>
        <w:ind w:left="0" w:firstLine="420"/>
        <w:jc w:val="left"/>
      </w:pPr>
      <w:r>
        <w:rPr>
          <w:rFonts w:eastAsia="等线" w:ascii="Arial" w:cs="Arial" w:hAnsi="Arial"/>
          <w:sz w:val="22"/>
        </w:rPr>
        <w:t>（五） 负责组织实施基金从业人员资格管理和后续职业培训，监督规范从业人员遵守《基金从业人员管理规则》的行为；</w:t>
      </w:r>
    </w:p>
    <w:p>
      <w:pPr>
        <w:spacing w:before="120" w:after="120" w:line="288" w:lineRule="auto"/>
        <w:ind w:left="0" w:firstLine="420"/>
        <w:jc w:val="left"/>
      </w:pPr>
      <w:r>
        <w:rPr>
          <w:rFonts w:eastAsia="等线" w:ascii="Arial" w:cs="Arial" w:hAnsi="Arial"/>
          <w:sz w:val="22"/>
        </w:rPr>
        <w:t>（六） 负责与中基协等监管部门的沟通，主动了解、掌握相关法律法规及监管部门的监管政策和动态，对新出的政策及动态及时在例会上讨论分项，为基金合规工作的开展提供即时有效的依据</w:t>
      </w:r>
    </w:p>
    <w:p>
      <w:pPr>
        <w:spacing w:before="120" w:after="120" w:line="288" w:lineRule="auto"/>
        <w:ind w:left="0" w:firstLine="0"/>
        <w:jc w:val="left"/>
      </w:pPr>
      <w:r>
        <w:rPr>
          <w:rFonts w:eastAsia="等线" w:ascii="Arial" w:cs="Arial" w:hAnsi="Arial"/>
          <w:sz w:val="22"/>
        </w:rPr>
        <w:t xml:space="preserve">    （七）如涉及到基金投资境外项目，需要按照国家相关机构关于资金出境的监管要求办理审批手续，确保合规合法、风险可控。</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附件：</w:t>
      </w:r>
      <w:hyperlink r:id="rId37">
        <w:r>
          <w:rPr>
            <w:rFonts w:eastAsia="等线" w:ascii="Arial" w:cs="Arial" w:hAnsi="Arial"/>
            <w:color w:val="3370ff"/>
            <w:sz w:val="22"/>
          </w:rPr>
          <w:t>附件3201-管理人及基金全年信批及官方系统维护合规事项</w:t>
        </w:r>
      </w:hyperlink>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48" w:id="48"/>
      <w:r>
        <w:rPr>
          <w:rFonts w:eastAsia="等线" w:ascii="Arial" w:cs="Arial" w:hAnsi="Arial"/>
          <w:b w:val="true"/>
          <w:sz w:val="32"/>
        </w:rPr>
        <w:t>第三章 投资管理的风险控制</w:t>
      </w:r>
      <w:bookmarkEnd w:id="48"/>
    </w:p>
    <w:p>
      <w:pPr>
        <w:spacing w:before="120" w:after="120" w:line="288" w:lineRule="auto"/>
        <w:ind w:left="0" w:firstLine="420"/>
        <w:jc w:val="left"/>
      </w:pPr>
      <w:r>
        <w:rPr>
          <w:rFonts w:eastAsia="等线" w:ascii="Arial" w:cs="Arial" w:hAnsi="Arial"/>
          <w:sz w:val="22"/>
        </w:rPr>
        <w:t>风控部负责经营过程中投资、投后管理及项目退出全过程中的风险控制，评估项目部在投资调研中的真实性、全面性与严谨性，对项目部在投后管理与退出过程中的相关工作程序与内容进行监督；监督已投项目全面落实章程和投资协议的情况，监督项目退出过程的合规性，并针对相关事项发表风控意见。</w:t>
      </w:r>
    </w:p>
    <w:p>
      <w:pPr>
        <w:pStyle w:val="3"/>
        <w:spacing w:before="300" w:after="120" w:line="288" w:lineRule="auto"/>
        <w:ind w:left="0"/>
        <w:jc w:val="center"/>
        <w:outlineLvl w:val="2"/>
      </w:pPr>
      <w:bookmarkStart w:name="heading_49" w:id="49"/>
      <w:r>
        <w:rPr>
          <w:rFonts w:eastAsia="等线" w:ascii="Arial" w:cs="Arial" w:hAnsi="Arial"/>
          <w:b w:val="true"/>
          <w:sz w:val="30"/>
        </w:rPr>
        <w:t>第一节 投资阶段风险控制</w:t>
      </w:r>
      <w:bookmarkEnd w:id="49"/>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投资阶段是从指项目调研到打款的阶段。</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投资阶段风险控制的主要目标：</w:t>
      </w:r>
    </w:p>
    <w:p>
      <w:pPr>
        <w:spacing w:before="120" w:after="120" w:line="288" w:lineRule="auto"/>
        <w:ind w:left="0" w:firstLine="420"/>
        <w:jc w:val="left"/>
      </w:pPr>
      <w:r>
        <w:rPr>
          <w:rFonts w:eastAsia="等线" w:ascii="Arial" w:cs="Arial" w:hAnsi="Arial"/>
          <w:sz w:val="22"/>
        </w:rPr>
        <w:t>（一） 监督项目部执行公司投资相关制度的情况；</w:t>
      </w:r>
    </w:p>
    <w:p>
      <w:pPr>
        <w:spacing w:before="120" w:after="120" w:line="288" w:lineRule="auto"/>
        <w:ind w:left="0" w:firstLine="420"/>
        <w:jc w:val="left"/>
      </w:pPr>
      <w:r>
        <w:rPr>
          <w:rFonts w:eastAsia="等线" w:ascii="Arial" w:cs="Arial" w:hAnsi="Arial"/>
          <w:sz w:val="22"/>
        </w:rPr>
        <w:t>（二） 通过监督提示让项目部按照公司投资相关制度执行，提高项目部项目调研的真实性、全面性与严谨性。</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真实性是指项目部在调研过程中获取的资料、信息客观存在，不存在伪造、变造、篡改等虚假情况；全面性是指项目部调研内容是否覆盖了调研要点，未覆盖的要点是否做了说明；严谨性是指项目部的主要观点是否有足够的客观数据或证据支撑，论证的过程是否科学，逻辑是否自洽。</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工作内容：</w:t>
      </w:r>
    </w:p>
    <w:p>
      <w:pPr>
        <w:spacing w:before="120" w:after="120" w:line="288" w:lineRule="auto"/>
        <w:ind w:left="0" w:firstLine="420"/>
        <w:jc w:val="left"/>
      </w:pPr>
      <w:r>
        <w:rPr>
          <w:rFonts w:eastAsia="等线" w:ascii="Arial" w:cs="Arial" w:hAnsi="Arial"/>
          <w:sz w:val="22"/>
        </w:rPr>
        <w:t>（一） 监督项目部项目推进流程是否符合制度要求；</w:t>
      </w:r>
    </w:p>
    <w:p>
      <w:pPr>
        <w:spacing w:before="120" w:after="120" w:line="288" w:lineRule="auto"/>
        <w:ind w:left="0" w:firstLine="420"/>
        <w:jc w:val="left"/>
      </w:pPr>
      <w:r>
        <w:rPr>
          <w:rFonts w:eastAsia="等线" w:ascii="Arial" w:cs="Arial" w:hAnsi="Arial"/>
          <w:sz w:val="22"/>
        </w:rPr>
        <w:t>（二） 流程中各环节会议的召开程序是否符合制度要求；</w:t>
      </w:r>
    </w:p>
    <w:p>
      <w:pPr>
        <w:spacing w:before="120" w:after="120" w:line="288" w:lineRule="auto"/>
        <w:ind w:left="0" w:firstLine="0"/>
        <w:jc w:val="left"/>
      </w:pPr>
      <w:r>
        <w:rPr>
          <w:rFonts w:eastAsia="等线" w:ascii="Arial" w:cs="Arial" w:hAnsi="Arial"/>
          <w:sz w:val="22"/>
        </w:rPr>
        <w:t xml:space="preserve">    （三） 参加立项预备会，风控部成员对照《立项前所需调研材料清单》，评估项目部调研的真实性、全面性与严谨性进行提示；</w:t>
      </w:r>
    </w:p>
    <w:p>
      <w:pPr>
        <w:spacing w:before="120" w:after="120" w:line="288" w:lineRule="auto"/>
        <w:ind w:left="0" w:firstLine="420"/>
        <w:jc w:val="left"/>
      </w:pPr>
      <w:r>
        <w:rPr>
          <w:rFonts w:eastAsia="等线" w:ascii="Arial" w:cs="Arial" w:hAnsi="Arial"/>
          <w:sz w:val="22"/>
        </w:rPr>
        <w:t>（四） 参加立项会，就关注的问题与项目方直接沟通；</w:t>
      </w:r>
    </w:p>
    <w:p>
      <w:pPr>
        <w:spacing w:before="120" w:after="120" w:line="288" w:lineRule="auto"/>
        <w:ind w:left="0" w:firstLine="420"/>
        <w:jc w:val="left"/>
      </w:pPr>
      <w:r>
        <w:rPr>
          <w:rFonts w:eastAsia="等线" w:ascii="Arial" w:cs="Arial" w:hAnsi="Arial"/>
          <w:sz w:val="22"/>
        </w:rPr>
        <w:t>（五） 参加项目讨论会，各委员对照《负面清单与调研要点》评估项目部调研报告的真实性、全面性与严谨性，并在讨论会及月度会上进行提示；</w:t>
      </w:r>
    </w:p>
    <w:p>
      <w:pPr>
        <w:spacing w:before="120" w:after="120" w:line="288" w:lineRule="auto"/>
        <w:ind w:left="0" w:firstLine="420"/>
        <w:jc w:val="left"/>
      </w:pPr>
      <w:r>
        <w:rPr>
          <w:rFonts w:eastAsia="等线" w:ascii="Arial" w:cs="Arial" w:hAnsi="Arial"/>
          <w:sz w:val="22"/>
        </w:rPr>
        <w:t>（六）两次项目讨论会后，由风控总监进行分工，撰写对于项目真实性、全面性与严谨性的审核意见供决策参考；针对仍未解决的三性问题在月度会上进行重点提示；鉴于目前风控部缺少医疗健康与智能制造相关专业背景的成员，每次风决会前须由风控总监协调一名一/二部成员针对行业、技术与市场章节提供三性审查辅助性支持，如涉及前述风控及一/二部成员自己负责的项目，应遵循回避原则；</w:t>
      </w:r>
    </w:p>
    <w:p>
      <w:pPr>
        <w:spacing w:before="120" w:after="120" w:line="288" w:lineRule="auto"/>
        <w:ind w:left="0" w:firstLine="420"/>
        <w:jc w:val="left"/>
      </w:pPr>
      <w:r>
        <w:rPr>
          <w:rFonts w:eastAsia="等线" w:ascii="Arial" w:cs="Arial" w:hAnsi="Arial"/>
          <w:sz w:val="22"/>
        </w:rPr>
        <w:t>（七） 召开风控委投资决策会并做出决议供投委会参考；</w:t>
      </w:r>
    </w:p>
    <w:p>
      <w:pPr>
        <w:spacing w:before="120" w:after="120" w:line="288" w:lineRule="auto"/>
        <w:ind w:left="0" w:firstLine="420"/>
        <w:jc w:val="left"/>
      </w:pPr>
      <w:r>
        <w:rPr>
          <w:rFonts w:eastAsia="等线" w:ascii="Arial" w:cs="Arial" w:hAnsi="Arial"/>
          <w:sz w:val="22"/>
        </w:rPr>
        <w:t>（八） 若项目最终获得通过，对照投委会决议以及公司《投资协议》制度模板，风控部参加投资协议的讨论过程。</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50" w:id="50"/>
      <w:r>
        <w:rPr>
          <w:rFonts w:eastAsia="等线" w:ascii="Arial" w:cs="Arial" w:hAnsi="Arial"/>
          <w:b w:val="true"/>
          <w:sz w:val="30"/>
        </w:rPr>
        <w:t>第二节 投后管理阶段风险控制</w:t>
      </w:r>
      <w:bookmarkEnd w:id="50"/>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投后阶段是从项目打款后到项目退出前的阶段。</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风控部将部门成员分派到各投后小组，主要依托投后小组平台发挥在投后阶段风控控制职能。</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对于所投项目的监督实行分工责任制，每个项目安排专责风控人员，专责风控需要熟悉项目投资协议、章程及其他必要的重要文件，重点履行该项目的监督职责。</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投后管理阶段风险控制的主要目标：</w:t>
      </w:r>
    </w:p>
    <w:p>
      <w:pPr>
        <w:spacing w:before="120" w:after="120" w:line="288" w:lineRule="auto"/>
        <w:ind w:left="0" w:firstLine="420"/>
        <w:jc w:val="left"/>
      </w:pPr>
      <w:r>
        <w:rPr>
          <w:rFonts w:eastAsia="等线" w:ascii="Arial" w:cs="Arial" w:hAnsi="Arial"/>
          <w:sz w:val="22"/>
        </w:rPr>
        <w:t>（一） 确保所投企业履行各轮投资协议与章程；</w:t>
      </w:r>
    </w:p>
    <w:p>
      <w:pPr>
        <w:spacing w:before="120" w:after="120" w:line="288" w:lineRule="auto"/>
        <w:ind w:left="0" w:firstLine="420"/>
        <w:jc w:val="left"/>
      </w:pPr>
      <w:r>
        <w:rPr>
          <w:rFonts w:eastAsia="等线" w:ascii="Arial" w:cs="Arial" w:hAnsi="Arial"/>
          <w:sz w:val="22"/>
        </w:rPr>
        <w:t>（二） 增强所投企业管理规范性；</w:t>
      </w:r>
    </w:p>
    <w:p>
      <w:pPr>
        <w:spacing w:before="120" w:after="120" w:line="288" w:lineRule="auto"/>
        <w:ind w:left="0" w:firstLine="420"/>
        <w:jc w:val="left"/>
      </w:pPr>
      <w:r>
        <w:rPr>
          <w:rFonts w:eastAsia="等线" w:ascii="Arial" w:cs="Arial" w:hAnsi="Arial"/>
          <w:sz w:val="22"/>
        </w:rPr>
        <w:t>（三） 监督项目部执行投后管理相关制度。</w:t>
      </w:r>
    </w:p>
    <w:p>
      <w:pPr>
        <w:spacing w:before="120" w:after="120" w:line="288" w:lineRule="auto"/>
        <w:ind w:left="0" w:firstLine="0"/>
        <w:jc w:val="left"/>
      </w:pPr>
      <w:r>
        <w:rPr>
          <w:rFonts w:eastAsia="等线" w:ascii="Arial" w:cs="Arial" w:hAnsi="Arial"/>
          <w:b w:val="true"/>
          <w:sz w:val="22"/>
        </w:rPr>
        <w:t xml:space="preserve">    第五条</w:t>
      </w:r>
      <w:r>
        <w:rPr>
          <w:rFonts w:eastAsia="等线" w:ascii="Arial" w:cs="Arial" w:hAnsi="Arial"/>
          <w:sz w:val="22"/>
        </w:rPr>
        <w:t xml:space="preserve"> 工作内容：</w:t>
      </w:r>
    </w:p>
    <w:p>
      <w:pPr>
        <w:spacing w:before="120" w:after="120" w:line="288" w:lineRule="auto"/>
        <w:ind w:left="0" w:firstLine="420"/>
        <w:jc w:val="left"/>
      </w:pPr>
      <w:r>
        <w:rPr>
          <w:rFonts w:eastAsia="等线" w:ascii="Arial" w:cs="Arial" w:hAnsi="Arial"/>
          <w:sz w:val="22"/>
        </w:rPr>
        <w:t>（一） 在首次投资后由风控部总监组织投后管理理念沟通；</w:t>
      </w:r>
    </w:p>
    <w:p>
      <w:pPr>
        <w:spacing w:before="120" w:after="120" w:line="288" w:lineRule="auto"/>
        <w:ind w:left="0" w:firstLine="420"/>
        <w:jc w:val="left"/>
      </w:pPr>
      <w:r>
        <w:rPr>
          <w:rFonts w:eastAsia="等线" w:ascii="Arial" w:cs="Arial" w:hAnsi="Arial"/>
          <w:sz w:val="22"/>
        </w:rPr>
        <w:t>（二） 参加投后管理讨论会，了解企业发展现状，监督提示所投企业履行各轮投资协议与章程的情况，针对提交投后管理小组讨论、决策的事项发表意见；针对投后两轮内的分管项目，每年至少参与一次实地投后管理；</w:t>
      </w:r>
    </w:p>
    <w:p>
      <w:pPr>
        <w:spacing w:before="120" w:after="120" w:line="288" w:lineRule="auto"/>
        <w:ind w:left="0" w:firstLine="420"/>
        <w:jc w:val="left"/>
      </w:pPr>
      <w:r>
        <w:rPr>
          <w:rFonts w:eastAsia="等线" w:ascii="Arial" w:cs="Arial" w:hAnsi="Arial"/>
          <w:sz w:val="22"/>
        </w:rPr>
        <w:t>（三） 组织投后管理审查：</w:t>
      </w:r>
      <w:r>
        <w:rPr>
          <w:rFonts w:eastAsia="等线" w:ascii="Arial" w:cs="Arial" w:hAnsi="Arial"/>
          <w:color w:val="d83931"/>
          <w:sz w:val="22"/>
        </w:rPr>
        <w:t>风控部总监负责组织投后管理审查并根据需要抽调投后小组成员参与审查；各项目专责风控适时拟订审查名单，经风控部讨论后确定。审查前专责风控将《投后管理审查清单》上传至投资云，项目部协调被投企业根据清单要求准备相关资料；审查结束后，审查人员按照分工编写《投后管理审查意见》（附件3321），由风控总监复核后提交扩大会确定；专责风控负责将扩大会通过的《投后管理审查意见》上传至投资云，并由项目部转发给被投企业；针对审查中发现的重大问题，由专职风控在投后管理讨论会上予以专项说明，风控部负责持续监督投后审查意见的执行情况。（赵栋，202503）</w:t>
      </w:r>
    </w:p>
    <w:p>
      <w:pPr>
        <w:spacing w:before="120" w:after="120" w:line="288" w:lineRule="auto"/>
        <w:ind w:left="0" w:firstLine="420"/>
        <w:jc w:val="left"/>
      </w:pPr>
      <w:r>
        <w:rPr>
          <w:rFonts w:eastAsia="等线" w:ascii="Arial" w:cs="Arial" w:hAnsi="Arial"/>
          <w:sz w:val="22"/>
        </w:rPr>
        <w:t>（四） 依据公司制度参与投后小组的其他工作如协议讨论、三会意见讨论等；对所投项目获得的其他机构的TS和投资协议，风控部要在项目部意见的基础上全体参与审核并给出意见；</w:t>
      </w:r>
    </w:p>
    <w:p>
      <w:pPr>
        <w:spacing w:before="120" w:after="120" w:line="288" w:lineRule="auto"/>
        <w:ind w:left="0" w:firstLine="420"/>
        <w:jc w:val="left"/>
      </w:pPr>
      <w:r>
        <w:rPr>
          <w:rFonts w:eastAsia="等线" w:ascii="Arial" w:cs="Arial" w:hAnsi="Arial"/>
          <w:sz w:val="22"/>
        </w:rPr>
        <w:t>（五） 监督项目部针对已投项目“文档资料”提交的合规性、完整性。</w:t>
      </w:r>
    </w:p>
    <w:p>
      <w:pPr>
        <w:spacing w:before="120" w:after="120" w:line="288" w:lineRule="auto"/>
        <w:ind w:left="0" w:firstLine="420"/>
        <w:jc w:val="left"/>
      </w:pPr>
      <w:r>
        <w:rPr>
          <w:rFonts w:eastAsia="等线" w:ascii="Arial" w:cs="Arial" w:hAnsi="Arial"/>
          <w:color w:val="d83931"/>
          <w:sz w:val="22"/>
        </w:rPr>
        <w:t>（六）监督项目部完成季度投后数据录入。（总经办，202507）</w:t>
      </w:r>
    </w:p>
    <w:p>
      <w:pPr>
        <w:spacing w:before="120" w:after="120" w:line="288" w:lineRule="auto"/>
        <w:ind w:left="0" w:firstLine="42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 xml:space="preserve"> 附件：</w:t>
      </w:r>
      <w:hyperlink r:id="rId38">
        <w:r>
          <w:rPr>
            <w:rFonts w:eastAsia="等线" w:ascii="Arial" w:cs="Arial" w:hAnsi="Arial"/>
            <w:color w:val="3370ff"/>
            <w:sz w:val="22"/>
          </w:rPr>
          <w:t>附件3321-《投后管理审查清单》</w:t>
        </w:r>
      </w:hyperlink>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51" w:id="51"/>
      <w:r>
        <w:rPr>
          <w:rFonts w:eastAsia="等线" w:ascii="Arial" w:cs="Arial" w:hAnsi="Arial"/>
          <w:b w:val="true"/>
          <w:sz w:val="30"/>
        </w:rPr>
        <w:t>第三节 退出阶段风险控制</w:t>
      </w:r>
      <w:bookmarkEnd w:id="51"/>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退出阶段是指有权机构做出退出决议到收到股权转让款，并完成工商变更、税务缴纳与基协信披的阶段。</w:t>
      </w:r>
    </w:p>
    <w:p>
      <w:pPr>
        <w:spacing w:before="120" w:after="120" w:line="288" w:lineRule="auto"/>
        <w:ind w:left="0" w:firstLine="0"/>
        <w:jc w:val="left"/>
      </w:pPr>
      <w:r>
        <w:rPr>
          <w:rFonts w:eastAsia="等线" w:ascii="Arial" w:cs="Arial" w:hAnsi="Arial"/>
          <w:b w:val="true"/>
          <w:sz w:val="22"/>
        </w:rPr>
        <w:t xml:space="preserve">    第二条</w:t>
      </w:r>
      <w:r>
        <w:rPr>
          <w:rFonts w:eastAsia="等线" w:ascii="Arial" w:cs="Arial" w:hAnsi="Arial"/>
          <w:sz w:val="22"/>
        </w:rPr>
        <w:t xml:space="preserve"> 退出阶段风险控制的主要目标：</w:t>
      </w:r>
    </w:p>
    <w:p>
      <w:pPr>
        <w:spacing w:before="120" w:after="120" w:line="288" w:lineRule="auto"/>
        <w:ind w:left="0" w:firstLine="420"/>
        <w:jc w:val="left"/>
      </w:pPr>
      <w:r>
        <w:rPr>
          <w:rFonts w:eastAsia="等线" w:ascii="Arial" w:cs="Arial" w:hAnsi="Arial"/>
          <w:sz w:val="22"/>
        </w:rPr>
        <w:t>（一） 确保退出决策程序合法合规、执行程序合法合规；</w:t>
      </w:r>
    </w:p>
    <w:p>
      <w:pPr>
        <w:spacing w:before="120" w:after="120" w:line="288" w:lineRule="auto"/>
        <w:ind w:left="0" w:firstLine="420"/>
        <w:jc w:val="left"/>
      </w:pPr>
      <w:r>
        <w:rPr>
          <w:rFonts w:eastAsia="等线" w:ascii="Arial" w:cs="Arial" w:hAnsi="Arial"/>
          <w:sz w:val="22"/>
        </w:rPr>
        <w:t>（二）保障退出方案合规性；</w:t>
      </w:r>
    </w:p>
    <w:p>
      <w:pPr>
        <w:spacing w:before="120" w:after="120" w:line="288" w:lineRule="auto"/>
        <w:ind w:left="0" w:firstLine="420"/>
        <w:jc w:val="left"/>
      </w:pPr>
      <w:r>
        <w:rPr>
          <w:rFonts w:eastAsia="等线" w:ascii="Arial" w:cs="Arial" w:hAnsi="Arial"/>
          <w:sz w:val="22"/>
        </w:rPr>
        <w:t>（三） 确保退出环节的相关交易文件、登记备案手续及信息披露等的全面性、真实性与合法合规。</w:t>
      </w: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52" w:id="52"/>
      <w:r>
        <w:rPr>
          <w:rFonts w:eastAsia="等线" w:ascii="Arial" w:cs="Arial" w:hAnsi="Arial"/>
          <w:b w:val="true"/>
          <w:sz w:val="32"/>
        </w:rPr>
        <w:t>第四章 风控会议制度</w:t>
      </w:r>
      <w:bookmarkEnd w:id="52"/>
    </w:p>
    <w:p>
      <w:pPr>
        <w:spacing w:before="120" w:after="120" w:line="288" w:lineRule="auto"/>
        <w:ind w:left="0" w:firstLine="420"/>
        <w:jc w:val="left"/>
      </w:pPr>
      <w:r>
        <w:rPr>
          <w:rFonts w:eastAsia="等线" w:ascii="Arial" w:cs="Arial" w:hAnsi="Arial"/>
          <w:sz w:val="22"/>
        </w:rPr>
        <w:t>风控内部会议包括风控部例会、以及风控委投资决策会议（简称风决会），风控负责组织的外部会议包括投后管理沟通会。</w:t>
      </w:r>
    </w:p>
    <w:p>
      <w:pPr>
        <w:spacing w:before="120" w:after="120" w:line="288" w:lineRule="auto"/>
        <w:ind w:left="0" w:firstLine="420"/>
        <w:jc w:val="left"/>
      </w:pPr>
      <w:r>
        <w:rPr>
          <w:rFonts w:eastAsia="等线" w:ascii="Arial" w:cs="Arial" w:hAnsi="Arial"/>
          <w:sz w:val="22"/>
        </w:rPr>
        <w:t>风控部例会频率、要求、流程及内容参考《会议合作管理制度》中的部门例会制度，参会人员按照风控部例会模板制作会议PPT文件。</w:t>
      </w:r>
    </w:p>
    <w:p>
      <w:pPr>
        <w:spacing w:before="120" w:after="120" w:line="288" w:lineRule="auto"/>
        <w:ind w:left="0" w:firstLine="420"/>
        <w:jc w:val="left"/>
      </w:pPr>
    </w:p>
    <w:p>
      <w:pPr>
        <w:spacing w:before="120" w:after="120" w:line="288" w:lineRule="auto"/>
        <w:ind w:left="0" w:firstLine="0"/>
        <w:jc w:val="left"/>
      </w:pPr>
    </w:p>
    <w:p>
      <w:pPr>
        <w:spacing w:before="120" w:after="120" w:line="288" w:lineRule="auto"/>
        <w:ind w:left="0" w:firstLine="42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53" w:id="53"/>
      <w:r>
        <w:rPr>
          <w:rFonts w:eastAsia="等线" w:ascii="Arial" w:cs="Arial" w:hAnsi="Arial"/>
          <w:b w:val="true"/>
          <w:sz w:val="30"/>
        </w:rPr>
        <w:t>第一节 风险控制委员会决策会议制度</w:t>
      </w:r>
      <w:bookmarkEnd w:id="53"/>
    </w:p>
    <w:p>
      <w:pPr>
        <w:spacing w:before="120" w:after="120" w:line="288" w:lineRule="auto"/>
        <w:ind w:left="0" w:firstLine="420"/>
        <w:jc w:val="left"/>
      </w:pPr>
      <w:r>
        <w:rPr>
          <w:rFonts w:eastAsia="等线" w:ascii="Arial" w:cs="Arial" w:hAnsi="Arial"/>
          <w:sz w:val="22"/>
        </w:rPr>
        <w:t>风决会是在投委会召开前从风险控制角度对于投资或退出方案进行审慎研究并作出风决会决策的会议。</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会议的召集和主持</w:t>
      </w:r>
    </w:p>
    <w:p>
      <w:pPr>
        <w:spacing w:before="120" w:after="120" w:line="288" w:lineRule="auto"/>
        <w:ind w:left="0" w:firstLine="420"/>
        <w:jc w:val="left"/>
      </w:pPr>
      <w:r>
        <w:rPr>
          <w:rFonts w:eastAsia="等线" w:ascii="Arial" w:cs="Arial" w:hAnsi="Arial"/>
          <w:sz w:val="22"/>
        </w:rPr>
        <w:t>风决会由风控委主席召集和主持；风控委主席不能履行职务或者不履行职务的，由半数以上风控委委员共同推举一名委员召集和主持。</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会议通知</w:t>
      </w:r>
    </w:p>
    <w:p>
      <w:pPr>
        <w:spacing w:before="120" w:after="120" w:line="288" w:lineRule="auto"/>
        <w:ind w:left="0" w:firstLine="420"/>
        <w:jc w:val="left"/>
      </w:pPr>
      <w:r>
        <w:rPr>
          <w:rFonts w:eastAsia="等线" w:ascii="Arial" w:cs="Arial" w:hAnsi="Arial"/>
          <w:sz w:val="22"/>
        </w:rPr>
        <w:t>会议召开的通知方式为飞书、微信或邮件。</w:t>
      </w:r>
    </w:p>
    <w:p>
      <w:pPr>
        <w:spacing w:before="120" w:after="120" w:line="288" w:lineRule="auto"/>
        <w:ind w:left="0" w:firstLine="420"/>
        <w:jc w:val="left"/>
      </w:pPr>
      <w:r>
        <w:rPr>
          <w:rFonts w:eastAsia="等线" w:ascii="Arial" w:cs="Arial" w:hAnsi="Arial"/>
          <w:sz w:val="22"/>
        </w:rPr>
        <w:t>会议召开前5日，风控委主席负责将议案、议程等会议文件转发全体风控委成员及其他与会人员。</w:t>
      </w:r>
    </w:p>
    <w:p>
      <w:pPr>
        <w:spacing w:before="120" w:after="120" w:line="288" w:lineRule="auto"/>
        <w:ind w:left="0" w:firstLine="420"/>
        <w:jc w:val="left"/>
      </w:pPr>
      <w:r>
        <w:rPr>
          <w:rFonts w:eastAsia="等线" w:ascii="Arial" w:cs="Arial" w:hAnsi="Arial"/>
          <w:sz w:val="22"/>
        </w:rPr>
        <w:t>情况紧急，需要尽快召开会议的，可以随时发出会议通知，但召集人应当在会议上作出说明。</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会议的召开</w:t>
      </w:r>
    </w:p>
    <w:p>
      <w:pPr>
        <w:spacing w:before="120" w:after="120" w:line="288" w:lineRule="auto"/>
        <w:ind w:left="0" w:firstLine="420"/>
        <w:jc w:val="left"/>
      </w:pPr>
      <w:r>
        <w:rPr>
          <w:rFonts w:eastAsia="等线" w:ascii="Arial" w:cs="Arial" w:hAnsi="Arial"/>
          <w:sz w:val="22"/>
        </w:rPr>
        <w:t>风决会应当有二分之一以上的委员出席方为有效。</w:t>
      </w:r>
    </w:p>
    <w:p>
      <w:pPr>
        <w:spacing w:before="120" w:after="120" w:line="288" w:lineRule="auto"/>
        <w:ind w:left="0" w:firstLine="420"/>
        <w:jc w:val="left"/>
      </w:pPr>
      <w:r>
        <w:rPr>
          <w:rFonts w:eastAsia="等线" w:ascii="Arial" w:cs="Arial" w:hAnsi="Arial"/>
          <w:sz w:val="22"/>
        </w:rPr>
        <w:t>会议主持人认为有必要的，可以通知其他有关人员列席。</w:t>
      </w:r>
    </w:p>
    <w:p>
      <w:pPr>
        <w:spacing w:before="120" w:after="120" w:line="288" w:lineRule="auto"/>
        <w:ind w:left="0" w:firstLine="420"/>
        <w:jc w:val="left"/>
      </w:pPr>
      <w:r>
        <w:rPr>
          <w:rFonts w:eastAsia="等线" w:ascii="Arial" w:cs="Arial" w:hAnsi="Arial"/>
          <w:sz w:val="22"/>
        </w:rPr>
        <w:t>委员原则上应当亲自出席会议，因故不能出席的，应当事先审阅会议材料，形成明确的意见，书面委托其他委员代为出席。</w:t>
      </w:r>
    </w:p>
    <w:p>
      <w:pPr>
        <w:spacing w:before="120" w:after="120" w:line="288" w:lineRule="auto"/>
        <w:ind w:left="0" w:firstLine="420"/>
        <w:jc w:val="left"/>
      </w:pPr>
      <w:r>
        <w:rPr>
          <w:rFonts w:eastAsia="等线" w:ascii="Arial" w:cs="Arial" w:hAnsi="Arial"/>
          <w:sz w:val="22"/>
        </w:rPr>
        <w:t>委员或其授权代表不能现场或线上参加会议的视为放弃投票权。</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会议形式</w:t>
      </w:r>
    </w:p>
    <w:p>
      <w:pPr>
        <w:spacing w:before="120" w:after="120" w:line="288" w:lineRule="auto"/>
        <w:ind w:left="0" w:firstLine="420"/>
        <w:jc w:val="left"/>
      </w:pPr>
      <w:r>
        <w:rPr>
          <w:rFonts w:eastAsia="等线" w:ascii="Arial" w:cs="Arial" w:hAnsi="Arial"/>
          <w:sz w:val="22"/>
        </w:rPr>
        <w:t>风决会可采用线上或线下形式。</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会议表决</w:t>
      </w:r>
    </w:p>
    <w:p>
      <w:pPr>
        <w:spacing w:before="120" w:after="120" w:line="288" w:lineRule="auto"/>
        <w:ind w:left="0" w:firstLine="420"/>
        <w:jc w:val="left"/>
      </w:pPr>
      <w:r>
        <w:rPr>
          <w:rFonts w:eastAsia="等线" w:ascii="Arial" w:cs="Arial" w:hAnsi="Arial"/>
          <w:sz w:val="22"/>
        </w:rPr>
        <w:t>委员应当认真阅读有关会议材料，在充分了解情况的基础上独立、审慎地发表意见。</w:t>
      </w:r>
    </w:p>
    <w:p>
      <w:pPr>
        <w:spacing w:before="120" w:after="120" w:line="288" w:lineRule="auto"/>
        <w:ind w:left="0" w:firstLine="420"/>
        <w:jc w:val="left"/>
      </w:pPr>
      <w:r>
        <w:rPr>
          <w:rFonts w:eastAsia="等线" w:ascii="Arial" w:cs="Arial" w:hAnsi="Arial"/>
          <w:sz w:val="22"/>
        </w:rPr>
        <w:t xml:space="preserve">委员可以在会前向会议召集人、项目部成员或其他相关人员和机构了解决策所需要的信息，也可以向主持人建议请上述人员和机构代表与会解释有关情况。 </w:t>
      </w:r>
    </w:p>
    <w:p>
      <w:pPr>
        <w:spacing w:before="120" w:after="120" w:line="288" w:lineRule="auto"/>
        <w:ind w:left="0" w:firstLine="420"/>
        <w:jc w:val="left"/>
      </w:pPr>
      <w:r>
        <w:rPr>
          <w:rFonts w:eastAsia="等线" w:ascii="Arial" w:cs="Arial" w:hAnsi="Arial"/>
          <w:sz w:val="22"/>
        </w:rPr>
        <w:t>会议表决实行一人一票，以书面表决方式进行。</w:t>
      </w:r>
    </w:p>
    <w:p>
      <w:pPr>
        <w:spacing w:before="120" w:after="120" w:line="288" w:lineRule="auto"/>
        <w:ind w:left="0" w:firstLine="420"/>
        <w:jc w:val="left"/>
      </w:pPr>
      <w:r>
        <w:rPr>
          <w:rFonts w:eastAsia="等线" w:ascii="Arial" w:cs="Arial" w:hAnsi="Arial"/>
          <w:sz w:val="22"/>
        </w:rPr>
        <w:t>委员的表决意见对于非项目投资分为同意、否决。对于项目投资分为同意和否决，不得弃权；同意票分为无条件过会及附条件过会；投否决票须明确否决原因；当同意票和否决票相等时，风控委主席可再享有一票表决权。</w:t>
      </w:r>
    </w:p>
    <w:p>
      <w:pPr>
        <w:spacing w:before="120" w:after="120" w:line="288" w:lineRule="auto"/>
        <w:ind w:left="0" w:firstLine="420"/>
        <w:jc w:val="left"/>
      </w:pPr>
      <w:r>
        <w:rPr>
          <w:rFonts w:eastAsia="等线" w:ascii="Arial" w:cs="Arial" w:hAnsi="Arial"/>
          <w:sz w:val="22"/>
        </w:rPr>
        <w:t>风控委委员为项目部成员时须回避表决，计算出席会议的委员人数时，该委员亦不予计入。</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会议决议</w:t>
      </w:r>
    </w:p>
    <w:p>
      <w:pPr>
        <w:spacing w:before="120" w:after="120" w:line="288" w:lineRule="auto"/>
        <w:ind w:left="0" w:firstLine="420"/>
        <w:jc w:val="left"/>
      </w:pPr>
      <w:r>
        <w:rPr>
          <w:rFonts w:eastAsia="等线" w:ascii="Arial" w:cs="Arial" w:hAnsi="Arial"/>
          <w:sz w:val="22"/>
        </w:rPr>
        <w:t>风决会审议通过会议议案并形成相关决议，必须经全体参会委员过半数通过。</w:t>
      </w:r>
    </w:p>
    <w:p>
      <w:pPr>
        <w:spacing w:before="120" w:after="120" w:line="288" w:lineRule="auto"/>
        <w:ind w:left="0" w:firstLine="420"/>
        <w:jc w:val="left"/>
      </w:pPr>
      <w:r>
        <w:rPr>
          <w:rFonts w:eastAsia="等线" w:ascii="Arial" w:cs="Arial" w:hAnsi="Arial"/>
          <w:sz w:val="22"/>
        </w:rPr>
        <w:t>对于紧急决议的事项，本章制度管理员将拟表决议案的内容以书面方式转发给全体委员，签字同意的委员过半数便可形成有效决议，而无需召集现场或线上会议。</w:t>
      </w:r>
    </w:p>
    <w:p>
      <w:pPr>
        <w:spacing w:before="120" w:after="120" w:line="288" w:lineRule="auto"/>
        <w:ind w:left="0" w:firstLine="420"/>
        <w:jc w:val="left"/>
      </w:pPr>
      <w:r>
        <w:rPr>
          <w:rFonts w:eastAsia="等线" w:ascii="Arial" w:cs="Arial" w:hAnsi="Arial"/>
          <w:sz w:val="22"/>
        </w:rPr>
        <w:t>风险控制决策会参会委员投票确定的表决内容即为风控委最终决策意见，无须单独起草决议文件，但相关文件应记载表决过程，委员个人表决票及风控委集体决策意见均须留存原件。</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会议记录</w:t>
      </w:r>
    </w:p>
    <w:p>
      <w:pPr>
        <w:spacing w:before="120" w:after="120" w:line="288" w:lineRule="auto"/>
        <w:ind w:left="0" w:firstLine="420"/>
        <w:jc w:val="left"/>
      </w:pPr>
      <w:r>
        <w:rPr>
          <w:rFonts w:eastAsia="等线" w:ascii="Arial" w:cs="Arial" w:hAnsi="Arial"/>
          <w:sz w:val="22"/>
        </w:rPr>
        <w:t>现场召开和以视频、电话等方式召开的会议，可以视需要进行全程录音。</w:t>
      </w:r>
    </w:p>
    <w:p>
      <w:pPr>
        <w:spacing w:before="120" w:after="120" w:line="288" w:lineRule="auto"/>
        <w:ind w:left="0" w:firstLine="420"/>
        <w:jc w:val="left"/>
      </w:pPr>
      <w:r>
        <w:rPr>
          <w:rFonts w:eastAsia="等线" w:ascii="Arial" w:cs="Arial" w:hAnsi="Arial"/>
          <w:sz w:val="22"/>
        </w:rPr>
        <w:t>风控委主席指定风控委员负责记录委员发言要点。</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决议执行</w:t>
      </w:r>
    </w:p>
    <w:p>
      <w:pPr>
        <w:spacing w:before="120" w:after="120" w:line="288" w:lineRule="auto"/>
        <w:ind w:left="0" w:firstLine="420"/>
        <w:jc w:val="left"/>
      </w:pPr>
      <w:r>
        <w:rPr>
          <w:rFonts w:eastAsia="等线" w:ascii="Arial" w:cs="Arial" w:hAnsi="Arial"/>
          <w:sz w:val="22"/>
        </w:rPr>
        <w:t>风控委主席应当督促有关人员落实风决会决议，检查决议的实施情况。</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会议档案</w:t>
      </w:r>
    </w:p>
    <w:p>
      <w:pPr>
        <w:spacing w:before="120" w:after="120" w:line="288" w:lineRule="auto"/>
        <w:ind w:left="0" w:firstLine="420"/>
        <w:jc w:val="left"/>
      </w:pPr>
      <w:r>
        <w:rPr>
          <w:rFonts w:eastAsia="等线" w:ascii="Arial" w:cs="Arial" w:hAnsi="Arial"/>
          <w:sz w:val="22"/>
        </w:rPr>
        <w:t>相关会议档案依据《档案管理制度》的相关规定归档保存，并将决议与会议记录发送全体风控委委员。</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会议纪律</w:t>
      </w:r>
    </w:p>
    <w:p>
      <w:pPr>
        <w:spacing w:before="120" w:after="120" w:line="288" w:lineRule="auto"/>
        <w:ind w:left="0" w:firstLine="420"/>
        <w:jc w:val="left"/>
      </w:pPr>
      <w:r>
        <w:rPr>
          <w:rFonts w:eastAsia="等线" w:ascii="Arial" w:cs="Arial" w:hAnsi="Arial"/>
          <w:sz w:val="22"/>
        </w:rPr>
        <w:t>会议主持人负责控制会议时间与节奏，原则上项目部PPT讲解时间不超过60分钟，留出时间与参会委员充分交流。其他会议纪律参照《会议合作管理制度》的相关规定。</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会议费用</w:t>
      </w:r>
    </w:p>
    <w:p>
      <w:pPr>
        <w:spacing w:before="120" w:after="120" w:line="288" w:lineRule="auto"/>
        <w:ind w:left="0" w:firstLine="420"/>
        <w:jc w:val="left"/>
      </w:pPr>
      <w:r>
        <w:rPr>
          <w:rFonts w:eastAsia="等线" w:ascii="Arial" w:cs="Arial" w:hAnsi="Arial"/>
          <w:sz w:val="22"/>
        </w:rPr>
        <w:t>风控委相关会议费用由公司承担。如果风控委委员为非公司管理团队人</w:t>
      </w:r>
    </w:p>
    <w:p>
      <w:pPr>
        <w:spacing w:before="120" w:after="120" w:line="288" w:lineRule="auto"/>
        <w:ind w:left="0" w:firstLine="0"/>
        <w:jc w:val="left"/>
      </w:pPr>
      <w:r>
        <w:rPr>
          <w:rFonts w:eastAsia="等线" w:ascii="Arial" w:cs="Arial" w:hAnsi="Arial"/>
          <w:sz w:val="22"/>
        </w:rPr>
        <w:t>员，公司按照如下标准支付误工费用：股东委员1000元/人/项目，非股东委员2000元/人/项目。</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附件：</w:t>
      </w:r>
      <w:hyperlink r:id="rId39">
        <w:r>
          <w:rPr>
            <w:rFonts w:eastAsia="等线" w:ascii="Arial" w:cs="Arial" w:hAnsi="Arial"/>
            <w:color w:val="3370ff"/>
            <w:sz w:val="22"/>
          </w:rPr>
          <w:t>附件3411-风控部例会模板202407</w:t>
        </w:r>
      </w:hyperlink>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sz w:val="22"/>
        </w:rPr>
        <w:t xml:space="preserve">      </w:t>
      </w:r>
      <w:hyperlink r:id="rId40">
        <w:r>
          <w:rPr>
            <w:rFonts w:eastAsia="等线" w:ascii="Arial" w:cs="Arial" w:hAnsi="Arial"/>
            <w:color w:val="3370ff"/>
            <w:sz w:val="22"/>
          </w:rPr>
          <w:t>附件3412-风险控制决策会会议通知202408</w:t>
        </w:r>
      </w:hyperlink>
    </w:p>
    <w:p>
      <w:pPr>
        <w:spacing w:before="120" w:after="120" w:line="288" w:lineRule="auto"/>
        <w:ind w:left="0"/>
        <w:jc w:val="left"/>
      </w:pPr>
      <w:r>
        <w:rPr>
          <w:rFonts w:eastAsia="等线" w:ascii="Arial" w:cs="Arial" w:hAnsi="Arial"/>
          <w:sz w:val="22"/>
        </w:rPr>
        <w:t xml:space="preserve">               </w:t>
      </w:r>
      <w:hyperlink r:id="rId41">
        <w:r>
          <w:rPr>
            <w:rFonts w:eastAsia="等线" w:ascii="Arial" w:cs="Arial" w:hAnsi="Arial"/>
            <w:color w:val="3370ff"/>
            <w:sz w:val="22"/>
          </w:rPr>
          <w:t>附件3413-风险控制决策会表决票202409</w:t>
        </w:r>
      </w:hyperlink>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54" w:id="54"/>
      <w:r>
        <w:rPr>
          <w:rFonts w:eastAsia="等线" w:ascii="Arial" w:cs="Arial" w:hAnsi="Arial"/>
          <w:b w:val="true"/>
          <w:sz w:val="30"/>
        </w:rPr>
        <w:t>第二节 投后管理沟通会</w:t>
      </w:r>
      <w:bookmarkEnd w:id="54"/>
    </w:p>
    <w:p>
      <w:pPr>
        <w:spacing w:before="120" w:after="120" w:line="288" w:lineRule="auto"/>
        <w:ind w:left="0" w:firstLine="420"/>
        <w:jc w:val="left"/>
      </w:pPr>
      <w:r>
        <w:rPr>
          <w:rFonts w:eastAsia="等线" w:ascii="Arial" w:cs="Arial" w:hAnsi="Arial"/>
          <w:sz w:val="22"/>
        </w:rPr>
        <w:t>投后管理沟通的目的在于让创业者准确理解公司的投后管理理念、风格和形式，为项目部开展投后管理创造便利条件。投后管理沟通包括投后管理理念沟通、资本市场专业知识沟通以及企业经营管理改善建议沟通。</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流程与内容</w:t>
      </w:r>
    </w:p>
    <w:p>
      <w:pPr>
        <w:spacing w:before="120" w:after="120" w:line="288" w:lineRule="auto"/>
        <w:ind w:left="0" w:firstLine="420"/>
        <w:jc w:val="left"/>
      </w:pPr>
      <w:r>
        <w:rPr>
          <w:rFonts w:eastAsia="等线" w:ascii="Arial" w:cs="Arial" w:hAnsi="Arial"/>
          <w:sz w:val="22"/>
        </w:rPr>
        <w:t>（一） 投后管理理念沟通由风控部协调专责风控汇同项目部牵头撰写内容，风控部提出讨论意见并最终由总经理办公会确认。投后管理理念沟通原则上在完成交割60日内完成，由各投后管理小组组长主讲；</w:t>
      </w:r>
    </w:p>
    <w:p>
      <w:pPr>
        <w:numPr>
          <w:numId w:val="199"/>
        </w:numPr>
        <w:spacing w:before="120" w:after="120" w:line="288" w:lineRule="auto"/>
        <w:ind w:left="453"/>
        <w:jc w:val="left"/>
      </w:pPr>
      <w:r>
        <w:rPr>
          <w:rFonts w:eastAsia="等线" w:ascii="Arial" w:cs="Arial" w:hAnsi="Arial"/>
          <w:sz w:val="22"/>
        </w:rPr>
        <w:t>资本市场专业知识沟通主要是我公司对资本市场重要政策、专业知识的研究成果进行沟通。资本市场专业知识沟通由风控人员具体参考公司安排并根据项目发展阶段拟定，主讲人以及内容拟定由风控部确定；</w:t>
      </w:r>
    </w:p>
    <w:p>
      <w:pPr>
        <w:numPr>
          <w:numId w:val="200"/>
        </w:numPr>
        <w:spacing w:before="120" w:after="120" w:line="288" w:lineRule="auto"/>
        <w:ind w:left="453"/>
        <w:jc w:val="left"/>
      </w:pPr>
      <w:r>
        <w:rPr>
          <w:rFonts w:eastAsia="等线" w:ascii="Arial" w:cs="Arial" w:hAnsi="Arial"/>
          <w:sz w:val="22"/>
        </w:rPr>
        <w:t>企业经营管理改善建议沟通主要针对企业投后管理审查中的重要问题进行深入研究后提出的书面改进意见，沟通内容由扩大会审议决定，项目部负责协调项目方。</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参会人员</w:t>
      </w:r>
    </w:p>
    <w:p>
      <w:pPr>
        <w:spacing w:before="120" w:after="120" w:line="288" w:lineRule="auto"/>
        <w:ind w:left="0" w:firstLine="420"/>
        <w:jc w:val="left"/>
      </w:pPr>
      <w:r>
        <w:rPr>
          <w:rFonts w:eastAsia="等线" w:ascii="Arial" w:cs="Arial" w:hAnsi="Arial"/>
          <w:sz w:val="22"/>
        </w:rPr>
        <w:t>参会人员包括主讲人、项目部成员、项目创始人及内容涉及的相关高级管理人员。</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附件：</w:t>
      </w:r>
      <w:hyperlink r:id="rId42">
        <w:r>
          <w:rPr>
            <w:rFonts w:eastAsia="等线" w:ascii="Arial" w:cs="Arial" w:hAnsi="Arial"/>
            <w:color w:val="3370ff"/>
            <w:sz w:val="22"/>
          </w:rPr>
          <w:t>附件3421-投后管理理念沟通会模版202411</w:t>
        </w:r>
      </w:hyperlink>
    </w:p>
    <w:p>
      <w:pPr>
        <w:spacing w:before="120" w:after="120" w:line="288" w:lineRule="auto"/>
        <w:ind w:left="0" w:firstLine="42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color w:val="d83931"/>
          <w:sz w:val="22"/>
        </w:rPr>
        <w:t xml:space="preserve">  </w:t>
      </w:r>
    </w:p>
    <w:p>
      <w:pPr>
        <w:pStyle w:val="1"/>
        <w:spacing w:before="380" w:after="140" w:line="288" w:lineRule="auto"/>
        <w:ind w:left="0"/>
        <w:jc w:val="center"/>
        <w:outlineLvl w:val="0"/>
      </w:pPr>
      <w:bookmarkStart w:name="heading_55" w:id="55"/>
      <w:r>
        <w:rPr>
          <w:rFonts w:eastAsia="等线" w:ascii="Arial" w:cs="Arial" w:hAnsi="Arial"/>
          <w:b w:val="true"/>
          <w:sz w:val="36"/>
        </w:rPr>
        <w:t>第四编 管理制度</w:t>
      </w:r>
      <w:bookmarkEnd w:id="55"/>
    </w:p>
    <w:p>
      <w:pPr>
        <w:pStyle w:val="2"/>
        <w:spacing w:before="320" w:after="120" w:line="288" w:lineRule="auto"/>
        <w:ind w:left="0"/>
        <w:jc w:val="center"/>
        <w:outlineLvl w:val="1"/>
      </w:pPr>
      <w:bookmarkStart w:name="heading_56" w:id="56"/>
      <w:r>
        <w:rPr>
          <w:rFonts w:eastAsia="等线" w:ascii="Arial" w:cs="Arial" w:hAnsi="Arial"/>
          <w:b w:val="true"/>
          <w:sz w:val="32"/>
        </w:rPr>
        <w:t>第一章 制度建设监督执行管理办法</w:t>
      </w:r>
      <w:r>
        <w:rPr>
          <w:rFonts w:eastAsia="等线" w:ascii="Arial" w:cs="Arial" w:hAnsi="Arial"/>
          <w:b w:val="true"/>
          <w:sz w:val="32"/>
        </w:rPr>
        <w:t>（</w:t>
      </w:r>
      <w:r>
        <w:rPr>
          <w:rFonts w:eastAsia="等线" w:ascii="Arial" w:cs="Arial" w:hAnsi="Arial"/>
          <w:b w:val="true"/>
          <w:color w:val="3370ff"/>
          <w:sz w:val="32"/>
        </w:rPr>
        <w:t>@余子政</w:t>
      </w:r>
      <w:r>
        <w:rPr>
          <w:rFonts w:eastAsia="等线" w:ascii="Arial" w:cs="Arial" w:hAnsi="Arial"/>
          <w:b w:val="true"/>
          <w:sz w:val="32"/>
        </w:rPr>
        <w:t>）（扩大会）</w:t>
      </w:r>
      <w:bookmarkEnd w:id="56"/>
    </w:p>
    <w:p>
      <w:pPr>
        <w:pStyle w:val="3"/>
        <w:spacing w:before="300" w:after="120" w:line="288" w:lineRule="auto"/>
        <w:ind w:left="0"/>
        <w:jc w:val="center"/>
        <w:outlineLvl w:val="2"/>
      </w:pPr>
      <w:bookmarkStart w:name="heading_57" w:id="57"/>
      <w:r>
        <w:rPr>
          <w:rFonts w:eastAsia="等线" w:ascii="Arial" w:cs="Arial" w:hAnsi="Arial"/>
          <w:b w:val="true"/>
          <w:sz w:val="30"/>
        </w:rPr>
        <w:t>第一节 制度分类与制度效力</w:t>
      </w:r>
      <w:bookmarkEnd w:id="57"/>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为了公司制度建设、监督和执行高效有序，更具有广泛性、灵活性和可操作性，特制订本办法。</w:t>
      </w:r>
    </w:p>
    <w:p>
      <w:pPr>
        <w:spacing w:before="120" w:after="120" w:line="288" w:lineRule="auto"/>
        <w:ind w:left="0" w:firstLine="420"/>
        <w:jc w:val="left"/>
      </w:pPr>
      <w:r>
        <w:rPr>
          <w:rFonts w:eastAsia="等线" w:ascii="Arial" w:cs="Arial" w:hAnsi="Arial"/>
          <w:sz w:val="22"/>
        </w:rPr>
        <w:t>公司各项规章制度以遵守国家法律法规，维护公司整体利益，结合公司实际，确保决策程序科学民主为前提。</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制度分类原则</w:t>
      </w:r>
    </w:p>
    <w:p>
      <w:pPr>
        <w:spacing w:before="120" w:after="120" w:line="288" w:lineRule="auto"/>
        <w:ind w:left="0" w:firstLine="420"/>
        <w:jc w:val="left"/>
      </w:pPr>
      <w:r>
        <w:rPr>
          <w:rFonts w:eastAsia="等线" w:ascii="Arial" w:cs="Arial" w:hAnsi="Arial"/>
          <w:sz w:val="22"/>
        </w:rPr>
        <w:t>（一） 根据调整内容的不同，将制度分为治理层面、经营层面、风控层面和管理层面以及基金层面的基本制度和规章，经相应讨论投后管理任务机构讨论，分别提交有权机构审批；</w:t>
      </w:r>
    </w:p>
    <w:p>
      <w:pPr>
        <w:spacing w:before="120" w:after="120" w:line="288" w:lineRule="auto"/>
        <w:ind w:left="0" w:firstLine="420"/>
        <w:jc w:val="left"/>
      </w:pPr>
      <w:r>
        <w:rPr>
          <w:rFonts w:eastAsia="等线" w:ascii="Arial" w:cs="Arial" w:hAnsi="Arial"/>
          <w:sz w:val="22"/>
        </w:rPr>
        <w:t>（二） 为了兼顾职权分工与效率，治理制度由董事会、监事会或股东会授权给扩大会讨论；经营管理制度和风控管理制度分别由总经办和风控部讨论；基金与投资决策管理制度由合伙人会议授权给管理人扩大会讨论；TBS制度由扩大会讨论。</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制度分类及审批机构详见附件4141。</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制度分工的目的和原则</w:t>
      </w:r>
    </w:p>
    <w:p>
      <w:pPr>
        <w:spacing w:before="120" w:after="120" w:line="288" w:lineRule="auto"/>
        <w:ind w:left="0" w:firstLine="420"/>
        <w:jc w:val="left"/>
      </w:pPr>
      <w:r>
        <w:rPr>
          <w:rFonts w:eastAsia="等线" w:ascii="Arial" w:cs="Arial" w:hAnsi="Arial"/>
          <w:sz w:val="22"/>
        </w:rPr>
        <w:t>目的：锻炼全体员工综合能力培养人人有责的责任担当，加强大家对制度的理解和对其他管理员的理解，培养全面型的领导者。</w:t>
      </w:r>
    </w:p>
    <w:p>
      <w:pPr>
        <w:spacing w:before="120" w:after="120" w:line="288" w:lineRule="auto"/>
        <w:ind w:left="0" w:firstLine="420"/>
        <w:jc w:val="left"/>
      </w:pPr>
      <w:r>
        <w:rPr>
          <w:rFonts w:eastAsia="等线" w:ascii="Arial" w:cs="Arial" w:hAnsi="Arial"/>
          <w:sz w:val="22"/>
        </w:rPr>
        <w:t>原则：服从安排原则；新老有别原则，早入职的多分，晚入职的少分（于考核而言相对公平而非绝对公平）；由简入繁原则，管理制度从简单到复杂进行制度管理的分配；专业相近原则，随着人员的齐备和成熟逐渐实现以下分配。</w:t>
      </w:r>
    </w:p>
    <w:p>
      <w:pPr>
        <w:spacing w:before="120" w:after="120" w:line="288" w:lineRule="auto"/>
        <w:ind w:left="0" w:firstLine="420"/>
        <w:jc w:val="left"/>
      </w:pPr>
      <w:r>
        <w:rPr>
          <w:rFonts w:eastAsia="等线" w:ascii="Arial" w:cs="Arial" w:hAnsi="Arial"/>
          <w:sz w:val="22"/>
        </w:rPr>
        <w:t>制度管理采用全员轮值管理制，全体员工均需履行制度管理职责。制度管理员按照《管理团队建设制度》规定的周期进行轮值，兼顾考虑同一制度管理员同一制度的管理周期不超过两年。</w:t>
      </w:r>
    </w:p>
    <w:p>
      <w:pPr>
        <w:numPr>
          <w:numId w:val="201"/>
        </w:numPr>
        <w:spacing w:before="120" w:after="120" w:line="288" w:lineRule="auto"/>
        <w:ind w:left="453"/>
        <w:jc w:val="left"/>
      </w:pPr>
      <w:r>
        <w:rPr>
          <w:rFonts w:eastAsia="等线" w:ascii="Arial" w:cs="Arial" w:hAnsi="Arial"/>
          <w:sz w:val="22"/>
        </w:rPr>
        <w:t>经营类</w:t>
      </w:r>
    </w:p>
    <w:p>
      <w:pPr>
        <w:spacing w:before="120" w:after="120" w:line="288" w:lineRule="auto"/>
        <w:ind w:left="0" w:firstLine="420"/>
        <w:jc w:val="left"/>
      </w:pPr>
      <w:r>
        <w:rPr>
          <w:rFonts w:eastAsia="等线" w:ascii="Arial" w:cs="Arial" w:hAnsi="Arial"/>
          <w:sz w:val="22"/>
        </w:rPr>
        <w:t>募（含基金事务）：董事会秘书、基金专委会、投委会秘书、风控；投：投前（一二部）、投中（三部）；</w:t>
      </w:r>
    </w:p>
    <w:p>
      <w:pPr>
        <w:spacing w:before="120" w:after="120" w:line="288" w:lineRule="auto"/>
        <w:ind w:left="0" w:firstLine="420"/>
        <w:jc w:val="left"/>
      </w:pPr>
      <w:r>
        <w:rPr>
          <w:rFonts w:eastAsia="等线" w:ascii="Arial" w:cs="Arial" w:hAnsi="Arial"/>
          <w:sz w:val="22"/>
        </w:rPr>
        <w:t>管和TBS：（总经理及总经理协调安排）；</w:t>
      </w:r>
    </w:p>
    <w:p>
      <w:pPr>
        <w:spacing w:before="120" w:after="120" w:line="288" w:lineRule="auto"/>
        <w:ind w:left="0" w:firstLine="420"/>
        <w:jc w:val="left"/>
      </w:pPr>
      <w:r>
        <w:rPr>
          <w:rFonts w:eastAsia="等线" w:ascii="Arial" w:cs="Arial" w:hAnsi="Arial"/>
          <w:sz w:val="22"/>
        </w:rPr>
        <w:t>退：（三部）；</w:t>
      </w:r>
    </w:p>
    <w:p>
      <w:pPr>
        <w:numPr>
          <w:numId w:val="202"/>
        </w:numPr>
        <w:spacing w:before="120" w:after="120" w:line="288" w:lineRule="auto"/>
        <w:ind w:left="453"/>
        <w:jc w:val="left"/>
      </w:pPr>
      <w:r>
        <w:rPr>
          <w:rFonts w:eastAsia="等线" w:ascii="Arial" w:cs="Arial" w:hAnsi="Arial"/>
          <w:sz w:val="22"/>
        </w:rPr>
        <w:t>风控类（风控，注意风控制度管理分工）</w:t>
      </w:r>
    </w:p>
    <w:p>
      <w:pPr>
        <w:numPr>
          <w:numId w:val="203"/>
        </w:numPr>
        <w:spacing w:before="120" w:after="120" w:line="288" w:lineRule="auto"/>
        <w:ind w:left="453"/>
        <w:jc w:val="left"/>
      </w:pPr>
      <w:r>
        <w:rPr>
          <w:rFonts w:eastAsia="等线" w:ascii="Arial" w:cs="Arial" w:hAnsi="Arial"/>
          <w:sz w:val="22"/>
        </w:rPr>
        <w:t>管理类</w:t>
      </w:r>
    </w:p>
    <w:p>
      <w:pPr>
        <w:spacing w:before="120" w:after="120" w:line="288" w:lineRule="auto"/>
        <w:ind w:left="0" w:firstLine="420"/>
        <w:jc w:val="left"/>
      </w:pPr>
      <w:r>
        <w:rPr>
          <w:rFonts w:eastAsia="等线" w:ascii="Arial" w:cs="Arial" w:hAnsi="Arial"/>
          <w:sz w:val="22"/>
        </w:rPr>
        <w:t>制度建设、管理团队（副总经理等）；财务、法务、人力、行政等（原则上三部相关专业人员）。</w:t>
      </w:r>
    </w:p>
    <w:p>
      <w:pPr>
        <w:numPr>
          <w:numId w:val="204"/>
        </w:numPr>
        <w:spacing w:before="120" w:after="120" w:line="288" w:lineRule="auto"/>
        <w:ind w:left="453"/>
        <w:jc w:val="left"/>
      </w:pPr>
      <w:r>
        <w:rPr>
          <w:rFonts w:eastAsia="等线" w:ascii="Arial" w:cs="Arial" w:hAnsi="Arial"/>
          <w:sz w:val="22"/>
        </w:rPr>
        <w:t>对于制度建议收集过程中建议人因建议的属性确实无法判定归属的制度建议，由制度编撰人作为管理员临时处理。</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风控主席负责任免风险控制制度管理员；总经理负责任免其他制度管理员。</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制度的效力</w:t>
      </w:r>
    </w:p>
    <w:p>
      <w:pPr>
        <w:spacing w:before="120" w:after="120" w:line="288" w:lineRule="auto"/>
        <w:ind w:left="0" w:firstLine="420"/>
        <w:jc w:val="left"/>
      </w:pPr>
      <w:r>
        <w:rPr>
          <w:rFonts w:eastAsia="等线" w:ascii="Arial" w:cs="Arial" w:hAnsi="Arial"/>
          <w:sz w:val="22"/>
        </w:rPr>
        <w:t>在股东会、董事会、合伙人会议闭会期间由扩大会代为行使制度决策部分职权，对于需经前述审批机构审批的制度经扩大会讨论通过后列为试行，经有权审批机构会议通过后正式实施。</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制度冲突的争议解决</w:t>
      </w:r>
    </w:p>
    <w:p>
      <w:pPr>
        <w:spacing w:before="120" w:after="120" w:line="288" w:lineRule="auto"/>
        <w:ind w:left="0" w:firstLine="420"/>
        <w:jc w:val="left"/>
      </w:pPr>
      <w:r>
        <w:rPr>
          <w:rFonts w:eastAsia="等线" w:ascii="Arial" w:cs="Arial" w:hAnsi="Arial"/>
          <w:sz w:val="22"/>
        </w:rPr>
        <w:t>当制度间出现冲突时，提交扩大会讨论。扩大会确定制度权限归属并由有权机构按程序制定。扩大会讨论制度后，结合扩大会意见，依据各制度审批机构，分别由扩大会、总经办或风控办决定最终修改意见并列入制度实施或试行。</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制度生效</w:t>
      </w:r>
    </w:p>
    <w:p>
      <w:pPr>
        <w:spacing w:before="120" w:after="120" w:line="288" w:lineRule="auto"/>
        <w:ind w:left="0" w:firstLine="420"/>
        <w:jc w:val="left"/>
      </w:pPr>
      <w:r>
        <w:rPr>
          <w:rFonts w:eastAsia="等线" w:ascii="Arial" w:cs="Arial" w:hAnsi="Arial"/>
          <w:sz w:val="22"/>
        </w:rPr>
        <w:t>制度于制度汇编编纂人于OA发送正式通知至公司全员之日起正式施行或试行。</w:t>
      </w:r>
    </w:p>
    <w:p>
      <w:pPr>
        <w:spacing w:before="120" w:after="120" w:line="288" w:lineRule="auto"/>
        <w:ind w:left="0" w:firstLine="420"/>
        <w:jc w:val="left"/>
      </w:pPr>
      <w:r>
        <w:rPr>
          <w:rFonts w:eastAsia="等线" w:ascii="Arial" w:cs="Arial" w:hAnsi="Arial"/>
          <w:sz w:val="22"/>
        </w:rPr>
        <w:t>最新版制度发布后，全体员工在一周内完成阅读，并在OA流程中回复“已阅”。</w:t>
      </w:r>
    </w:p>
    <w:p>
      <w:pPr>
        <w:spacing w:before="120" w:after="120" w:line="288" w:lineRule="auto"/>
        <w:ind w:left="0" w:firstLine="420"/>
        <w:jc w:val="left"/>
      </w:pPr>
      <w:r>
        <w:rPr>
          <w:rFonts w:eastAsia="等线" w:ascii="Arial" w:cs="Arial" w:hAnsi="Arial"/>
          <w:sz w:val="22"/>
        </w:rPr>
        <w:t>因现实紧迫性需扩大会临时讨论决策事项涉及制度修改的，相关事项将于扩大会召开前发送相关制度管理员，相关制度管理员列席扩大会参与所涉及事项的决策，会后相关分管高管负责督促办理，相关制度管理员按程序对制度进行修订，该等事项在扩大会纪要发送全员之日起至有关制度修订完毕这一期间按扩大会纪要执行。</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制度暂停</w:t>
      </w:r>
    </w:p>
    <w:p>
      <w:pPr>
        <w:spacing w:before="120" w:after="120" w:line="288" w:lineRule="auto"/>
        <w:ind w:left="0" w:firstLine="420"/>
        <w:jc w:val="left"/>
      </w:pPr>
      <w:r>
        <w:rPr>
          <w:rFonts w:eastAsia="等线" w:ascii="Arial" w:cs="Arial" w:hAnsi="Arial"/>
          <w:sz w:val="22"/>
        </w:rPr>
        <w:t>制度在实践过程中，如出现不适宜的情况，随时可以经扩大会决定，暂停该制度执行，并书面通告全员。</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制度废止</w:t>
      </w:r>
    </w:p>
    <w:p>
      <w:pPr>
        <w:spacing w:before="120" w:after="120" w:line="288" w:lineRule="auto"/>
        <w:ind w:left="0" w:firstLine="420"/>
        <w:jc w:val="left"/>
      </w:pPr>
      <w:r>
        <w:rPr>
          <w:rFonts w:eastAsia="等线" w:ascii="Arial" w:cs="Arial" w:hAnsi="Arial"/>
          <w:sz w:val="22"/>
        </w:rPr>
        <w:t>当制度与相关法律发生冲突时或有最新制度时，原制度自动废止。公司法务人员在年度或者月度制度修订时候需要密切关注制度的法律适用问题。</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制度解释</w:t>
      </w:r>
    </w:p>
    <w:p>
      <w:pPr>
        <w:spacing w:before="120" w:after="120" w:line="288" w:lineRule="auto"/>
        <w:ind w:left="0" w:firstLine="420"/>
        <w:jc w:val="left"/>
      </w:pPr>
      <w:r>
        <w:rPr>
          <w:rFonts w:eastAsia="等线" w:ascii="Arial" w:cs="Arial" w:hAnsi="Arial"/>
          <w:sz w:val="22"/>
        </w:rPr>
        <w:t>制度由对应讨论机构负责解释。详见附件4141。</w:t>
      </w:r>
    </w:p>
    <w:p>
      <w:pPr>
        <w:spacing w:before="120" w:after="120" w:line="288" w:lineRule="auto"/>
        <w:ind w:left="0" w:firstLine="420"/>
        <w:jc w:val="left"/>
      </w:pPr>
      <w:r>
        <w:rPr>
          <w:rFonts w:eastAsia="等线" w:ascii="Arial" w:cs="Arial" w:hAnsi="Arial"/>
          <w:sz w:val="22"/>
        </w:rPr>
        <w:t>制度解释应具有合法性、合理性、准确性、真实性、及时性和整体性。</w:t>
      </w:r>
    </w:p>
    <w:p>
      <w:pPr>
        <w:spacing w:before="120" w:after="120" w:line="288" w:lineRule="auto"/>
        <w:ind w:left="0" w:firstLine="420"/>
        <w:jc w:val="left"/>
      </w:pPr>
      <w:r>
        <w:rPr>
          <w:rFonts w:eastAsia="等线" w:ascii="Arial" w:cs="Arial" w:hAnsi="Arial"/>
          <w:sz w:val="22"/>
        </w:rPr>
        <w:t>解释作为临时行为主要对已经发生或正在发生的问题有效，其内容需经制度制定程序丰富到制度里方能长期有效，该情形下解释机构应在做出解释后将制度解释作为制度建议按程序向相关制度管理员提报。</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多个制度涉及到同样的内容时，应以某个制度的内容为主，其他制度均引用该制度。</w:t>
      </w: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制度交接</w:t>
      </w:r>
    </w:p>
    <w:p>
      <w:pPr>
        <w:spacing w:before="120" w:after="120" w:line="288" w:lineRule="auto"/>
        <w:ind w:left="0" w:firstLine="420"/>
        <w:jc w:val="left"/>
      </w:pPr>
      <w:r>
        <w:rPr>
          <w:rFonts w:eastAsia="等线" w:ascii="Arial" w:cs="Arial" w:hAnsi="Arial"/>
          <w:sz w:val="22"/>
        </w:rPr>
        <w:t>（一）因人员离职或调整涉及到制度管理员或执行人员的变动的制度交接，监督交接人为分管负责人即交接人的直接上级，包括财务总监、分管该制度的副总；财务制度交接由财务总监负责；副总工作（非管理员）交接由总经理负责；风控成员交接由风控主席负责；总经理、风控主席、监事会成员交接由监事会主席负责；</w:t>
      </w:r>
    </w:p>
    <w:p>
      <w:pPr>
        <w:spacing w:before="120" w:after="120" w:line="288" w:lineRule="auto"/>
        <w:ind w:left="0" w:firstLine="420"/>
        <w:jc w:val="left"/>
      </w:pPr>
      <w:r>
        <w:rPr>
          <w:rFonts w:eastAsia="等线" w:ascii="Arial" w:cs="Arial" w:hAnsi="Arial"/>
          <w:sz w:val="22"/>
        </w:rPr>
        <w:t>（二）因人员离职或调整涉及到制度管理员或执行人员变动时，相关人员应在OA中完成制度交接并抄送总经办，相关内容记入总经办会议纪要，由制度编纂员在附件4141中做相应修改；</w:t>
      </w:r>
    </w:p>
    <w:p>
      <w:pPr>
        <w:spacing w:before="120" w:after="120" w:line="288" w:lineRule="auto"/>
        <w:ind w:left="0" w:firstLine="420"/>
        <w:jc w:val="left"/>
      </w:pPr>
      <w:r>
        <w:rPr>
          <w:rFonts w:eastAsia="等线" w:ascii="Arial" w:cs="Arial" w:hAnsi="Arial"/>
          <w:sz w:val="22"/>
        </w:rPr>
        <w:t>（三）如未走交接流程，提示老管理员和监督人；</w:t>
      </w:r>
    </w:p>
    <w:p>
      <w:pPr>
        <w:spacing w:before="120" w:after="120" w:line="288" w:lineRule="auto"/>
        <w:ind w:left="0" w:firstLine="420"/>
        <w:jc w:val="left"/>
      </w:pPr>
      <w:r>
        <w:rPr>
          <w:rFonts w:eastAsia="等线" w:ascii="Arial" w:cs="Arial" w:hAnsi="Arial"/>
          <w:sz w:val="22"/>
        </w:rPr>
        <w:t>（四）完成制度交接前，相关管理员工作仍由老管理员负责。</w:t>
      </w:r>
    </w:p>
    <w:p>
      <w:pPr>
        <w:spacing w:before="120" w:after="120" w:line="288" w:lineRule="auto"/>
        <w:ind w:left="0" w:firstLine="420"/>
        <w:jc w:val="left"/>
      </w:pPr>
      <w:r>
        <w:rPr>
          <w:rFonts w:eastAsia="等线" w:ascii="Arial" w:cs="Arial" w:hAnsi="Arial"/>
          <w:b w:val="true"/>
          <w:sz w:val="22"/>
        </w:rPr>
        <w:t xml:space="preserve">第十四条 </w:t>
      </w:r>
      <w:r>
        <w:rPr>
          <w:rFonts w:eastAsia="等线" w:ascii="Arial" w:cs="Arial" w:hAnsi="Arial"/>
          <w:sz w:val="22"/>
        </w:rPr>
        <w:t>决策系统，全员提出制度增减和修改建议，管理员、三会、投委会、管理团队（总经办、风控办）分别按职能和权限起草、拟订、制定制度并依据制度作出决策。</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员工定位：员工对某项或某几项制度执行建设任务，又是多项制度的执行人；员工应主动积极地与新老制度管理员、风控委主席、总经理、董事长沟通制度的相关情况，员工提的建议不管最终是否采纳列为试行或正式制度，制度管理员有义务主动和员工做好解释说明，员工有权利向制度管理员了解总经办、风控部或者扩大会讨论该建议的过程。</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58" w:id="58"/>
      <w:r>
        <w:rPr>
          <w:rFonts w:eastAsia="等线" w:ascii="Arial" w:cs="Arial" w:hAnsi="Arial"/>
          <w:b w:val="true"/>
          <w:sz w:val="30"/>
        </w:rPr>
        <w:t>第二节 制度建设</w:t>
      </w:r>
      <w:bookmarkEnd w:id="58"/>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制度修订频率</w:t>
      </w:r>
    </w:p>
    <w:p>
      <w:pPr>
        <w:spacing w:before="120" w:after="120" w:line="288" w:lineRule="auto"/>
        <w:ind w:left="0" w:firstLine="420"/>
        <w:jc w:val="left"/>
      </w:pPr>
      <w:r>
        <w:rPr>
          <w:rFonts w:eastAsia="等线" w:ascii="Arial" w:cs="Arial" w:hAnsi="Arial"/>
          <w:sz w:val="22"/>
        </w:rPr>
        <w:t>制度修订分为定期修订和临时修订。原则上每年2月为全员参与的定期修订时间，除日常管理和特殊紧急工作外，尽量不要安排其他工作。绩效考核修订时间定在1、2、3、8、9月。</w:t>
      </w:r>
    </w:p>
    <w:p>
      <w:pPr>
        <w:spacing w:before="120" w:after="120" w:line="288" w:lineRule="auto"/>
        <w:ind w:left="0" w:firstLine="420"/>
        <w:jc w:val="left"/>
      </w:pPr>
      <w:r>
        <w:rPr>
          <w:rFonts w:eastAsia="等线" w:ascii="Arial" w:cs="Arial" w:hAnsi="Arial"/>
          <w:sz w:val="22"/>
        </w:rPr>
        <w:t>2月为年度制度讨论月，每年春节假期后的首日，由制度汇编编纂人将年度制度讨论日程表转发全员，详见《附件4142-年度制度讨论安排》。第一阶段期间，全员专注于制度学习和提制度建议，原则上不开展其他工作。第一阶段后，普通员工恢复正常工作，并根据通知参加总经理办公会和扩大会的制度讨论。</w:t>
      </w:r>
    </w:p>
    <w:p>
      <w:pPr>
        <w:spacing w:before="120" w:after="120" w:line="288" w:lineRule="auto"/>
        <w:ind w:left="0" w:firstLine="420"/>
        <w:jc w:val="left"/>
      </w:pPr>
      <w:r>
        <w:rPr>
          <w:rFonts w:eastAsia="等线" w:ascii="Arial" w:cs="Arial" w:hAnsi="Arial"/>
          <w:sz w:val="22"/>
        </w:rPr>
        <w:t>临时修订由制度管理员按月直接提交。</w:t>
      </w:r>
    </w:p>
    <w:p>
      <w:pPr>
        <w:spacing w:before="120" w:after="120" w:line="288" w:lineRule="auto"/>
        <w:ind w:left="0" w:firstLine="420"/>
        <w:jc w:val="left"/>
      </w:pPr>
      <w:r>
        <w:rPr>
          <w:rFonts w:eastAsia="等线" w:ascii="Arial" w:cs="Arial" w:hAnsi="Arial"/>
          <w:sz w:val="22"/>
        </w:rPr>
        <w:t>附件4141《制度管理列表》中，审批机构为“总经办”的制度，在定期修订和临时修订中均由总经办讨论确定。</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制度建设流程</w:t>
      </w:r>
    </w:p>
    <w:p>
      <w:pPr>
        <w:spacing w:before="120" w:after="120" w:line="288" w:lineRule="auto"/>
        <w:ind w:left="0" w:firstLine="420"/>
        <w:jc w:val="left"/>
      </w:pPr>
      <w:r>
        <w:rPr>
          <w:rFonts w:eastAsia="等线" w:ascii="Arial" w:cs="Arial" w:hAnsi="Arial"/>
          <w:sz w:val="22"/>
        </w:rPr>
        <w:t>制度建设的相关工作均采用飞书-网页版在线编辑的形式，在线编辑位置：飞书-云文档-共享空间-制度汇编；</w:t>
      </w:r>
    </w:p>
    <w:p>
      <w:pPr>
        <w:spacing w:before="120" w:after="120" w:line="288" w:lineRule="auto"/>
        <w:ind w:left="0" w:firstLine="420"/>
        <w:jc w:val="left"/>
      </w:pPr>
      <w:r>
        <w:rPr>
          <w:rFonts w:eastAsia="等线" w:ascii="Arial" w:cs="Arial" w:hAnsi="Arial"/>
          <w:sz w:val="22"/>
        </w:rPr>
        <w:t>（一）制度建议人在相关会议召开前48小时在线提交制度建设意见，并@及发送通知提醒相关管理员阅读；</w:t>
      </w:r>
    </w:p>
    <w:p>
      <w:pPr>
        <w:spacing w:before="120" w:after="120" w:line="288" w:lineRule="auto"/>
        <w:ind w:left="0" w:firstLine="420"/>
        <w:jc w:val="left"/>
      </w:pPr>
      <w:r>
        <w:rPr>
          <w:rFonts w:eastAsia="等线" w:ascii="Arial" w:cs="Arial" w:hAnsi="Arial"/>
          <w:sz w:val="22"/>
        </w:rPr>
        <w:t>（二）制度管理员在相关会议召开前24小时完成管理员意见稿的在线编辑，并@及发送通知提醒总经办成员、扩大会成员及制度编撰人阅读；</w:t>
      </w:r>
    </w:p>
    <w:p>
      <w:pPr>
        <w:spacing w:before="120" w:after="120" w:line="288" w:lineRule="auto"/>
        <w:ind w:left="0" w:firstLine="420"/>
        <w:jc w:val="left"/>
      </w:pPr>
      <w:r>
        <w:rPr>
          <w:rFonts w:eastAsia="等线" w:ascii="Arial" w:cs="Arial" w:hAnsi="Arial"/>
          <w:sz w:val="22"/>
        </w:rPr>
        <w:t>（三） 总经办、风控部、扩大会成员在相关会议召开前在线编辑个人意见（如有），并将意见蓝色高亮；</w:t>
      </w:r>
    </w:p>
    <w:p>
      <w:pPr>
        <w:spacing w:before="120" w:after="120" w:line="288" w:lineRule="auto"/>
        <w:ind w:left="0" w:firstLine="420"/>
        <w:jc w:val="left"/>
      </w:pPr>
      <w:r>
        <w:rPr>
          <w:rFonts w:eastAsia="等线" w:ascii="Arial" w:cs="Arial" w:hAnsi="Arial"/>
          <w:sz w:val="22"/>
        </w:rPr>
        <w:t>（四） 总经办、风控部分别召开会议讨论、确定总经办/风控部意见稿；</w:t>
      </w:r>
    </w:p>
    <w:p>
      <w:pPr>
        <w:spacing w:before="120" w:after="120" w:line="288" w:lineRule="auto"/>
        <w:ind w:left="0" w:firstLine="420"/>
        <w:jc w:val="left"/>
      </w:pPr>
      <w:r>
        <w:rPr>
          <w:rFonts w:eastAsia="等线" w:ascii="Arial" w:cs="Arial" w:hAnsi="Arial"/>
          <w:sz w:val="22"/>
        </w:rPr>
        <w:t>（五） 扩大会召开会议讨论、确定扩大会意见稿；</w:t>
      </w:r>
    </w:p>
    <w:p>
      <w:pPr>
        <w:spacing w:before="120" w:after="120" w:line="288" w:lineRule="auto"/>
        <w:ind w:left="0" w:firstLine="420"/>
        <w:jc w:val="left"/>
      </w:pPr>
      <w:r>
        <w:rPr>
          <w:rFonts w:eastAsia="等线" w:ascii="Arial" w:cs="Arial" w:hAnsi="Arial"/>
          <w:sz w:val="22"/>
        </w:rPr>
        <w:t>（六） 制度汇编编纂人在线备份过程稿；</w:t>
      </w:r>
    </w:p>
    <w:p>
      <w:pPr>
        <w:spacing w:before="120" w:after="120" w:line="288" w:lineRule="auto"/>
        <w:ind w:left="0" w:firstLine="420"/>
        <w:jc w:val="left"/>
      </w:pPr>
      <w:r>
        <w:rPr>
          <w:rFonts w:eastAsia="等线" w:ascii="Arial" w:cs="Arial" w:hAnsi="Arial"/>
          <w:sz w:val="22"/>
        </w:rPr>
        <w:t>（七） 管理员在月度会上对照过程稿介绍制度修订情况；</w:t>
      </w:r>
    </w:p>
    <w:p>
      <w:pPr>
        <w:spacing w:before="120" w:after="120" w:line="288" w:lineRule="auto"/>
        <w:ind w:left="0" w:firstLine="420"/>
        <w:jc w:val="left"/>
      </w:pPr>
      <w:r>
        <w:rPr>
          <w:rFonts w:eastAsia="等线" w:ascii="Arial" w:cs="Arial" w:hAnsi="Arial"/>
          <w:sz w:val="22"/>
        </w:rPr>
        <w:t>（八） 管理员在月度会后三日内完成清洁稿的在线编辑（如果附件有修改内容，需更新附件文件名中的日期）。制度编号更新示例：制度汇编（2023修订）202303（原则上为制度发布日期）；</w:t>
      </w:r>
    </w:p>
    <w:p>
      <w:pPr>
        <w:spacing w:before="120" w:after="120" w:line="288" w:lineRule="auto"/>
        <w:ind w:left="0" w:firstLine="420"/>
        <w:jc w:val="left"/>
      </w:pPr>
      <w:r>
        <w:rPr>
          <w:rFonts w:eastAsia="等线" w:ascii="Arial" w:cs="Arial" w:hAnsi="Arial"/>
          <w:sz w:val="22"/>
        </w:rPr>
        <w:t>（九） 制度汇编编纂人须在月度会后五日内在线发布最新版制度汇编清洁稿，并通过OA流程提醒全员阅读，员工须及时发送“已阅”回执。</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制度建设意见提交要求</w:t>
      </w:r>
    </w:p>
    <w:p>
      <w:pPr>
        <w:spacing w:before="120" w:after="120" w:line="288" w:lineRule="auto"/>
        <w:ind w:left="0" w:firstLine="420"/>
        <w:jc w:val="left"/>
      </w:pPr>
      <w:r>
        <w:rPr>
          <w:rFonts w:eastAsia="等线" w:ascii="Arial" w:cs="Arial" w:hAnsi="Arial"/>
          <w:sz w:val="22"/>
        </w:rPr>
        <w:t>（一） 制度建设意见分为“制度建议”和“制度讨论”。制度建议需要在当次总经办、风控办或扩大会上讨论形成结论性意见；重大且不急需的制度建议设置为“制度讨论”，给大家充分时间去研究讨论，并在一年内形成最终结论性意见，由建议人负责组织和最终完善；</w:t>
      </w:r>
    </w:p>
    <w:p>
      <w:pPr>
        <w:spacing w:before="120" w:after="120" w:line="288" w:lineRule="auto"/>
        <w:ind w:left="0" w:firstLine="420"/>
        <w:jc w:val="left"/>
      </w:pPr>
      <w:r>
        <w:rPr>
          <w:rFonts w:eastAsia="等线" w:ascii="Arial" w:cs="Arial" w:hAnsi="Arial"/>
          <w:sz w:val="22"/>
        </w:rPr>
        <w:t>（二） 如有针对附件的建设意见，需在正文相应附件处备注：附件有建议；</w:t>
      </w:r>
    </w:p>
    <w:p>
      <w:pPr>
        <w:spacing w:before="120" w:after="120" w:line="288" w:lineRule="auto"/>
        <w:ind w:left="0" w:firstLine="420"/>
        <w:jc w:val="left"/>
      </w:pPr>
      <w:r>
        <w:rPr>
          <w:rFonts w:eastAsia="等线" w:ascii="Arial" w:cs="Arial" w:hAnsi="Arial"/>
          <w:sz w:val="22"/>
        </w:rPr>
        <w:t>（三） 制度建设意见与问题，可以匿名提交给董事长，由董事长发送给相关制度管理员，匿名建议不计入制度建设考核；</w:t>
      </w:r>
    </w:p>
    <w:p>
      <w:pPr>
        <w:spacing w:before="120" w:after="120" w:line="288" w:lineRule="auto"/>
        <w:ind w:left="0" w:firstLine="420"/>
        <w:jc w:val="left"/>
      </w:pPr>
      <w:r>
        <w:rPr>
          <w:rFonts w:eastAsia="等线" w:ascii="Arial" w:cs="Arial" w:hAnsi="Arial"/>
          <w:sz w:val="22"/>
        </w:rPr>
        <w:t>（四） 超过提交时限的制度建议，当月会议不讨论；相关建议后续由建议人重新提交；</w:t>
      </w:r>
    </w:p>
    <w:p>
      <w:pPr>
        <w:spacing w:before="120" w:after="120" w:line="288" w:lineRule="auto"/>
        <w:ind w:left="0" w:firstLine="420"/>
        <w:jc w:val="left"/>
      </w:pPr>
      <w:r>
        <w:rPr>
          <w:rFonts w:eastAsia="等线" w:ascii="Arial" w:cs="Arial" w:hAnsi="Arial"/>
          <w:sz w:val="22"/>
        </w:rPr>
        <w:t>（五） 制度建议人可针对所提交的制度建设意见与管理员沟通，同时有权要求列席相关会议，现场阐述意见，以避免出现因理解偏差而导致的无效决策。如要求列席相关会议，应在制度建议中注明；</w:t>
      </w:r>
    </w:p>
    <w:p>
      <w:pPr>
        <w:spacing w:before="120" w:after="120" w:line="288" w:lineRule="auto"/>
        <w:ind w:left="0" w:firstLine="420"/>
        <w:jc w:val="left"/>
      </w:pPr>
      <w:r>
        <w:rPr>
          <w:rFonts w:eastAsia="等线" w:ascii="Arial" w:cs="Arial" w:hAnsi="Arial"/>
          <w:sz w:val="22"/>
        </w:rPr>
        <w:t>（六）涉及整节制度架构调整的，由建议人和管理员沟通后提出相关建议；</w:t>
      </w:r>
    </w:p>
    <w:p>
      <w:pPr>
        <w:spacing w:before="120" w:after="120" w:line="288" w:lineRule="auto"/>
        <w:ind w:left="0" w:firstLine="420"/>
        <w:jc w:val="left"/>
      </w:pPr>
      <w:r>
        <w:rPr>
          <w:rFonts w:eastAsia="等线" w:ascii="Arial" w:cs="Arial" w:hAnsi="Arial"/>
          <w:sz w:val="22"/>
        </w:rPr>
        <w:t>（七）制度建议人提交个人建议时不应对其他同事的建议妄加评论，只需行使个人作为建议人的权利、履行好提出建议的职责。</w:t>
      </w:r>
    </w:p>
    <w:p>
      <w:pPr>
        <w:spacing w:before="120" w:after="120" w:line="288" w:lineRule="auto"/>
        <w:ind w:left="0" w:firstLine="420"/>
        <w:jc w:val="left"/>
      </w:pPr>
      <w:r>
        <w:rPr>
          <w:rFonts w:eastAsia="等线" w:ascii="Arial" w:cs="Arial" w:hAnsi="Arial"/>
          <w:sz w:val="22"/>
        </w:rPr>
        <w:t>（八） 对于无法判定归属的制度建议，由制度编撰人作为管理员临时处理。</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制度管理员职责</w:t>
      </w:r>
    </w:p>
    <w:p>
      <w:pPr>
        <w:spacing w:before="120" w:after="120" w:line="288" w:lineRule="auto"/>
        <w:ind w:left="0" w:firstLine="420"/>
        <w:jc w:val="left"/>
      </w:pPr>
      <w:r>
        <w:rPr>
          <w:rFonts w:eastAsia="等线" w:ascii="Arial" w:cs="Arial" w:hAnsi="Arial"/>
          <w:sz w:val="22"/>
        </w:rPr>
        <w:t>（一） 制度管理员作为制度建设的首要主体，负责拟订分管制度的过程稿与清洁稿：针对建议人提交的制度建设意见，拟订管理员意见并提交相应机构讨论、决策；拟订制度清洁稿时，应根据扩大会意见修改；如无扩大会意见，则根据总经办或风控办意见修改；如扩大会的意见是“同意”，即为同意总经办的意见；如总经办的意见是“同意”，即为同意管理员的意见；管理员意见应体现制度的最终文本，管理员不采纳建议人的建议时，应注明不采纳的原因；</w:t>
      </w:r>
    </w:p>
    <w:p>
      <w:pPr>
        <w:spacing w:before="120" w:after="120" w:line="288" w:lineRule="auto"/>
        <w:ind w:left="0" w:firstLine="420"/>
        <w:jc w:val="left"/>
      </w:pPr>
      <w:r>
        <w:rPr>
          <w:rFonts w:eastAsia="等线" w:ascii="Arial" w:cs="Arial" w:hAnsi="Arial"/>
          <w:sz w:val="22"/>
        </w:rPr>
        <w:t>（二）两个或以上管理员共管同一制度的，可分别拟订管理员意见并署名，由决策机构最终确定；在附件4141中排序靠前的管理员为主管理员，负责在统计制度采纳情况，更新清洁稿和在月度会讲解制度修改情况。在2月、8月定期修订时，制度汇编管理员对主管理员进行轮换操作。</w:t>
      </w:r>
    </w:p>
    <w:p>
      <w:pPr>
        <w:spacing w:before="120" w:after="120" w:line="288" w:lineRule="auto"/>
        <w:ind w:left="0" w:firstLine="420"/>
        <w:jc w:val="left"/>
      </w:pPr>
      <w:r>
        <w:rPr>
          <w:rFonts w:eastAsia="等线" w:ascii="Arial" w:cs="Arial" w:hAnsi="Arial"/>
          <w:sz w:val="22"/>
        </w:rPr>
        <w:t>（三）管理员应参与分管制度讨论。应参与哪个会议详见附件4141的“讨论机构”列。</w:t>
      </w:r>
    </w:p>
    <w:p>
      <w:pPr>
        <w:spacing w:before="120" w:after="120" w:line="288" w:lineRule="auto"/>
        <w:ind w:left="0" w:firstLine="420"/>
        <w:jc w:val="left"/>
      </w:pPr>
      <w:r>
        <w:rPr>
          <w:rFonts w:eastAsia="等线" w:ascii="Arial" w:cs="Arial" w:hAnsi="Arial"/>
          <w:sz w:val="22"/>
        </w:rPr>
        <w:t>（四） 制度管理员负责在月度会上介绍分管制度的修订内容，并公示当月收集的制度建议数量及被采纳数量。</w:t>
      </w:r>
    </w:p>
    <w:p>
      <w:pPr>
        <w:spacing w:before="120" w:after="120" w:line="288" w:lineRule="auto"/>
        <w:ind w:left="0" w:firstLine="420"/>
        <w:jc w:val="left"/>
      </w:pPr>
      <w:r>
        <w:rPr>
          <w:rFonts w:eastAsia="等线" w:ascii="Arial" w:cs="Arial" w:hAnsi="Arial"/>
          <w:sz w:val="22"/>
        </w:rPr>
        <w:t>（五） 年度制度修订形成清洁稿时，删除上一年度的制度修订痕迹：将红色字体改为黑色字体，并删除（xxx，201305）字样。</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制度汇编编纂人职责</w:t>
      </w:r>
    </w:p>
    <w:p>
      <w:pPr>
        <w:spacing w:before="120" w:after="120" w:line="288" w:lineRule="auto"/>
        <w:ind w:left="0" w:firstLine="420"/>
        <w:jc w:val="left"/>
      </w:pPr>
      <w:r>
        <w:rPr>
          <w:rFonts w:eastAsia="等线" w:ascii="Arial" w:cs="Arial" w:hAnsi="Arial"/>
          <w:sz w:val="22"/>
        </w:rPr>
        <w:t>本章制度管理员负责本制度的建设，同时作为制度汇编编纂人履行以下职责：</w:t>
      </w:r>
    </w:p>
    <w:p>
      <w:pPr>
        <w:numPr>
          <w:numId w:val="205"/>
        </w:numPr>
        <w:spacing w:before="120" w:after="120" w:line="288" w:lineRule="auto"/>
        <w:ind w:left="453"/>
        <w:jc w:val="left"/>
      </w:pPr>
      <w:r>
        <w:rPr>
          <w:rFonts w:eastAsia="等线" w:ascii="Arial" w:cs="Arial" w:hAnsi="Arial"/>
          <w:sz w:val="22"/>
        </w:rPr>
        <w:t>组织开展年度制度修订工作，相关流程参见《附件4142-年度制度讨论安排》；</w:t>
      </w:r>
    </w:p>
    <w:p>
      <w:pPr>
        <w:numPr>
          <w:numId w:val="206"/>
        </w:numPr>
        <w:spacing w:before="120" w:after="120" w:line="288" w:lineRule="auto"/>
        <w:ind w:left="453"/>
        <w:jc w:val="left"/>
      </w:pPr>
      <w:r>
        <w:rPr>
          <w:rFonts w:eastAsia="等线" w:ascii="Arial" w:cs="Arial" w:hAnsi="Arial"/>
          <w:sz w:val="22"/>
        </w:rPr>
        <w:t>负责制度汇编的汇总、更新、发布与备份。制度的每一项修订均须做书面记录；前述过程稿及清洁稿由制度汇编编撰人按月在飞书备份。</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制度过程稿、清洁稿提交要求</w:t>
      </w:r>
    </w:p>
    <w:p>
      <w:pPr>
        <w:spacing w:before="120" w:after="120" w:line="288" w:lineRule="auto"/>
        <w:ind w:left="0" w:firstLine="420"/>
        <w:jc w:val="left"/>
      </w:pPr>
      <w:r>
        <w:rPr>
          <w:rFonts w:eastAsia="等线" w:ascii="Arial" w:cs="Arial" w:hAnsi="Arial"/>
          <w:sz w:val="22"/>
        </w:rPr>
        <w:t>若需添加或删除制度文字，建议人建议、管理员意见、总经办/风控部/扩大会意见均应先将需要修改的原文复制黏贴恢复成黑色字体后再在上面修改。涉及的新增内容用红色字体；删除的内容须添加删除线；若需删除整条/项/款，直接写明删除第X条/X项/X款即可，无需复制原文、添加删除线等；为方便阅读，连续段落的修订，段落之间空几行，整理清洁稿时恢复原状即可。</w:t>
      </w:r>
    </w:p>
    <w:p>
      <w:pPr>
        <w:spacing w:before="120" w:after="120" w:line="288" w:lineRule="auto"/>
        <w:ind w:left="0" w:firstLine="420"/>
        <w:jc w:val="left"/>
      </w:pPr>
      <w:r>
        <w:rPr>
          <w:rFonts w:eastAsia="等线" w:ascii="Arial" w:cs="Arial" w:hAnsi="Arial"/>
          <w:sz w:val="22"/>
        </w:rPr>
        <w:t>（一） 管理员意见稿格式如下：</w:t>
      </w:r>
    </w:p>
    <w:p>
      <w:pPr>
        <w:spacing w:before="120" w:after="120" w:line="288" w:lineRule="auto"/>
        <w:ind w:left="0" w:firstLine="420"/>
        <w:jc w:val="left"/>
      </w:pPr>
      <w:r>
        <w:rPr>
          <w:rFonts w:eastAsia="等线" w:ascii="Arial" w:cs="Arial" w:hAnsi="Arial"/>
          <w:sz w:val="22"/>
        </w:rPr>
        <w:t>原文：xxxxxx</w:t>
      </w:r>
    </w:p>
    <w:p>
      <w:pPr>
        <w:spacing w:before="120" w:after="120" w:line="288" w:lineRule="auto"/>
        <w:ind w:left="0" w:firstLine="420"/>
        <w:jc w:val="left"/>
      </w:pPr>
      <w:r>
        <w:rPr>
          <w:rFonts w:eastAsia="等线" w:ascii="Arial" w:cs="Arial" w:hAnsi="Arial"/>
          <w:sz w:val="22"/>
        </w:rPr>
        <w:t>管理员意见：（部分）采纳/不采纳xxx建议，修改为：xxxxxxx（管理员应清晰、完整地表述个人意见，对未采纳建议须备注原因）。</w:t>
      </w:r>
    </w:p>
    <w:p>
      <w:pPr>
        <w:spacing w:before="120" w:after="120" w:line="288" w:lineRule="auto"/>
        <w:ind w:left="0" w:firstLine="420"/>
        <w:jc w:val="left"/>
      </w:pPr>
      <w:r>
        <w:rPr>
          <w:rFonts w:eastAsia="等线" w:ascii="Arial" w:cs="Arial" w:hAnsi="Arial"/>
          <w:sz w:val="22"/>
        </w:rPr>
        <w:t>xxx建议：xxxxxx（黄色高亮）</w:t>
      </w:r>
    </w:p>
    <w:p>
      <w:pPr>
        <w:spacing w:before="120" w:after="120" w:line="288" w:lineRule="auto"/>
        <w:ind w:left="0" w:firstLine="420"/>
        <w:jc w:val="left"/>
      </w:pPr>
      <w:r>
        <w:rPr>
          <w:rFonts w:eastAsia="等线" w:ascii="Arial" w:cs="Arial" w:hAnsi="Arial"/>
          <w:sz w:val="22"/>
        </w:rPr>
        <w:t>xxx建议：xxxxxx（黄色高亮）</w:t>
      </w:r>
    </w:p>
    <w:p>
      <w:pPr>
        <w:spacing w:before="120" w:after="120" w:line="288" w:lineRule="auto"/>
        <w:ind w:left="0" w:firstLine="420"/>
        <w:jc w:val="left"/>
      </w:pPr>
      <w:r>
        <w:rPr>
          <w:rFonts w:eastAsia="等线" w:ascii="Arial" w:cs="Arial" w:hAnsi="Arial"/>
          <w:sz w:val="22"/>
        </w:rPr>
        <w:t>（二） 总经办/风控部意见稿格式如下：</w:t>
      </w:r>
    </w:p>
    <w:p>
      <w:pPr>
        <w:spacing w:before="120" w:after="120" w:line="288" w:lineRule="auto"/>
        <w:ind w:left="0" w:firstLine="420"/>
        <w:jc w:val="left"/>
      </w:pPr>
      <w:r>
        <w:rPr>
          <w:rFonts w:eastAsia="等线" w:ascii="Arial" w:cs="Arial" w:hAnsi="Arial"/>
          <w:sz w:val="22"/>
        </w:rPr>
        <w:t>原文：xxxxxx</w:t>
      </w:r>
    </w:p>
    <w:p>
      <w:pPr>
        <w:spacing w:before="120" w:after="120" w:line="288" w:lineRule="auto"/>
        <w:ind w:left="0" w:firstLine="420"/>
        <w:jc w:val="left"/>
      </w:pPr>
      <w:r>
        <w:rPr>
          <w:rFonts w:eastAsia="等线" w:ascii="Arial" w:cs="Arial" w:hAnsi="Arial"/>
          <w:sz w:val="22"/>
        </w:rPr>
        <w:t>总经办意见/风控部意见：同意建议人/管理员意见；不同意建议人/管理员意见，修改为：xxxxxx（若总经办/风控部对建议人与管理员意见均不采纳，应清晰、完整地表述最终决策意见，对未采纳意见须备注原因）。</w:t>
      </w:r>
    </w:p>
    <w:p>
      <w:pPr>
        <w:spacing w:before="120" w:after="120" w:line="288" w:lineRule="auto"/>
        <w:ind w:left="0" w:firstLine="420"/>
        <w:jc w:val="left"/>
      </w:pPr>
      <w:r>
        <w:rPr>
          <w:rFonts w:eastAsia="等线" w:ascii="Arial" w:cs="Arial" w:hAnsi="Arial"/>
          <w:sz w:val="22"/>
        </w:rPr>
        <w:t>管理员意见：（部分）采纳/不采纳xxx建议，修改为：xxxxxxx（管理员应清晰、完整地表述个人意见，对未采纳建议须备注原因。）</w:t>
      </w:r>
    </w:p>
    <w:p>
      <w:pPr>
        <w:spacing w:before="120" w:after="120" w:line="288" w:lineRule="auto"/>
        <w:ind w:left="0" w:firstLine="420"/>
        <w:jc w:val="left"/>
      </w:pPr>
      <w:r>
        <w:rPr>
          <w:rFonts w:eastAsia="等线" w:ascii="Arial" w:cs="Arial" w:hAnsi="Arial"/>
          <w:sz w:val="22"/>
        </w:rPr>
        <w:t>xxx建议：xxxxxx（黄色高亮）</w:t>
      </w:r>
    </w:p>
    <w:p>
      <w:pPr>
        <w:spacing w:before="120" w:after="120" w:line="288" w:lineRule="auto"/>
        <w:ind w:left="0" w:firstLine="420"/>
        <w:jc w:val="left"/>
      </w:pPr>
      <w:r>
        <w:rPr>
          <w:rFonts w:eastAsia="等线" w:ascii="Arial" w:cs="Arial" w:hAnsi="Arial"/>
          <w:sz w:val="22"/>
        </w:rPr>
        <w:t>xxx建议：xxxxxx（黄色高亮）</w:t>
      </w:r>
    </w:p>
    <w:p>
      <w:pPr>
        <w:spacing w:before="120" w:after="120" w:line="288" w:lineRule="auto"/>
        <w:ind w:left="0" w:firstLine="420"/>
        <w:jc w:val="left"/>
      </w:pPr>
      <w:r>
        <w:rPr>
          <w:rFonts w:eastAsia="等线" w:ascii="Arial" w:cs="Arial" w:hAnsi="Arial"/>
          <w:sz w:val="22"/>
        </w:rPr>
        <w:t>（三） 扩大会意见稿格式如下：</w:t>
      </w:r>
    </w:p>
    <w:p>
      <w:pPr>
        <w:spacing w:before="120" w:after="120" w:line="288" w:lineRule="auto"/>
        <w:ind w:left="0" w:firstLine="420"/>
        <w:jc w:val="left"/>
      </w:pPr>
      <w:r>
        <w:rPr>
          <w:rFonts w:eastAsia="等线" w:ascii="Arial" w:cs="Arial" w:hAnsi="Arial"/>
          <w:sz w:val="22"/>
        </w:rPr>
        <w:t>原文：xxxxxx</w:t>
      </w:r>
    </w:p>
    <w:p>
      <w:pPr>
        <w:spacing w:before="120" w:after="120" w:line="288" w:lineRule="auto"/>
        <w:ind w:left="0" w:firstLine="420"/>
        <w:jc w:val="left"/>
      </w:pPr>
      <w:r>
        <w:rPr>
          <w:rFonts w:eastAsia="等线" w:ascii="Arial" w:cs="Arial" w:hAnsi="Arial"/>
          <w:sz w:val="22"/>
        </w:rPr>
        <w:t>扩大会意见：同意总经办/风控部/管理员/建议人意见；不同意总经办/风控部/管理员/建议人意见，修改为：xxxxxx（若扩大会对总经办、风控部、建议人、管理员意见均不采纳，应清晰、完整地表述最终决策意见，对未采纳意见须备注原因）。</w:t>
      </w:r>
    </w:p>
    <w:p>
      <w:pPr>
        <w:spacing w:before="120" w:after="120" w:line="288" w:lineRule="auto"/>
        <w:ind w:left="0" w:firstLine="420"/>
        <w:jc w:val="left"/>
      </w:pPr>
      <w:r>
        <w:rPr>
          <w:rFonts w:eastAsia="等线" w:ascii="Arial" w:cs="Arial" w:hAnsi="Arial"/>
          <w:sz w:val="22"/>
        </w:rPr>
        <w:t>总经办意见/风控部意见：同意建议人/管理员意见；不同意建议人/管理员意见，修改为：xxxxxx（若总经办/风控部对建议人与管理员意见均不采纳，应清晰、完整地表述最终决策意见，对未采纳意见须备注原因）。</w:t>
      </w:r>
    </w:p>
    <w:p>
      <w:pPr>
        <w:spacing w:before="120" w:after="120" w:line="288" w:lineRule="auto"/>
        <w:ind w:left="0" w:firstLine="420"/>
        <w:jc w:val="left"/>
      </w:pPr>
      <w:r>
        <w:rPr>
          <w:rFonts w:eastAsia="等线" w:ascii="Arial" w:cs="Arial" w:hAnsi="Arial"/>
          <w:sz w:val="22"/>
        </w:rPr>
        <w:t>管理员意见：（部分）采纳/不采纳xxx建议，修改为：xxxxxxx（管理员应清晰、完整地表述个人意见，对未采纳建议须备注原因）。</w:t>
      </w:r>
    </w:p>
    <w:p>
      <w:pPr>
        <w:spacing w:before="120" w:after="120" w:line="288" w:lineRule="auto"/>
        <w:ind w:left="0" w:firstLine="420"/>
        <w:jc w:val="left"/>
      </w:pPr>
      <w:r>
        <w:rPr>
          <w:rFonts w:eastAsia="等线" w:ascii="Arial" w:cs="Arial" w:hAnsi="Arial"/>
          <w:sz w:val="22"/>
        </w:rPr>
        <w:t>xxx建议：xxxxxx（黄色高亮）</w:t>
      </w:r>
    </w:p>
    <w:p>
      <w:pPr>
        <w:spacing w:before="120" w:after="120" w:line="288" w:lineRule="auto"/>
        <w:ind w:left="0" w:firstLine="420"/>
        <w:jc w:val="left"/>
      </w:pPr>
      <w:r>
        <w:rPr>
          <w:rFonts w:eastAsia="等线" w:ascii="Arial" w:cs="Arial" w:hAnsi="Arial"/>
          <w:sz w:val="22"/>
        </w:rPr>
        <w:t>xxx建议：xxxxxx（黄色高亮）</w:t>
      </w:r>
    </w:p>
    <w:p>
      <w:pPr>
        <w:spacing w:before="120" w:after="120" w:line="288" w:lineRule="auto"/>
        <w:ind w:left="0" w:firstLine="420"/>
        <w:jc w:val="left"/>
      </w:pPr>
      <w:r>
        <w:rPr>
          <w:rFonts w:eastAsia="等线" w:ascii="Arial" w:cs="Arial" w:hAnsi="Arial"/>
          <w:sz w:val="22"/>
        </w:rPr>
        <w:t>（四） 制度清洁稿格式如下：</w:t>
      </w:r>
    </w:p>
    <w:p>
      <w:pPr>
        <w:spacing w:before="120" w:after="120" w:line="288" w:lineRule="auto"/>
        <w:ind w:left="0" w:firstLine="420"/>
        <w:jc w:val="left"/>
      </w:pPr>
      <w:r>
        <w:rPr>
          <w:rFonts w:eastAsia="等线" w:ascii="Arial" w:cs="Arial" w:hAnsi="Arial"/>
          <w:sz w:val="22"/>
        </w:rPr>
        <w:t xml:space="preserve">用红色字体标注制度最终确定的文本（建议人姓名，修订日期） </w:t>
      </w:r>
    </w:p>
    <w:p>
      <w:pPr>
        <w:spacing w:before="120" w:after="120" w:line="288" w:lineRule="auto"/>
        <w:ind w:left="0" w:firstLine="420"/>
        <w:jc w:val="left"/>
      </w:pPr>
      <w:r>
        <w:rPr>
          <w:rFonts w:eastAsia="等线" w:ascii="Arial" w:cs="Arial" w:hAnsi="Arial"/>
          <w:sz w:val="22"/>
        </w:rPr>
        <w:t>示例：xxxxxxx（xxx，202303）</w:t>
      </w:r>
    </w:p>
    <w:p>
      <w:pPr>
        <w:numPr>
          <w:numId w:val="207"/>
        </w:numPr>
        <w:spacing w:before="120" w:after="120" w:line="288" w:lineRule="auto"/>
        <w:ind w:left="453"/>
        <w:jc w:val="left"/>
      </w:pPr>
      <w:r>
        <w:rPr>
          <w:rFonts w:eastAsia="等线" w:ascii="Arial" w:cs="Arial" w:hAnsi="Arial"/>
          <w:sz w:val="22"/>
        </w:rPr>
        <w:t>根据三会决议或扩大会会议纪要的要求需要紧急修订的制度，相关制度管理员应自收到决议或纪要之日起两日内在线提交管理员意见稿，相关机构应及时讨论、决策。</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TBS制度建设方式为论文总结形式体现；如：第一编，所投企业战略管理制度要求与建议。（制度讨论）</w:t>
      </w:r>
    </w:p>
    <w:p>
      <w:pPr>
        <w:spacing w:before="120" w:after="120" w:line="288" w:lineRule="auto"/>
        <w:ind w:left="0" w:firstLine="420"/>
        <w:jc w:val="left"/>
      </w:pPr>
      <w:r>
        <w:rPr>
          <w:rFonts w:eastAsia="等线" w:ascii="Arial" w:cs="Arial" w:hAnsi="Arial"/>
          <w:sz w:val="22"/>
        </w:rPr>
        <w:t>（一）以领投角度结合所学习内容、投后管理和企业访谈情况制定所投企业战略管理制度（分为制度要求和制度建议两部分）；</w:t>
      </w:r>
    </w:p>
    <w:p>
      <w:pPr>
        <w:spacing w:before="120" w:after="120" w:line="288" w:lineRule="auto"/>
        <w:ind w:left="0" w:firstLine="420"/>
        <w:jc w:val="left"/>
      </w:pPr>
      <w:r>
        <w:rPr>
          <w:rFonts w:eastAsia="等线" w:ascii="Arial" w:cs="Arial" w:hAnsi="Arial"/>
          <w:sz w:val="22"/>
        </w:rPr>
        <w:t>（二）论点即是制度要求和建议条款，论点要以制度形式表达，每条均是论点，每条论点后提出论据和论证；</w:t>
      </w:r>
    </w:p>
    <w:p>
      <w:pPr>
        <w:spacing w:before="120" w:after="120" w:line="288" w:lineRule="auto"/>
        <w:ind w:left="0" w:firstLine="420"/>
        <w:jc w:val="left"/>
      </w:pPr>
      <w:r>
        <w:rPr>
          <w:rFonts w:eastAsia="等线" w:ascii="Arial" w:cs="Arial" w:hAnsi="Arial"/>
          <w:sz w:val="22"/>
        </w:rPr>
        <w:t xml:space="preserve"> (三）扩大会根据论点、论据、论证讨论通过后纳入TBS制度并作为当期考核制度建设数量分值；</w:t>
      </w:r>
    </w:p>
    <w:p>
      <w:pPr>
        <w:spacing w:before="120" w:after="120" w:line="288" w:lineRule="auto"/>
        <w:ind w:left="0" w:firstLine="420"/>
        <w:jc w:val="left"/>
      </w:pPr>
      <w:r>
        <w:rPr>
          <w:rFonts w:eastAsia="等线" w:ascii="Arial" w:cs="Arial" w:hAnsi="Arial"/>
          <w:sz w:val="22"/>
        </w:rPr>
        <w:t>（四）论点要简明清晰，论据要结合案例，论证要简洁有力。</w:t>
      </w:r>
    </w:p>
    <w:p>
      <w:pPr>
        <w:spacing w:before="120" w:after="120" w:line="288" w:lineRule="auto"/>
        <w:ind w:left="0" w:firstLine="420"/>
        <w:jc w:val="left"/>
      </w:pPr>
      <w:r>
        <w:rPr>
          <w:rFonts w:eastAsia="等线" w:ascii="Arial" w:cs="Arial" w:hAnsi="Arial"/>
          <w:sz w:val="22"/>
        </w:rPr>
        <w:t>TBS正文建设方式与公司制度建设一致，附件完全仿照DBS形式。</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附件以编章节为序，例如第一编第一章第一节的第二个附件则该附件编号为，附件：1112。</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59" w:id="59"/>
      <w:r>
        <w:rPr>
          <w:rFonts w:eastAsia="等线" w:ascii="Arial" w:cs="Arial" w:hAnsi="Arial"/>
          <w:b w:val="true"/>
          <w:sz w:val="30"/>
        </w:rPr>
        <w:t>第三节 制度监督</w:t>
      </w:r>
      <w:bookmarkEnd w:id="59"/>
    </w:p>
    <w:p>
      <w:pPr>
        <w:spacing w:before="120" w:after="120" w:line="288" w:lineRule="auto"/>
        <w:ind w:left="0" w:firstLine="420"/>
        <w:jc w:val="left"/>
      </w:pPr>
      <w:r>
        <w:rPr>
          <w:rFonts w:eastAsia="等线" w:ascii="Arial" w:cs="Arial" w:hAnsi="Arial"/>
          <w:sz w:val="22"/>
        </w:rPr>
        <w:t>对制度执行的监督是制度治企的核心所在，国家和企业都需要三权分立与权力制衡的设置，公司法对监督权做了浓墨重彩的设计。投资行业通过设置风控部门实现经营层面的监督，总经理主要负责管理层面的监督，其形式都是通过内控设计与落实来促进执行。</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提示目的</w:t>
      </w:r>
    </w:p>
    <w:p>
      <w:pPr>
        <w:spacing w:before="120" w:after="120" w:line="288" w:lineRule="auto"/>
        <w:ind w:left="0" w:firstLine="420"/>
        <w:jc w:val="left"/>
      </w:pPr>
      <w:r>
        <w:rPr>
          <w:rFonts w:eastAsia="等线" w:ascii="Arial" w:cs="Arial" w:hAnsi="Arial"/>
          <w:sz w:val="22"/>
        </w:rPr>
        <w:t>（一） 温习和熟悉制度，发现制度问题，提出修订建议；</w:t>
      </w:r>
    </w:p>
    <w:p>
      <w:pPr>
        <w:spacing w:before="120" w:after="120" w:line="288" w:lineRule="auto"/>
        <w:ind w:left="0" w:firstLine="420"/>
        <w:jc w:val="left"/>
      </w:pPr>
      <w:r>
        <w:rPr>
          <w:rFonts w:eastAsia="等线" w:ascii="Arial" w:cs="Arial" w:hAnsi="Arial"/>
          <w:sz w:val="22"/>
        </w:rPr>
        <w:t>（二） 督促制度执行。</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提示分工：</w:t>
      </w:r>
    </w:p>
    <w:p>
      <w:pPr>
        <w:spacing w:before="120" w:after="120" w:line="288" w:lineRule="auto"/>
        <w:ind w:left="0" w:firstLine="420"/>
        <w:jc w:val="left"/>
      </w:pPr>
      <w:r>
        <w:rPr>
          <w:rFonts w:eastAsia="等线" w:ascii="Arial" w:cs="Arial" w:hAnsi="Arial"/>
          <w:sz w:val="22"/>
        </w:rPr>
        <w:t>岗位提示是重点，也是岗位管理职责所在。具体分工如下：</w:t>
      </w:r>
    </w:p>
    <w:p>
      <w:pPr>
        <w:spacing w:before="120" w:after="120" w:line="288" w:lineRule="auto"/>
        <w:ind w:left="0" w:firstLine="420"/>
        <w:jc w:val="left"/>
      </w:pPr>
      <w:r>
        <w:rPr>
          <w:rFonts w:eastAsia="等线" w:ascii="Arial" w:cs="Arial" w:hAnsi="Arial"/>
          <w:sz w:val="22"/>
        </w:rPr>
        <w:t>监事会：重点提示总经理、副总经理对公司管理的监督履职情况；提示风控委、风控部对公司经营的监督履职情况；提示治理制度所涉及的三会召开程序、议案内容合规情况以及后续决议落实情况；监督基金合伙协议的履行情况，制度执行情况，通过第三方审计发现的问题提示财务事项；</w:t>
      </w:r>
    </w:p>
    <w:p>
      <w:pPr>
        <w:spacing w:before="120" w:after="120" w:line="288" w:lineRule="auto"/>
        <w:ind w:left="0" w:firstLine="420"/>
        <w:jc w:val="left"/>
      </w:pPr>
      <w:r>
        <w:rPr>
          <w:rFonts w:eastAsia="等线" w:ascii="Arial" w:cs="Arial" w:hAnsi="Arial"/>
          <w:sz w:val="22"/>
        </w:rPr>
        <w:t>董事长：重点提示高管团队；</w:t>
      </w:r>
    </w:p>
    <w:p>
      <w:pPr>
        <w:spacing w:before="120" w:after="120" w:line="288" w:lineRule="auto"/>
        <w:ind w:left="0" w:firstLine="420"/>
        <w:jc w:val="left"/>
      </w:pPr>
      <w:r>
        <w:rPr>
          <w:rFonts w:eastAsia="等线" w:ascii="Arial" w:cs="Arial" w:hAnsi="Arial"/>
          <w:sz w:val="22"/>
        </w:rPr>
        <w:t>高管：对自己所分管工作进行重点监督提示，对提示工作督促落实。其中，总经理重点提示经营管理团队行政、人力、财务、法务和项目部管理；</w:t>
      </w:r>
    </w:p>
    <w:p>
      <w:pPr>
        <w:spacing w:before="120" w:after="120" w:line="288" w:lineRule="auto"/>
        <w:ind w:left="0" w:firstLine="420"/>
        <w:jc w:val="left"/>
      </w:pPr>
      <w:r>
        <w:rPr>
          <w:rFonts w:eastAsia="等线" w:ascii="Arial" w:cs="Arial" w:hAnsi="Arial"/>
          <w:sz w:val="22"/>
        </w:rPr>
        <w:t>风控委、风控部：重点提示公司募资和基金合规合约运行和项目部投资、投后管理、退出等经营事项。详细职责参见风控相关制度；</w:t>
      </w:r>
    </w:p>
    <w:p>
      <w:pPr>
        <w:spacing w:before="120" w:after="120" w:line="288" w:lineRule="auto"/>
        <w:ind w:left="0" w:firstLine="420"/>
        <w:jc w:val="left"/>
      </w:pPr>
      <w:r>
        <w:rPr>
          <w:rFonts w:eastAsia="等线" w:ascii="Arial" w:cs="Arial" w:hAnsi="Arial"/>
          <w:sz w:val="22"/>
        </w:rPr>
        <w:t>分管经营监督的监事：重点监督风控委、风控部经营监督履职情况；</w:t>
      </w:r>
    </w:p>
    <w:p>
      <w:pPr>
        <w:spacing w:before="120" w:after="120" w:line="288" w:lineRule="auto"/>
        <w:ind w:left="0" w:firstLine="420"/>
        <w:jc w:val="left"/>
      </w:pPr>
      <w:r>
        <w:rPr>
          <w:rFonts w:eastAsia="等线" w:ascii="Arial" w:cs="Arial" w:hAnsi="Arial"/>
          <w:sz w:val="22"/>
        </w:rPr>
        <w:t>分管管理监督的监事：重点监督总经理、副总经理、财务总监的管理监督履职情况；</w:t>
      </w:r>
    </w:p>
    <w:p>
      <w:pPr>
        <w:spacing w:before="120" w:after="120" w:line="288" w:lineRule="auto"/>
        <w:ind w:left="0" w:firstLine="420"/>
        <w:jc w:val="left"/>
      </w:pPr>
      <w:r>
        <w:rPr>
          <w:rFonts w:eastAsia="等线" w:ascii="Arial" w:cs="Arial" w:hAnsi="Arial"/>
          <w:sz w:val="22"/>
        </w:rPr>
        <w:t>管理员：对自己管理的工作的执行情况进行重点监督提示；</w:t>
      </w:r>
    </w:p>
    <w:p>
      <w:pPr>
        <w:spacing w:before="120" w:after="120" w:line="288" w:lineRule="auto"/>
        <w:ind w:left="0" w:firstLine="420"/>
        <w:jc w:val="left"/>
      </w:pPr>
      <w:r>
        <w:rPr>
          <w:rFonts w:eastAsia="等线" w:ascii="Arial" w:cs="Arial" w:hAnsi="Arial"/>
          <w:sz w:val="22"/>
        </w:rPr>
        <w:t>管理员管理的制度适用办公室所有成员的，提示范围包含办公室办公的所有主体。</w:t>
      </w:r>
    </w:p>
    <w:p>
      <w:pPr>
        <w:spacing w:before="120" w:after="120" w:line="288" w:lineRule="auto"/>
        <w:ind w:left="0" w:firstLine="420"/>
        <w:jc w:val="left"/>
      </w:pPr>
      <w:r>
        <w:rPr>
          <w:rFonts w:eastAsia="等线" w:ascii="Arial" w:cs="Arial" w:hAnsi="Arial"/>
          <w:sz w:val="22"/>
        </w:rPr>
        <w:t>全体员工：负责公司所有制度执行情况的监督与提示工作。为了避免监督死角，公司全体员工对所有制度均可提示作为补充，重点提示不影响全员提示。</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提示、申诉、上诉机制是制度得以履行的保障，是发现制度问题的端口，是制度完善的主要动力，是管理公平的主要保障。具体要求如下：</w:t>
      </w:r>
    </w:p>
    <w:p>
      <w:pPr>
        <w:numPr>
          <w:numId w:val="208"/>
        </w:numPr>
        <w:spacing w:before="120" w:after="120" w:line="288" w:lineRule="auto"/>
        <w:ind w:left="453"/>
        <w:jc w:val="left"/>
      </w:pPr>
      <w:r>
        <w:rPr>
          <w:rFonts w:eastAsia="等线" w:ascii="Arial" w:cs="Arial" w:hAnsi="Arial"/>
          <w:sz w:val="22"/>
        </w:rPr>
        <w:t xml:space="preserve"> 每月任务成功提示数量要求：</w:t>
      </w:r>
    </w:p>
    <w:p>
      <w:pPr>
        <w:spacing w:before="120" w:after="120" w:line="288" w:lineRule="auto"/>
        <w:ind w:left="0" w:firstLine="420"/>
        <w:jc w:val="left"/>
      </w:pPr>
      <w:r>
        <w:rPr>
          <w:rFonts w:eastAsia="等线" w:ascii="Arial" w:cs="Arial" w:hAnsi="Arial"/>
          <w:sz w:val="22"/>
        </w:rPr>
        <w:t>董事长、总经理、风控主席、监事会主席：6条</w:t>
      </w:r>
    </w:p>
    <w:p>
      <w:pPr>
        <w:spacing w:before="120" w:after="120" w:line="288" w:lineRule="auto"/>
        <w:ind w:left="0" w:firstLine="420"/>
        <w:jc w:val="left"/>
      </w:pPr>
      <w:r>
        <w:rPr>
          <w:rFonts w:eastAsia="等线" w:ascii="Arial" w:cs="Arial" w:hAnsi="Arial"/>
          <w:sz w:val="22"/>
        </w:rPr>
        <w:t>副总级别（副总经理、财务总监、风控总监）、全职监事：4条</w:t>
      </w:r>
    </w:p>
    <w:p>
      <w:pPr>
        <w:spacing w:before="120" w:after="120" w:line="288" w:lineRule="auto"/>
        <w:ind w:left="0" w:firstLine="420"/>
        <w:jc w:val="left"/>
      </w:pPr>
      <w:r>
        <w:rPr>
          <w:rFonts w:eastAsia="等线" w:ascii="Arial" w:cs="Arial" w:hAnsi="Arial"/>
          <w:sz w:val="22"/>
        </w:rPr>
        <w:t>普通员工：3条</w:t>
      </w:r>
    </w:p>
    <w:p>
      <w:pPr>
        <w:spacing w:before="120" w:after="120" w:line="288" w:lineRule="auto"/>
        <w:ind w:left="0" w:firstLine="420"/>
        <w:jc w:val="left"/>
      </w:pPr>
      <w:r>
        <w:rPr>
          <w:rFonts w:eastAsia="等线" w:ascii="Arial" w:cs="Arial" w:hAnsi="Arial"/>
          <w:sz w:val="22"/>
        </w:rPr>
        <w:t>管理员提示自己管理的制度，提示1条算2条。</w:t>
      </w:r>
    </w:p>
    <w:p>
      <w:pPr>
        <w:numPr>
          <w:numId w:val="209"/>
        </w:numPr>
        <w:spacing w:before="120" w:after="120" w:line="288" w:lineRule="auto"/>
        <w:ind w:left="453"/>
        <w:jc w:val="left"/>
      </w:pPr>
      <w:r>
        <w:rPr>
          <w:rFonts w:eastAsia="等线" w:ascii="Arial" w:cs="Arial" w:hAnsi="Arial"/>
          <w:sz w:val="22"/>
        </w:rPr>
        <w:t xml:space="preserve"> 提示内容作为全员月度会例行汇报事项，原则上只针对上次月度会至本次月度会之间的事项进行提示；</w:t>
      </w:r>
    </w:p>
    <w:p>
      <w:pPr>
        <w:numPr>
          <w:numId w:val="210"/>
        </w:numPr>
        <w:spacing w:before="120" w:after="120" w:line="288" w:lineRule="auto"/>
        <w:ind w:left="453"/>
        <w:jc w:val="left"/>
      </w:pPr>
      <w:r>
        <w:rPr>
          <w:rFonts w:eastAsia="等线" w:ascii="Arial" w:cs="Arial" w:hAnsi="Arial"/>
          <w:sz w:val="22"/>
        </w:rPr>
        <w:t xml:space="preserve"> 所有提示均须明确被提示人，且有明确的制度依据，否则不计入提示数量；制度没有明确规定的，应先提交制度建议；</w:t>
      </w:r>
    </w:p>
    <w:p>
      <w:pPr>
        <w:numPr>
          <w:numId w:val="211"/>
        </w:numPr>
        <w:spacing w:before="120" w:after="120" w:line="288" w:lineRule="auto"/>
        <w:ind w:left="453"/>
        <w:jc w:val="left"/>
      </w:pPr>
      <w:r>
        <w:rPr>
          <w:rFonts w:eastAsia="等线" w:ascii="Arial" w:cs="Arial" w:hAnsi="Arial"/>
          <w:sz w:val="22"/>
        </w:rPr>
        <w:t xml:space="preserve"> 提示内容须对应所属制度章节，类似管理员忘记提交制度建议、未按决策机构意见修改、格式有误的提示内容，应选择对应的章节，而不是统一归集到“制度建设监督管理办法”；</w:t>
      </w:r>
    </w:p>
    <w:p>
      <w:pPr>
        <w:numPr>
          <w:numId w:val="212"/>
        </w:numPr>
        <w:spacing w:before="120" w:after="120" w:line="288" w:lineRule="auto"/>
        <w:ind w:left="453"/>
        <w:jc w:val="left"/>
      </w:pPr>
      <w:r>
        <w:rPr>
          <w:rFonts w:eastAsia="等线" w:ascii="Arial" w:cs="Arial" w:hAnsi="Arial"/>
          <w:sz w:val="22"/>
        </w:rPr>
        <w:t xml:space="preserve"> 办公室日常管理5S相关的提示要附加图片或视频；</w:t>
      </w:r>
    </w:p>
    <w:p>
      <w:pPr>
        <w:numPr>
          <w:numId w:val="213"/>
        </w:numPr>
        <w:spacing w:before="120" w:after="120" w:line="288" w:lineRule="auto"/>
        <w:ind w:left="453"/>
        <w:jc w:val="left"/>
      </w:pPr>
      <w:r>
        <w:rPr>
          <w:rFonts w:eastAsia="等线" w:ascii="Arial" w:cs="Arial" w:hAnsi="Arial"/>
          <w:sz w:val="22"/>
        </w:rPr>
        <w:t xml:space="preserve"> 关于制度格式错误的提示，考核周期内1-3次（含3次）记作1次提示，3-6次（含6次）记作2次提示，以此类推；</w:t>
      </w:r>
    </w:p>
    <w:p>
      <w:pPr>
        <w:numPr>
          <w:numId w:val="214"/>
        </w:numPr>
        <w:spacing w:before="120" w:after="120" w:line="288" w:lineRule="auto"/>
        <w:ind w:left="453"/>
        <w:jc w:val="left"/>
      </w:pPr>
      <w:r>
        <w:rPr>
          <w:rFonts w:eastAsia="等线" w:ascii="Arial" w:cs="Arial" w:hAnsi="Arial"/>
          <w:sz w:val="22"/>
        </w:rPr>
        <w:t xml:space="preserve"> 被提示人可在规定时间内向提示人申诉。提示人应慎重考虑被提示人的申诉理由：如双方对制度的理解有歧义，应考虑通过申诉并完善制度。申诉未通过时，可上诉并提请分管高管裁定；若申诉人或提示人是分管高管（含总经理），则由副总经理裁定。裁定人在接受上诉时应充分了解提示人、被提示人和管理员的意见，并根据制度是否有明确规定做出裁定。</w:t>
      </w:r>
    </w:p>
    <w:p>
      <w:pPr>
        <w:numPr>
          <w:numId w:val="215"/>
        </w:numPr>
        <w:spacing w:before="120" w:after="120" w:line="288" w:lineRule="auto"/>
        <w:ind w:left="453"/>
        <w:jc w:val="left"/>
      </w:pPr>
      <w:r>
        <w:rPr>
          <w:rFonts w:eastAsia="等线" w:ascii="Arial" w:cs="Arial" w:hAnsi="Arial"/>
          <w:sz w:val="22"/>
        </w:rPr>
        <w:t xml:space="preserve"> 对于项目的提示，按照以下规则计算提示数量：对于“立项前所需调研材料清单”，在一级标题内（例如：技术、市场、生产）的多个提示均记作1次提示。</w:t>
      </w:r>
    </w:p>
    <w:p>
      <w:pPr>
        <w:numPr>
          <w:numId w:val="216"/>
        </w:numPr>
        <w:spacing w:before="120" w:after="120" w:line="288" w:lineRule="auto"/>
        <w:ind w:left="453"/>
        <w:jc w:val="left"/>
      </w:pPr>
      <w:r>
        <w:rPr>
          <w:rFonts w:eastAsia="等线" w:ascii="Arial" w:cs="Arial" w:hAnsi="Arial"/>
          <w:sz w:val="22"/>
        </w:rPr>
        <w:t xml:space="preserve"> 对于重复提示，应在录入提示系统时标注“重复提示”，避免出现其他关键字（如“第二次提示”等）。如使用其他关键字，该条提示在考核统计时不计入重复提示的扣分项。</w:t>
      </w:r>
    </w:p>
    <w:p>
      <w:pPr>
        <w:numPr>
          <w:numId w:val="217"/>
        </w:numPr>
        <w:spacing w:before="120" w:after="120" w:line="288" w:lineRule="auto"/>
        <w:ind w:left="453"/>
        <w:jc w:val="left"/>
      </w:pPr>
      <w:r>
        <w:rPr>
          <w:rFonts w:eastAsia="等线" w:ascii="Arial" w:cs="Arial" w:hAnsi="Arial"/>
          <w:sz w:val="22"/>
        </w:rPr>
        <w:t>制度管理员在自己的管理制度中被他人提示，被提示1条算2条。</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关联提示说明：</w:t>
      </w:r>
    </w:p>
    <w:p>
      <w:pPr>
        <w:spacing w:before="120" w:after="120" w:line="288" w:lineRule="auto"/>
        <w:ind w:left="0" w:firstLine="420"/>
        <w:jc w:val="left"/>
      </w:pPr>
      <w:r>
        <w:rPr>
          <w:rFonts w:eastAsia="等线" w:ascii="Arial" w:cs="Arial" w:hAnsi="Arial"/>
          <w:sz w:val="22"/>
        </w:rPr>
        <w:t>（一） 对于《会议合作管理制度》和《办公室日常管理设备》，每月被提示3个事项，则管理员当月被关联提示1次；其余制度每月被提示2个事项，则管理员当月被关联提示1次；</w:t>
      </w:r>
    </w:p>
    <w:p>
      <w:pPr>
        <w:spacing w:before="120" w:after="120" w:line="288" w:lineRule="auto"/>
        <w:ind w:left="0" w:firstLine="420"/>
        <w:jc w:val="left"/>
      </w:pPr>
      <w:r>
        <w:rPr>
          <w:rFonts w:eastAsia="等线" w:ascii="Arial" w:cs="Arial" w:hAnsi="Arial"/>
          <w:sz w:val="22"/>
        </w:rPr>
        <w:t>（二）副总分管的工作其管理员每月被关联提示3次，则副总当月被关联提示1次；</w:t>
      </w:r>
    </w:p>
    <w:p>
      <w:pPr>
        <w:spacing w:before="120" w:after="120" w:line="288" w:lineRule="auto"/>
        <w:ind w:left="0" w:firstLine="420"/>
        <w:jc w:val="left"/>
      </w:pPr>
      <w:r>
        <w:rPr>
          <w:rFonts w:eastAsia="等线" w:ascii="Arial" w:cs="Arial" w:hAnsi="Arial"/>
          <w:sz w:val="22"/>
        </w:rPr>
        <w:t>（三） 副总当月被关联提示3次，则总经理当月被关联提示1次；</w:t>
      </w:r>
    </w:p>
    <w:p>
      <w:pPr>
        <w:spacing w:before="120" w:after="120" w:line="288" w:lineRule="auto"/>
        <w:ind w:left="0" w:firstLine="420"/>
        <w:jc w:val="left"/>
      </w:pPr>
      <w:r>
        <w:rPr>
          <w:rFonts w:eastAsia="等线" w:ascii="Arial" w:cs="Arial" w:hAnsi="Arial"/>
          <w:sz w:val="22"/>
        </w:rPr>
        <w:t>（四） 管理员已提示的事项，不计入其关联提示；副总已提示的事项不计入其关联提示；</w:t>
      </w:r>
    </w:p>
    <w:p>
      <w:pPr>
        <w:spacing w:before="120" w:after="120" w:line="288" w:lineRule="auto"/>
        <w:ind w:left="0" w:firstLine="420"/>
        <w:jc w:val="left"/>
      </w:pPr>
      <w:r>
        <w:rPr>
          <w:rFonts w:eastAsia="等线" w:ascii="Arial" w:cs="Arial" w:hAnsi="Arial"/>
          <w:sz w:val="22"/>
        </w:rPr>
        <w:t>（五） 关联提示不跨月累计；</w:t>
      </w:r>
    </w:p>
    <w:p>
      <w:pPr>
        <w:spacing w:before="120" w:after="120" w:line="288" w:lineRule="auto"/>
        <w:ind w:left="0" w:firstLine="420"/>
        <w:jc w:val="left"/>
      </w:pPr>
      <w:r>
        <w:rPr>
          <w:rFonts w:eastAsia="等线" w:ascii="Arial" w:cs="Arial" w:hAnsi="Arial"/>
          <w:sz w:val="22"/>
        </w:rPr>
        <w:t>（六） 副总或管理员不在场的提示事项，可以申诉不被关联提示。</w:t>
      </w:r>
    </w:p>
    <w:p>
      <w:pPr>
        <w:spacing w:before="120" w:after="120" w:line="288" w:lineRule="auto"/>
        <w:ind w:left="0" w:firstLine="420"/>
        <w:jc w:val="left"/>
      </w:pPr>
      <w:r>
        <w:rPr>
          <w:rFonts w:eastAsia="等线" w:ascii="Arial" w:cs="Arial" w:hAnsi="Arial"/>
          <w:sz w:val="22"/>
        </w:rPr>
        <w:t>（七） 管理员是提示主体，风控人员提示而管理员没有提示的，同时算作对管理员的提示（仅限经营制度；管理员没参与的工作除外）。</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公司所有资料包括档案全部录入飞书进行电子化管理，若发现资料缺失或资料不真实可以随时提示，责任主体是当前项目部和当前的管理员，故需要新的项目部和管理员在交接后认真核对检查飞书录入信息是否完整和真实。</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color w:val="d83931"/>
          <w:sz w:val="22"/>
        </w:rPr>
        <w:t xml:space="preserve"> </w:t>
      </w:r>
      <w:r>
        <w:rPr>
          <w:rFonts w:eastAsia="等线" w:ascii="Arial" w:cs="Arial" w:hAnsi="Arial"/>
          <w:sz w:val="22"/>
        </w:rPr>
        <w:t>提示扣分参见考核制度。</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60" w:id="60"/>
      <w:r>
        <w:rPr>
          <w:rFonts w:eastAsia="等线" w:ascii="Arial" w:cs="Arial" w:hAnsi="Arial"/>
          <w:b w:val="true"/>
          <w:sz w:val="30"/>
        </w:rPr>
        <w:t>第四节 制度执行</w:t>
      </w:r>
      <w:bookmarkEnd w:id="60"/>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经营制度由项目部执行，管理制度由全员执行或配合执行。</w:t>
      </w:r>
    </w:p>
    <w:p>
      <w:pPr>
        <w:spacing w:before="120" w:after="120" w:line="288" w:lineRule="auto"/>
        <w:ind w:left="0" w:firstLine="420"/>
        <w:jc w:val="left"/>
      </w:pPr>
      <w:r>
        <w:rPr>
          <w:rFonts w:eastAsia="等线" w:ascii="Arial" w:cs="Arial" w:hAnsi="Arial"/>
          <w:sz w:val="22"/>
        </w:rPr>
        <w:t>总经理、副总经理主要负责管理事务的组织、协调和管理制度的督促执行；风控主席、风控总监主要负责风控管理工作的组织、协调和经营制度的督促执行；总经理、风控主席以协调督促为主，切忌亲力亲为但紧急且必要时要给予协助。</w:t>
      </w:r>
    </w:p>
    <w:p>
      <w:pPr>
        <w:spacing w:before="120" w:after="120" w:line="288" w:lineRule="auto"/>
        <w:ind w:left="0" w:firstLine="420"/>
        <w:jc w:val="left"/>
      </w:pPr>
      <w:r>
        <w:rPr>
          <w:rFonts w:eastAsia="等线" w:ascii="Arial" w:cs="Arial" w:hAnsi="Arial"/>
          <w:sz w:val="22"/>
        </w:rPr>
        <w:t>前述协调督促作用体现为主动了解（观察、发现、询问）制度应执行未执行和执行不到位的问题，协调落实各提示人员提示的问题；并且分析造成这些问题的原因是执行原因、提示原因还是制度建设原因；根据分析出的原因作出判断和处理进而推动制度进步。</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执行系统，全员按制度要求分工执行，详见附件4141。</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管理的制度多而杂不能作为执行不力的免责理由。</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交办事项原则上以会议纪要形式交办，临时交办由董事长以邮件或OA形式进行交办并抄送分管高管并在下次扩大会纪要中进行体现。扩大会、总经办交办要以纪要形式，董事长、总经理交办、副总转交办都要以邮件、飞书或微信（非语音）书面形式交办和回复，没按要求时间完成并书面回复的视为没有完成交办，交办和回复留痕作为提示依据（提示尺度由交办人和交办单位负责人决定），也作为处理劳动纠纷、辞退依据之一。</w:t>
      </w:r>
    </w:p>
    <w:p>
      <w:pPr>
        <w:spacing w:before="120" w:after="120" w:line="288" w:lineRule="auto"/>
        <w:ind w:left="0" w:firstLine="0"/>
        <w:jc w:val="left"/>
      </w:pPr>
      <w:r>
        <w:rPr>
          <w:rFonts w:eastAsia="等线" w:ascii="Arial" w:cs="Arial" w:hAnsi="Arial"/>
          <w:b w:val="true"/>
          <w:sz w:val="22"/>
        </w:rPr>
        <w:t>第五条</w:t>
      </w: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（一）每个人有按制度独立自主表达的权利，但也有按制度不表达的权力，比如大家不必为自己在考核中的打分作出解释，自己作出的独立判断无需向任何人解释，制度匿名化是为了维护简单的人际关系。</w:t>
      </w:r>
    </w:p>
    <w:p>
      <w:pPr>
        <w:spacing w:before="120" w:after="120" w:line="288" w:lineRule="auto"/>
        <w:ind w:left="0" w:firstLine="420"/>
        <w:jc w:val="left"/>
      </w:pPr>
      <w:r>
        <w:rPr>
          <w:rFonts w:eastAsia="等线" w:ascii="Arial" w:cs="Arial" w:hAnsi="Arial"/>
          <w:sz w:val="22"/>
        </w:rPr>
        <w:t>（二）制度问题要咨询管理员，管理员可主动找分管负责人和总经理沟通，但不可推诿，制度理解有分歧的总经理和风控主席可提请召开扩大会临时会议表决。</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附件：</w:t>
      </w:r>
    </w:p>
    <w:p>
      <w:pPr>
        <w:spacing w:before="120" w:after="120" w:line="288" w:lineRule="auto"/>
        <w:ind w:left="0" w:firstLine="0"/>
        <w:jc w:val="left"/>
      </w:pPr>
      <w:hyperlink r:id="rId43">
        <w:r>
          <w:rPr>
            <w:rFonts w:eastAsia="等线" w:ascii="Arial" w:cs="Arial" w:hAnsi="Arial"/>
            <w:color w:val="3370ff"/>
            <w:sz w:val="22"/>
          </w:rPr>
          <w:t>附件4141-制度管理列表（含管理员清单和OA角色清单）202505</w:t>
        </w:r>
      </w:hyperlink>
      <w:r>
        <w:rPr>
          <w:rFonts w:eastAsia="等线" w:ascii="Arial" w:cs="Arial" w:hAnsi="Arial"/>
          <w:sz w:val="22"/>
        </w:rPr>
        <w:t xml:space="preserve">    </w:t>
      </w:r>
      <w:r>
        <w:rPr>
          <w:rFonts w:eastAsia="等线" w:ascii="Arial" w:cs="Arial" w:hAnsi="Arial"/>
          <w:color w:val="d83931"/>
          <w:sz w:val="22"/>
        </w:rPr>
        <w:t xml:space="preserve"> </w:t>
      </w:r>
    </w:p>
    <w:p>
      <w:pPr>
        <w:spacing w:before="120" w:after="120" w:line="288" w:lineRule="auto"/>
        <w:ind w:left="0" w:firstLine="0"/>
        <w:jc w:val="left"/>
      </w:pPr>
      <w:hyperlink r:id="rId44">
        <w:r>
          <w:rPr>
            <w:rFonts w:eastAsia="等线" w:ascii="Arial" w:cs="Arial" w:hAnsi="Arial"/>
            <w:color w:val="3370ff"/>
            <w:sz w:val="22"/>
          </w:rPr>
          <w:t>附件4142-年度制度讨论安排202503</w:t>
        </w:r>
      </w:hyperlink>
      <w:r>
        <w:rPr>
          <w:rFonts w:eastAsia="等线" w:ascii="Arial" w:cs="Arial" w:hAnsi="Arial"/>
          <w:sz w:val="22"/>
        </w:rPr>
        <w:t xml:space="preserve">  </w:t>
      </w:r>
    </w:p>
    <w:p>
      <w:pPr>
        <w:spacing w:before="120" w:after="120" w:line="288" w:lineRule="auto"/>
        <w:ind w:left="0" w:firstLine="0"/>
        <w:jc w:val="left"/>
      </w:pPr>
      <w:hyperlink r:id="rId45">
        <w:r>
          <w:rPr>
            <w:rFonts w:eastAsia="等线" w:ascii="Arial" w:cs="Arial" w:hAnsi="Arial"/>
            <w:color w:val="3370ff"/>
            <w:sz w:val="22"/>
          </w:rPr>
          <w:t>附件4143-规章制度起草编制技术指引规范202304</w:t>
        </w:r>
      </w:hyperlink>
    </w:p>
    <w:p>
      <w:pPr>
        <w:spacing w:before="120" w:after="120" w:line="288" w:lineRule="auto"/>
        <w:ind w:left="0" w:firstLine="0"/>
        <w:jc w:val="left"/>
      </w:pPr>
      <w:hyperlink r:id="rId46">
        <w:r>
          <w:rPr>
            <w:rFonts w:eastAsia="等线" w:ascii="Arial" w:cs="Arial" w:hAnsi="Arial"/>
            <w:color w:val="3370ff"/>
            <w:sz w:val="22"/>
          </w:rPr>
          <w:t>附件4144-标点符号用法（国标GBT 15834-2011）.pdf</w:t>
        </w:r>
      </w:hyperlink>
    </w:p>
    <w:p>
      <w:pPr>
        <w:spacing w:before="120" w:after="120" w:line="288" w:lineRule="auto"/>
        <w:ind w:left="0" w:firstLine="0"/>
        <w:jc w:val="left"/>
      </w:pPr>
      <w:hyperlink r:id="rId47">
        <w:r>
          <w:rPr>
            <w:rFonts w:eastAsia="等线" w:ascii="Arial" w:cs="Arial" w:hAnsi="Arial"/>
            <w:color w:val="3370ff"/>
            <w:sz w:val="22"/>
          </w:rPr>
          <w:t>附件4145-立法技术规范(试行)(一).pdf</w:t>
        </w:r>
      </w:hyperlink>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61" w:id="61"/>
      <w:r>
        <w:rPr>
          <w:rFonts w:eastAsia="等线" w:ascii="Arial" w:cs="Arial" w:hAnsi="Arial"/>
          <w:b w:val="true"/>
          <w:sz w:val="32"/>
        </w:rPr>
        <w:t>第二章 管理团队建设制度</w:t>
      </w:r>
      <w:r>
        <w:rPr>
          <w:rFonts w:eastAsia="等线" w:ascii="Arial" w:cs="Arial" w:hAnsi="Arial"/>
          <w:b w:val="true"/>
          <w:sz w:val="32"/>
        </w:rPr>
        <w:t>（</w:t>
      </w:r>
      <w:r>
        <w:rPr>
          <w:rFonts w:eastAsia="等线" w:ascii="Arial" w:cs="Arial" w:hAnsi="Arial"/>
          <w:b w:val="true"/>
          <w:color w:val="3370ff"/>
          <w:sz w:val="32"/>
        </w:rPr>
        <w:t>@余子政</w:t>
      </w:r>
      <w:r>
        <w:rPr>
          <w:rFonts w:eastAsia="等线" w:ascii="Arial" w:cs="Arial" w:hAnsi="Arial"/>
          <w:b w:val="true"/>
          <w:sz w:val="32"/>
        </w:rPr>
        <w:t>）（扩大会）</w:t>
      </w:r>
      <w:bookmarkEnd w:id="61"/>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公司管理团队分为经营管理团队和风控管理团队。公司经营管理团队设总经理一名，副总经理一名，财务总监一名，部门总监三名，投资经理及制度管理员若干名。风控管理团队为风控委与风控部，风控委设风控委主席一人、风控部设风控总监一名。</w:t>
      </w:r>
    </w:p>
    <w:p>
      <w:pPr>
        <w:spacing w:before="120" w:after="120" w:line="288" w:lineRule="auto"/>
        <w:ind w:left="0" w:firstLine="420"/>
        <w:jc w:val="left"/>
      </w:pPr>
      <w:r>
        <w:rPr>
          <w:rFonts w:eastAsia="等线" w:ascii="Arial" w:cs="Arial" w:hAnsi="Arial"/>
          <w:sz w:val="22"/>
        </w:rPr>
        <w:t>公司高管团队包括：风控主席、监事会主席、总经理、副总经理、财务总监、风控总监。</w:t>
      </w:r>
    </w:p>
    <w:p>
      <w:pPr>
        <w:spacing w:before="120" w:after="120" w:line="288" w:lineRule="auto"/>
        <w:ind w:left="0" w:firstLine="420"/>
        <w:jc w:val="left"/>
      </w:pPr>
      <w:r>
        <w:rPr>
          <w:rFonts w:eastAsia="等线" w:ascii="Arial" w:cs="Arial" w:hAnsi="Arial"/>
          <w:sz w:val="22"/>
        </w:rPr>
        <w:t>对外沟通（投资机构、项目方等）时，按照以下规则介绍员工职务：</w:t>
      </w:r>
    </w:p>
    <w:p>
      <w:pPr>
        <w:spacing w:before="120" w:after="120" w:line="288" w:lineRule="auto"/>
        <w:ind w:left="0" w:firstLine="420"/>
        <w:jc w:val="left"/>
      </w:pPr>
      <w:r>
        <w:rPr>
          <w:rFonts w:eastAsia="等线" w:ascii="Arial" w:cs="Arial" w:hAnsi="Arial"/>
          <w:sz w:val="22"/>
        </w:rPr>
        <w:t>总经理：董事总经理</w:t>
      </w:r>
    </w:p>
    <w:p>
      <w:pPr>
        <w:spacing w:before="120" w:after="120" w:line="288" w:lineRule="auto"/>
        <w:ind w:left="0" w:firstLine="420"/>
        <w:jc w:val="left"/>
      </w:pPr>
      <w:r>
        <w:rPr>
          <w:rFonts w:eastAsia="等线" w:ascii="Arial" w:cs="Arial" w:hAnsi="Arial"/>
          <w:sz w:val="22"/>
        </w:rPr>
        <w:t>其他高管（或曾任高管）：投资副总裁</w:t>
      </w:r>
    </w:p>
    <w:p>
      <w:pPr>
        <w:spacing w:before="120" w:after="120" w:line="288" w:lineRule="auto"/>
        <w:ind w:left="0" w:firstLine="420"/>
        <w:jc w:val="left"/>
      </w:pPr>
      <w:r>
        <w:rPr>
          <w:rFonts w:eastAsia="等线" w:ascii="Arial" w:cs="Arial" w:hAnsi="Arial"/>
          <w:sz w:val="22"/>
        </w:rPr>
        <w:t>3年以上投资经验：投资总监</w:t>
      </w:r>
    </w:p>
    <w:p>
      <w:pPr>
        <w:spacing w:before="120" w:after="120" w:line="288" w:lineRule="auto"/>
        <w:ind w:left="0" w:firstLine="420"/>
        <w:jc w:val="left"/>
      </w:pPr>
      <w:r>
        <w:rPr>
          <w:rFonts w:eastAsia="等线" w:ascii="Arial" w:cs="Arial" w:hAnsi="Arial"/>
          <w:sz w:val="22"/>
        </w:rPr>
        <w:t>3年以下投资经验：投资经理</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b w:val="true"/>
          <w:sz w:val="22"/>
        </w:rPr>
        <w:t xml:space="preserve"> 第二条</w:t>
      </w:r>
      <w:r>
        <w:rPr>
          <w:rFonts w:eastAsia="等线" w:ascii="Arial" w:cs="Arial" w:hAnsi="Arial"/>
          <w:sz w:val="22"/>
        </w:rPr>
        <w:t xml:space="preserve"> 管理团队人员中总经理、副总经理、风控委主席应须至少在公司工作满两年，财务总监、部门总监、风控部总监原则上须至少在公司工作满一年，员工转正后即具备担任制度管理员的资格。如有特殊情况，由扩大会直接聘任。</w:t>
      </w:r>
    </w:p>
    <w:p>
      <w:pPr>
        <w:spacing w:before="120" w:after="120" w:line="288" w:lineRule="auto"/>
        <w:ind w:left="0" w:firstLine="420"/>
        <w:jc w:val="left"/>
      </w:pPr>
      <w:r>
        <w:rPr>
          <w:rFonts w:eastAsia="等线" w:ascii="Arial" w:cs="Arial" w:hAnsi="Arial"/>
          <w:sz w:val="22"/>
        </w:rPr>
        <w:t>副总经理的职责包括：根据副总经理分工，对主管工作负责；召集分管管理员讨论工作安排、参加总经理办公会参与公司重大决定、代表公司做出工作安排并督促落实、分管工作的提示。</w:t>
      </w:r>
    </w:p>
    <w:p>
      <w:pPr>
        <w:spacing w:before="120" w:after="120" w:line="288" w:lineRule="auto"/>
        <w:ind w:left="0" w:firstLine="420"/>
        <w:jc w:val="left"/>
      </w:pPr>
      <w:r>
        <w:rPr>
          <w:rFonts w:eastAsia="等线" w:ascii="Arial" w:cs="Arial" w:hAnsi="Arial"/>
          <w:sz w:val="22"/>
        </w:rPr>
        <w:t>管理员的职责包括：对所管理的制度负责；建议收集、意见起草、制度拟定、所管理制度的重点监督提示、制度规定和临时工作安排的执行。</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总经理、副总经理、风控委主席、风控部总监、风控委委员和财务总监由董事会聘任或解聘，部门总监及制度管理员由总经理任免。员工的聘用或者解聘详见人力资源制度。</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风控委就制度明确规定的事项要主动尽职履责。风控委委员有下列情形之一的，应当予以更换： </w:t>
      </w:r>
    </w:p>
    <w:p>
      <w:pPr>
        <w:spacing w:before="120" w:after="120" w:line="288" w:lineRule="auto"/>
        <w:ind w:left="0" w:firstLine="420"/>
        <w:jc w:val="left"/>
      </w:pPr>
      <w:r>
        <w:rPr>
          <w:rFonts w:eastAsia="等线" w:ascii="Arial" w:cs="Arial" w:hAnsi="Arial"/>
          <w:sz w:val="22"/>
        </w:rPr>
        <w:t>（一） 违反法律、行政法规及《公司章程》相关规定的；</w:t>
      </w:r>
    </w:p>
    <w:p>
      <w:pPr>
        <w:spacing w:before="120" w:after="120" w:line="288" w:lineRule="auto"/>
        <w:ind w:left="0" w:firstLine="420"/>
        <w:jc w:val="left"/>
      </w:pPr>
      <w:r>
        <w:rPr>
          <w:rFonts w:eastAsia="等线" w:ascii="Arial" w:cs="Arial" w:hAnsi="Arial"/>
          <w:sz w:val="22"/>
        </w:rPr>
        <w:t>（二） 未按照公司的有关规定勤勉尽职的；</w:t>
      </w:r>
    </w:p>
    <w:p>
      <w:pPr>
        <w:spacing w:before="120" w:after="120" w:line="288" w:lineRule="auto"/>
        <w:ind w:left="0" w:firstLine="420"/>
        <w:jc w:val="left"/>
      </w:pPr>
      <w:r>
        <w:rPr>
          <w:rFonts w:eastAsia="等线" w:ascii="Arial" w:cs="Arial" w:hAnsi="Arial"/>
          <w:sz w:val="22"/>
        </w:rPr>
        <w:t>（三） 本人提出申请的；</w:t>
      </w:r>
    </w:p>
    <w:p>
      <w:pPr>
        <w:spacing w:before="120" w:after="120" w:line="288" w:lineRule="auto"/>
        <w:ind w:left="0" w:firstLine="420"/>
        <w:jc w:val="left"/>
      </w:pPr>
      <w:r>
        <w:rPr>
          <w:rFonts w:eastAsia="等线" w:ascii="Arial" w:cs="Arial" w:hAnsi="Arial"/>
          <w:sz w:val="22"/>
        </w:rPr>
        <w:t xml:space="preserve">（四） 一年四次以上（含四次）不能出席现场决策会议（项目投资决策及投资协议决策）的； </w:t>
      </w:r>
    </w:p>
    <w:p>
      <w:pPr>
        <w:spacing w:before="120" w:after="120" w:line="288" w:lineRule="auto"/>
        <w:ind w:left="0" w:firstLine="420"/>
        <w:jc w:val="left"/>
      </w:pPr>
      <w:r>
        <w:rPr>
          <w:rFonts w:eastAsia="等线" w:ascii="Arial" w:cs="Arial" w:hAnsi="Arial"/>
          <w:sz w:val="22"/>
        </w:rPr>
        <w:t>（五） 岗位职责进行调整的。</w:t>
      </w:r>
    </w:p>
    <w:p>
      <w:pPr>
        <w:spacing w:before="120" w:after="120" w:line="288" w:lineRule="auto"/>
        <w:ind w:left="0" w:firstLine="420"/>
        <w:jc w:val="left"/>
      </w:pPr>
      <w:r>
        <w:rPr>
          <w:rFonts w:eastAsia="等线" w:ascii="Arial" w:cs="Arial" w:hAnsi="Arial"/>
          <w:b w:val="true"/>
          <w:sz w:val="22"/>
        </w:rPr>
        <w:t>第</w:t>
      </w:r>
      <w:r>
        <w:rPr>
          <w:rFonts w:eastAsia="等线" w:ascii="Arial" w:cs="Arial" w:hAnsi="Arial"/>
          <w:b w:val="true"/>
          <w:sz w:val="22"/>
        </w:rPr>
        <w:t xml:space="preserve">五条 </w:t>
      </w:r>
      <w:r>
        <w:rPr>
          <w:rFonts w:eastAsia="等线" w:ascii="Arial" w:cs="Arial" w:hAnsi="Arial"/>
          <w:sz w:val="22"/>
        </w:rPr>
        <w:t>总经理每届任期四年，风控委委员（含风控委主席）原则上每届任期为三年，副总经理原则上每届任期两年，任期从董事会决议通过之日起计算。副总经理届满后根据民主推荐（参考附件4201《副总经理推荐办法》）、工作精力、工作表现和个人意愿等情况由董事会做出转岗、轮岗不再担任的决定，总经理亦可以在届中基于高管离职或以上原因及时做出调岗建议报董事会批准。</w:t>
      </w:r>
    </w:p>
    <w:p>
      <w:pPr>
        <w:spacing w:before="120" w:after="120" w:line="288" w:lineRule="auto"/>
        <w:ind w:left="0" w:firstLine="420"/>
        <w:jc w:val="left"/>
      </w:pPr>
      <w:r>
        <w:rPr>
          <w:rFonts w:eastAsia="等线" w:ascii="Arial" w:cs="Arial" w:hAnsi="Arial"/>
          <w:sz w:val="22"/>
        </w:rPr>
        <w:t>风控委委员任期届满，由本届风控委提出下届委员侯选人名单，提交董事会任命。期间若有委员中途离任或不能履行职务，由风控委提出委员候选人名单，提交董事会任命，及时补足委员人数。</w:t>
      </w:r>
    </w:p>
    <w:p>
      <w:pPr>
        <w:spacing w:before="120" w:after="120" w:line="288" w:lineRule="auto"/>
        <w:ind w:left="0" w:firstLine="420"/>
        <w:jc w:val="left"/>
      </w:pPr>
      <w:r>
        <w:rPr>
          <w:rFonts w:eastAsia="等线" w:ascii="Arial" w:cs="Arial" w:hAnsi="Arial"/>
          <w:sz w:val="22"/>
        </w:rPr>
        <w:t>原则上部门总监、制度管理员每届任期为两年，任期从总经办作出任免决定之日起计算。总经办根据需要对已到期的部门总监和管理员进行统一更换。专业性较强的制度在相关专业背景人员之间轮换。</w:t>
      </w:r>
    </w:p>
    <w:p>
      <w:pPr>
        <w:spacing w:before="120" w:after="120" w:line="288" w:lineRule="auto"/>
        <w:ind w:left="0" w:firstLine="420"/>
        <w:jc w:val="left"/>
      </w:pPr>
      <w:r>
        <w:rPr>
          <w:rFonts w:eastAsia="等线" w:ascii="Arial" w:cs="Arial" w:hAnsi="Arial"/>
          <w:sz w:val="22"/>
        </w:rPr>
        <w:t>上述岗位均可以连任。</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公司管理团队以总经理办公会、风控例会为工作形式。总经办实行总经理负责制，风控部实行风控总监负责制。</w:t>
      </w:r>
    </w:p>
    <w:p>
      <w:pPr>
        <w:spacing w:before="120" w:after="120" w:line="288" w:lineRule="auto"/>
        <w:ind w:left="0" w:firstLine="420"/>
        <w:jc w:val="left"/>
      </w:pPr>
      <w:r>
        <w:rPr>
          <w:rFonts w:eastAsia="等线" w:ascii="Arial" w:cs="Arial" w:hAnsi="Arial"/>
          <w:sz w:val="22"/>
        </w:rPr>
        <w:t>公司高管根据分管工作实际情况以及相关会议交办情况进行工作安排或转交办，上述工作安排或转交办的对象、内容等需要进行全面考虑。公司高管安排工作与制度发生冲突时，执行人员按照高管安排执行，造成损失的由公司向安排工作的高管追责，高管可就上述追责在扩大会进行申诉说明。对于不服从工作安排、消极执行甚至拒不执行的，按照未完成“交办事项”在月度会上进行提示，情节严重的在月度会上给与通报批评处罚，屡犯不改的按照程序予以辞退或不予续约。</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总经理、风控主席、监事会主席及风控总监应根据公司的阶段性工作重点，合理安排自己的半年度、年度工作计划，视工作需要不定期在上海或北京安排异地办公，并现场指导工作，时间3-5个工作日。分管工作的重要活动要到一线亲自指挥。</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部门总监负责组织部门例会、部门日常管理、部门能力建设、部门内部及部门之间等相关事务的协调。</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《公司法》第178条至第188条的相关规定适用于公司管理团队。</w:t>
      </w:r>
    </w:p>
    <w:p>
      <w:pPr>
        <w:spacing w:before="120" w:after="120" w:line="288" w:lineRule="auto"/>
        <w:ind w:left="0" w:firstLine="420"/>
        <w:jc w:val="left"/>
      </w:pPr>
      <w:r>
        <w:rPr>
          <w:rFonts w:eastAsia="等线" w:ascii="Arial" w:cs="Arial" w:hAnsi="Arial"/>
          <w:sz w:val="22"/>
        </w:rPr>
        <w:t>管理团队成员辞职或者任期届满，其对公司和股东承担的忠实义务和勤勉义务，在离职或任期结束后的合理期限内并不当然解除：对公司商业秘密保密的义务在其任职结束后仍然有效，直至该秘密成为公开信息；其他义务的持续期间应当根据公平的原则决定，视事件发生与离任之间时间的长短，以及与公司的关系在何种情况和条件下结束而定。</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依据《公司法》有关规定，高级管理人员执行公司职务时违反法律、行政法规或者公司章程的规定，给公司造成损失的，须承担赔偿责任，具体赔偿方案由董事会审议决定。</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公司制度建设和执行均实行管理员负责制和追责制；制度执行、提示和督促人员尽职免责；管理员已经把风险项、困难点书面告知高级管理人员求助但没得到有效帮助或答复可免责处理，追究责任主体是公司。因管理员造成的经济损失，由管理员承担。</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员工因违反制度给公司造成重大不利影响</w:t>
      </w:r>
      <w:r>
        <w:rPr>
          <w:rFonts w:eastAsia="等线" w:ascii="Arial" w:cs="Arial" w:hAnsi="Arial"/>
          <w:color w:val="d83931"/>
          <w:sz w:val="22"/>
        </w:rPr>
        <w:t>、</w:t>
      </w:r>
      <w:r>
        <w:rPr>
          <w:rFonts w:eastAsia="等线" w:ascii="Arial" w:cs="Arial" w:hAnsi="Arial"/>
          <w:sz w:val="22"/>
        </w:rPr>
        <w:t>损失（包括但不限于法律风险）或者严重违反公司制度的，董事会成员在听取员工现场申诉后，作出通报批评、赔偿、辞退的处罚决定或者不予处罚决定。处罚决定书由董事长签发，人力资源制度管理员对处罚决定负责组织实施。</w:t>
      </w:r>
    </w:p>
    <w:p>
      <w:pPr>
        <w:spacing w:before="120" w:after="120" w:line="288" w:lineRule="auto"/>
        <w:ind w:left="0" w:firstLine="420"/>
        <w:jc w:val="left"/>
      </w:pPr>
      <w:r>
        <w:rPr>
          <w:rFonts w:eastAsia="等线" w:ascii="Arial" w:cs="Arial" w:hAnsi="Arial"/>
          <w:b w:val="true"/>
          <w:sz w:val="22"/>
        </w:rPr>
        <w:t xml:space="preserve">第十三条 </w:t>
      </w:r>
      <w:r>
        <w:rPr>
          <w:rFonts w:eastAsia="等线" w:ascii="Arial" w:cs="Arial" w:hAnsi="Arial"/>
          <w:sz w:val="22"/>
        </w:rPr>
        <w:t>关于对员工进行处罚的制度依据：</w:t>
      </w:r>
    </w:p>
    <w:p>
      <w:pPr>
        <w:spacing w:before="120" w:after="120" w:line="288" w:lineRule="auto"/>
        <w:ind w:left="0" w:firstLine="420"/>
        <w:jc w:val="left"/>
      </w:pPr>
      <w:r>
        <w:rPr>
          <w:rFonts w:eastAsia="等线" w:ascii="Arial" w:cs="Arial" w:hAnsi="Arial"/>
          <w:sz w:val="22"/>
        </w:rPr>
        <w:t>（一） 法律法规或公司制度有明确规定的，从其规定执行；</w:t>
      </w:r>
    </w:p>
    <w:p>
      <w:pPr>
        <w:spacing w:before="120" w:after="120" w:line="288" w:lineRule="auto"/>
        <w:ind w:left="0" w:firstLine="420"/>
        <w:jc w:val="left"/>
      </w:pPr>
      <w:r>
        <w:rPr>
          <w:rFonts w:eastAsia="等线" w:ascii="Arial" w:cs="Arial" w:hAnsi="Arial"/>
          <w:sz w:val="22"/>
        </w:rPr>
        <w:t>（二） 法律法规或公司制度没有明确规定的，公司董事会根据员工恶意程度和实际后果进行裁量处罚。处罚的方式和程度不得违反法律法规；</w:t>
      </w:r>
    </w:p>
    <w:p>
      <w:pPr>
        <w:spacing w:before="120" w:after="120" w:line="288" w:lineRule="auto"/>
        <w:ind w:left="0" w:firstLine="420"/>
        <w:jc w:val="left"/>
      </w:pPr>
      <w:r>
        <w:rPr>
          <w:rFonts w:eastAsia="等线" w:ascii="Arial" w:cs="Arial" w:hAnsi="Arial"/>
          <w:sz w:val="22"/>
        </w:rPr>
        <w:t>（三） 员工不因法律法规及公司制度都无规定的事项承担任何责任，但公司应及时完善制度，规范员工各类行为。</w:t>
      </w:r>
    </w:p>
    <w:p>
      <w:pPr>
        <w:spacing w:before="120" w:after="120" w:line="288" w:lineRule="auto"/>
        <w:ind w:left="0" w:firstLine="420"/>
        <w:jc w:val="left"/>
      </w:pPr>
      <w:r>
        <w:rPr>
          <w:rFonts w:eastAsia="等线" w:ascii="Arial" w:cs="Arial" w:hAnsi="Arial"/>
          <w:b w:val="true"/>
          <w:sz w:val="22"/>
        </w:rPr>
        <w:t>第十四条</w:t>
      </w:r>
      <w:r>
        <w:rPr>
          <w:rFonts w:eastAsia="等线" w:ascii="Arial" w:cs="Arial" w:hAnsi="Arial"/>
          <w:sz w:val="22"/>
        </w:rPr>
        <w:t xml:space="preserve"> 公司的日常工作平台优先选择飞书；飞书消息应及时处理和回复。不论工作日还是非工作日，所有员工必须保持通讯畅通。</w:t>
      </w:r>
    </w:p>
    <w:p>
      <w:pPr>
        <w:spacing w:before="120" w:after="120" w:line="288" w:lineRule="auto"/>
        <w:ind w:left="0" w:firstLine="420"/>
        <w:jc w:val="left"/>
      </w:pPr>
      <w:r>
        <w:rPr>
          <w:rFonts w:eastAsia="等线" w:ascii="Arial" w:cs="Arial" w:hAnsi="Arial"/>
          <w:b w:val="true"/>
          <w:sz w:val="22"/>
        </w:rPr>
        <w:t>第十五条</w:t>
      </w:r>
      <w:r>
        <w:rPr>
          <w:rFonts w:eastAsia="等线" w:ascii="Arial" w:cs="Arial" w:hAnsi="Arial"/>
          <w:sz w:val="22"/>
        </w:rPr>
        <w:t xml:space="preserve"> 公司重要的通知应通过OA系统发送。OA流程为：发起人填写发送内容并选择接收人--总经理审批--接收人回复“已阅”--发起人确认。</w:t>
      </w:r>
    </w:p>
    <w:p>
      <w:pPr>
        <w:spacing w:before="120" w:after="120" w:line="288" w:lineRule="auto"/>
        <w:ind w:left="0" w:firstLine="420"/>
        <w:jc w:val="left"/>
      </w:pPr>
      <w:r>
        <w:rPr>
          <w:rFonts w:eastAsia="等线" w:ascii="Arial" w:cs="Arial" w:hAnsi="Arial"/>
          <w:sz w:val="22"/>
        </w:rPr>
        <w:t>对于“阅读当月制度汇编”的通知，回复时间要求详见《制度建设》章节；对于其他通知，接收人应于3日内回复“已阅”。</w:t>
      </w:r>
    </w:p>
    <w:p>
      <w:pPr>
        <w:spacing w:before="120" w:after="120" w:line="288" w:lineRule="auto"/>
        <w:ind w:left="0" w:firstLine="420"/>
        <w:jc w:val="left"/>
      </w:pPr>
      <w:r>
        <w:rPr>
          <w:rFonts w:eastAsia="等线" w:ascii="Arial" w:cs="Arial" w:hAnsi="Arial"/>
          <w:b w:val="true"/>
          <w:sz w:val="22"/>
        </w:rPr>
        <w:t>第十六条</w:t>
      </w:r>
      <w:r>
        <w:rPr>
          <w:rFonts w:eastAsia="等线" w:ascii="Arial" w:cs="Arial" w:hAnsi="Arial"/>
          <w:sz w:val="22"/>
        </w:rPr>
        <w:t xml:space="preserve"> 公司员工应统一电子名片和邮箱签名的格式要求。相关要求详见附件4202 《员工电子名片和邮箱签名格式要求》。</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sz w:val="22"/>
        </w:rPr>
        <w:t>附件：</w:t>
      </w:r>
    </w:p>
    <w:p>
      <w:pPr>
        <w:spacing w:before="120" w:after="120" w:line="288" w:lineRule="auto"/>
        <w:ind w:left="0"/>
        <w:jc w:val="left"/>
      </w:pPr>
      <w:hyperlink r:id="rId48">
        <w:r>
          <w:rPr>
            <w:rFonts w:eastAsia="等线" w:ascii="Arial" w:cs="Arial" w:hAnsi="Arial"/>
            <w:color w:val="3370ff"/>
            <w:sz w:val="22"/>
          </w:rPr>
          <w:t>附件4201-副总经理推荐办法</w:t>
        </w:r>
      </w:hyperlink>
    </w:p>
    <w:p>
      <w:pPr>
        <w:spacing w:before="120" w:after="120" w:line="288" w:lineRule="auto"/>
        <w:ind w:left="0"/>
        <w:jc w:val="left"/>
      </w:pPr>
      <w:hyperlink r:id="rId49">
        <w:r>
          <w:rPr>
            <w:rFonts w:eastAsia="等线" w:ascii="Arial" w:cs="Arial" w:hAnsi="Arial"/>
            <w:color w:val="3370ff"/>
            <w:sz w:val="22"/>
          </w:rPr>
          <w:t>附件4202-员工电子名片和邮箱签名格式要求</w:t>
        </w:r>
      </w:hyperlink>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62" w:id="62"/>
      <w:r>
        <w:rPr>
          <w:rFonts w:eastAsia="等线" w:ascii="Arial" w:cs="Arial" w:hAnsi="Arial"/>
          <w:b w:val="true"/>
          <w:sz w:val="32"/>
        </w:rPr>
        <w:t>第三章 会议合作管理制度</w:t>
      </w:r>
      <w:r>
        <w:rPr>
          <w:rFonts w:eastAsia="等线" w:ascii="Arial" w:cs="Arial" w:hAnsi="Arial"/>
          <w:b w:val="true"/>
          <w:sz w:val="32"/>
        </w:rPr>
        <w:t>（</w:t>
      </w:r>
      <w:r>
        <w:rPr>
          <w:rFonts w:eastAsia="等线" w:ascii="Arial" w:cs="Arial" w:hAnsi="Arial"/>
          <w:b w:val="true"/>
          <w:color w:val="3370ff"/>
          <w:sz w:val="32"/>
        </w:rPr>
        <w:t>@丁泉惠</w:t>
      </w:r>
      <w:r>
        <w:rPr>
          <w:rFonts w:eastAsia="等线" w:ascii="Arial" w:cs="Arial" w:hAnsi="Arial"/>
          <w:b w:val="true"/>
          <w:sz w:val="32"/>
        </w:rPr>
        <w:t>）（总经办）</w:t>
      </w:r>
      <w:bookmarkEnd w:id="62"/>
    </w:p>
    <w:p>
      <w:pPr>
        <w:pStyle w:val="3"/>
        <w:spacing w:before="300" w:after="120" w:line="288" w:lineRule="auto"/>
        <w:ind w:left="0"/>
        <w:jc w:val="center"/>
        <w:outlineLvl w:val="2"/>
      </w:pPr>
      <w:bookmarkStart w:name="heading_63" w:id="63"/>
      <w:r>
        <w:rPr>
          <w:rFonts w:eastAsia="等线" w:ascii="Arial" w:cs="Arial" w:hAnsi="Arial"/>
          <w:b w:val="true"/>
          <w:sz w:val="30"/>
        </w:rPr>
        <w:t>第一节 部门例会</w:t>
      </w:r>
      <w:bookmarkEnd w:id="63"/>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目的：部门例会是投资业务合作的重要平台，部门例会以征求意见和提出建议为主要合作形式，以多个角度对于项目的投资或投后管理进行审视，从而达到聚集集体智慧、汇聚集体资源、吸收集体意见的目的。</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参会人员：部门总监主持会议，部门成员、预立项后有新进展项目的项目部成员（仅需参加该项目的讲解讨论部分），董事长、总经理选择参会。</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召集人：部门总监。</w:t>
      </w:r>
    </w:p>
    <w:p>
      <w:pPr>
        <w:spacing w:before="120" w:after="120" w:line="288" w:lineRule="auto"/>
        <w:ind w:left="0" w:firstLine="0"/>
        <w:jc w:val="left"/>
      </w:pPr>
      <w:r>
        <w:rPr>
          <w:rFonts w:eastAsia="等线" w:ascii="Arial" w:cs="Arial" w:hAnsi="Arial"/>
          <w:b w:val="true"/>
          <w:sz w:val="22"/>
        </w:rPr>
        <w:t xml:space="preserve">    第四条</w:t>
      </w:r>
      <w:r>
        <w:rPr>
          <w:rFonts w:eastAsia="等线" w:ascii="Arial" w:cs="Arial" w:hAnsi="Arial"/>
          <w:sz w:val="22"/>
        </w:rPr>
        <w:t xml:space="preserve"> 召开时间：投资管理一二部例会在每两个工作周周三上午召开。投资管理三部和风控部在每两个工作周周二上午召开，有列席人员参与的优先汇报。如遇五天及以上长假期、大活动递延；经营管理团队各部门例会修改或取消须经总经理批准并至少提前1天由会议召集人通知参会人员。</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流程及主要内容：</w:t>
      </w:r>
    </w:p>
    <w:p>
      <w:pPr>
        <w:spacing w:before="120" w:after="120" w:line="288" w:lineRule="auto"/>
        <w:ind w:left="0" w:firstLine="420"/>
        <w:jc w:val="left"/>
      </w:pPr>
      <w:r>
        <w:rPr>
          <w:rFonts w:eastAsia="等线" w:ascii="Arial" w:cs="Arial" w:hAnsi="Arial"/>
          <w:sz w:val="22"/>
        </w:rPr>
        <w:t>（一）介绍新项目展示时，由部门总监负责总体展示。具体项目的介绍人员不变。投资管理一二部例会由本部门项目获得者介绍新项目入库情况，其他部门同事入库的项目由部门总监介绍；介绍内容应包括且不限于项目名称、项目产品与功能、项目主要创始人、估值及融资额度；通过飞书项目云平台展示新项目，同时还可以选择性展示飞书项目管理云平台的项目公开信息：竞品信息，历史融资信息。对于不符合入库条件的项目，由部门总监跟入库同事沟通确实不满足公司要求后保证无误后在投资云中删除。</w:t>
      </w:r>
    </w:p>
    <w:p>
      <w:pPr>
        <w:spacing w:before="120" w:after="120" w:line="288" w:lineRule="auto"/>
        <w:ind w:left="0" w:firstLine="420"/>
        <w:jc w:val="left"/>
      </w:pPr>
      <w:r>
        <w:rPr>
          <w:rFonts w:eastAsia="等线" w:ascii="Arial" w:cs="Arial" w:hAnsi="Arial"/>
          <w:sz w:val="22"/>
        </w:rPr>
        <w:t>（二）新员工入职，由部门总监提前负责介绍例会形式和内容。部门例会应采用对应部门的例会模板ppt。</w:t>
      </w:r>
    </w:p>
    <w:p>
      <w:pPr>
        <w:spacing w:before="120" w:after="120" w:line="288" w:lineRule="auto"/>
        <w:ind w:left="0" w:firstLine="420"/>
        <w:jc w:val="left"/>
      </w:pPr>
      <w:r>
        <w:rPr>
          <w:rFonts w:eastAsia="等线" w:ascii="Arial" w:cs="Arial" w:hAnsi="Arial"/>
          <w:sz w:val="22"/>
        </w:rPr>
        <w:t>（三） 参会人员就讲解人提出的问题和资源对接需求进行充分讨论，讲解人提出问题应具有充分的讨论基础或内容基础，提出的资源对接需求应该细化。在例会上需要对接资源的要提前在资源库中进行查询。</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b w:val="true"/>
          <w:color w:val="d83931"/>
          <w:sz w:val="22"/>
        </w:rPr>
        <w:t xml:space="preserve"> </w:t>
      </w:r>
      <w:r>
        <w:rPr>
          <w:rFonts w:eastAsia="等线" w:ascii="Arial" w:cs="Arial" w:hAnsi="Arial"/>
          <w:sz w:val="22"/>
        </w:rPr>
        <w:t>会前将例会PPT、例会学习分享（如有）、重要政策变化PPT（如有）上传至飞书部门群。</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部门例会为每两周固定会议。会议主持人通过OA预约会议室并发送会议通知，同时应根据会议内容合理安排会议议程，负责与会人员发言时间的把握和提醒。相关会议的发言原则上遵守下列时间上限：部门例会：发言人每人25分钟、建议人每人5分钟。</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附件：</w:t>
      </w:r>
    </w:p>
    <w:p>
      <w:pPr>
        <w:spacing w:before="120" w:after="120" w:line="288" w:lineRule="auto"/>
        <w:ind w:left="453"/>
        <w:jc w:val="left"/>
      </w:pPr>
      <w:hyperlink r:id="rId50">
        <w:r>
          <w:rPr>
            <w:rFonts w:eastAsia="等线" w:ascii="Arial" w:cs="Arial" w:hAnsi="Arial"/>
            <w:color w:val="3370ff"/>
            <w:sz w:val="22"/>
          </w:rPr>
          <w:t>附件4311-投资管理一二部例会模板 202510</w:t>
        </w:r>
      </w:hyperlink>
    </w:p>
    <w:p>
      <w:pPr>
        <w:spacing w:before="120" w:after="120" w:line="288" w:lineRule="auto"/>
        <w:ind w:left="453"/>
        <w:jc w:val="left"/>
      </w:pPr>
      <w:hyperlink r:id="rId51">
        <w:r>
          <w:rPr>
            <w:rFonts w:eastAsia="等线" w:ascii="Arial" w:cs="Arial" w:hAnsi="Arial"/>
            <w:color w:val="3370ff"/>
            <w:sz w:val="22"/>
          </w:rPr>
          <w:t>附件4312-投资管理三部例会模板 202510</w:t>
        </w:r>
      </w:hyperlink>
    </w:p>
    <w:p>
      <w:pPr>
        <w:spacing w:before="120" w:after="120" w:line="288" w:lineRule="auto"/>
        <w:ind w:left="453" w:firstLine="0"/>
        <w:jc w:val="left"/>
      </w:pPr>
      <w:hyperlink r:id="rId52">
        <w:r>
          <w:rPr>
            <w:rFonts w:eastAsia="等线" w:ascii="Arial" w:cs="Arial" w:hAnsi="Arial"/>
            <w:color w:val="3370ff"/>
            <w:sz w:val="22"/>
          </w:rPr>
          <w:t>附件4313-海外事业部例会模板-202403</w:t>
        </w:r>
      </w:hyperlink>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42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64" w:id="64"/>
      <w:r>
        <w:rPr>
          <w:rFonts w:eastAsia="等线" w:ascii="Arial" w:cs="Arial" w:hAnsi="Arial"/>
          <w:b w:val="true"/>
          <w:sz w:val="30"/>
        </w:rPr>
        <w:t>第二节 投后管理讨论会</w:t>
      </w:r>
      <w:bookmarkEnd w:id="64"/>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投后管理讨论会是公司投后管理工作的重要合作平台。项目部通过充分征求参会人员对于投后管理工作的意见或建议，达到更好的对于所投企业监督、规范、帮助的目的，从而更好的控制投资风险、帮助企业发展。</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参会人员：投后管理小组全体成员、项目部成员、董事长，负责经营监督的监事选择参加（可以选择不发言）。项目经理主持会议。</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流程及内容：</w:t>
      </w:r>
    </w:p>
    <w:p>
      <w:pPr>
        <w:spacing w:before="120" w:after="120" w:line="288" w:lineRule="auto"/>
        <w:ind w:left="453"/>
        <w:jc w:val="left"/>
      </w:pPr>
      <w:r>
        <w:rPr>
          <w:rFonts w:eastAsia="等线" w:ascii="Arial" w:cs="Arial" w:hAnsi="Arial"/>
          <w:sz w:val="22"/>
        </w:rPr>
        <w:t>（一）项目部原则上至少在会议召开前一天将项目方提供并且需要在投后会上展示的文件资料上传到飞书云盘指定的投后文件夹；</w:t>
      </w:r>
    </w:p>
    <w:p>
      <w:pPr>
        <w:spacing w:before="120" w:after="120" w:line="288" w:lineRule="auto"/>
        <w:ind w:left="0" w:firstLine="420"/>
        <w:jc w:val="left"/>
      </w:pPr>
      <w:r>
        <w:rPr>
          <w:rFonts w:eastAsia="等线" w:ascii="Arial" w:cs="Arial" w:hAnsi="Arial"/>
          <w:sz w:val="22"/>
        </w:rPr>
        <w:t>（二） 项目部展示对于上月投后管理会问题及建议的书面回复并按照分工进行讲解，须按照记录顺序分别讲解，并依次与问题或建议提出人沟通、确认，确保回复准确无误；</w:t>
      </w:r>
    </w:p>
    <w:p>
      <w:pPr>
        <w:spacing w:before="120" w:after="120" w:line="288" w:lineRule="auto"/>
        <w:ind w:left="0" w:firstLine="420"/>
        <w:jc w:val="left"/>
      </w:pPr>
      <w:r>
        <w:rPr>
          <w:rFonts w:eastAsia="等线" w:ascii="Arial" w:cs="Arial" w:hAnsi="Arial"/>
          <w:sz w:val="22"/>
        </w:rPr>
        <w:t>（三） 项目部展示《投后管理报告》并按照分工客观阐述相关内容，对照投后管理任务讲解任务完成情况及后续计划，项目部首先发表意见，对涉及目标公司的商业秘密等重要事项可选择脱敏处理并延后披露，其他参会人员对于项目部讲解内容提出问题和建议，董事长最后发表意见；</w:t>
      </w:r>
    </w:p>
    <w:p>
      <w:pPr>
        <w:spacing w:before="120" w:after="120" w:line="288" w:lineRule="auto"/>
        <w:ind w:left="0" w:firstLine="420"/>
        <w:jc w:val="left"/>
      </w:pPr>
      <w:r>
        <w:rPr>
          <w:rFonts w:eastAsia="等线" w:ascii="Arial" w:cs="Arial" w:hAnsi="Arial"/>
          <w:sz w:val="22"/>
        </w:rPr>
        <w:t>（四） 全部参会人员发表完意见后，有新建议新问题需要补充的可自由发言补充。</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召集人：</w:t>
      </w:r>
      <w:r>
        <w:rPr>
          <w:rFonts w:eastAsia="等线" w:ascii="Arial" w:cs="Arial" w:hAnsi="Arial"/>
          <w:color w:val="d83931"/>
          <w:sz w:val="22"/>
        </w:rPr>
        <w:t>由制度管理员统一协调智能制造与医疗健康投后管理讨论会召开时间并于当月20日之前与项目经理飞书沟通会议时间，</w:t>
      </w:r>
      <w:r>
        <w:rPr>
          <w:rFonts w:eastAsia="等线" w:ascii="Arial" w:cs="Arial" w:hAnsi="Arial"/>
          <w:color w:val="d83931"/>
          <w:sz w:val="22"/>
        </w:rPr>
        <w:t>并将投后排期安排通知项目投后小组成员，</w:t>
      </w:r>
      <w:r>
        <w:rPr>
          <w:rFonts w:eastAsia="等线" w:ascii="Arial" w:cs="Arial" w:hAnsi="Arial"/>
          <w:color w:val="d83931"/>
          <w:sz w:val="22"/>
        </w:rPr>
        <w:t>同时针对首次开投后的项目，项目经理告知制度管理员该项目纳入投后管理具体时间，由项目经理在召开会议前3日通过飞书系统通知参会人员。</w:t>
      </w:r>
      <w:r>
        <w:rPr>
          <w:rFonts w:eastAsia="等线" w:ascii="Arial" w:cs="Arial" w:hAnsi="Arial"/>
          <w:color w:val="d83931"/>
          <w:sz w:val="22"/>
        </w:rPr>
        <w:t>（总经办，202601）</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召开时间：按照投后管理制度规定当月需要召开投后管理讨论会的，最晚不得晚于当月最后一个工作日。</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会议记录：日常会议均需设置自动录制，项目部成员记录在飞书网盘实时更新。</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 xml:space="preserve"> 投后管理讨论会频率依照投后管理制度规定。</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65" w:id="65"/>
      <w:r>
        <w:rPr>
          <w:rFonts w:eastAsia="等线" w:ascii="Arial" w:cs="Arial" w:hAnsi="Arial"/>
          <w:b w:val="true"/>
          <w:sz w:val="30"/>
        </w:rPr>
        <w:t>第三节 项目立项预备会</w:t>
      </w:r>
      <w:bookmarkEnd w:id="65"/>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目的：项目立项预备会是项目部通过在一定范围内征求意见从而审视项目是否达到立项要求以及为立项会有针对性的提前听取问题建议的合作平台。</w:t>
      </w:r>
    </w:p>
    <w:p>
      <w:pPr>
        <w:spacing w:before="120" w:after="120" w:line="288" w:lineRule="auto"/>
        <w:ind w:left="0" w:firstLine="420"/>
        <w:jc w:val="left"/>
      </w:pPr>
      <w:r>
        <w:rPr>
          <w:rFonts w:eastAsia="等线" w:ascii="Arial" w:cs="Arial" w:hAnsi="Arial"/>
          <w:sz w:val="22"/>
        </w:rPr>
        <w:t>项目部注意在立项预备会上向与会人员播放视频或图表科普资料，科普资料作为预立项PPT的一部分内容，在飞书投资云中增加“科普资料”的上传，设为必填项。</w:t>
      </w:r>
    </w:p>
    <w:p>
      <w:pPr>
        <w:spacing w:before="120" w:after="120" w:line="288" w:lineRule="auto"/>
        <w:ind w:left="0" w:firstLine="420"/>
        <w:jc w:val="left"/>
      </w:pPr>
      <w:r>
        <w:rPr>
          <w:rFonts w:eastAsia="等线" w:ascii="Arial" w:cs="Arial" w:hAnsi="Arial"/>
          <w:sz w:val="22"/>
        </w:rPr>
        <w:t>立项预备会召开前参会人员自行打印《立项前所需调研材料清单》与《负面清单与调研要点列表》，打印文档在预备会后由参会人员保存好以备立项会参考。预立项PPT应提前发送，具体要求详见附件2254投资流程表。</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参会人员：扩大会成员、风控部成员、相关投后小组成员、负责经营监督的监事选择参加（可以选择不发言）。会议通知应发送全员。其他员工可选择性参会旁听。</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流程及内容：</w:t>
      </w:r>
    </w:p>
    <w:p>
      <w:pPr>
        <w:spacing w:before="120" w:after="120" w:line="288" w:lineRule="auto"/>
        <w:ind w:left="0" w:firstLine="420"/>
        <w:jc w:val="left"/>
      </w:pPr>
      <w:r>
        <w:rPr>
          <w:rFonts w:eastAsia="等线" w:ascii="Arial" w:cs="Arial" w:hAnsi="Arial"/>
          <w:sz w:val="22"/>
        </w:rPr>
        <w:t>项目部依照预立项PPT模板准备PPT，并上传至投资云。会议当日项目部成员按照分工以PPT方式介绍项目调研情况；PPT内容应全面、充分</w:t>
      </w:r>
      <w:r>
        <w:rPr>
          <w:rFonts w:eastAsia="等线" w:ascii="Arial" w:cs="Arial" w:hAnsi="Arial"/>
          <w:color w:val="d83931"/>
          <w:sz w:val="22"/>
        </w:rPr>
        <w:t>、</w:t>
      </w:r>
      <w:r>
        <w:rPr>
          <w:rFonts w:eastAsia="等线" w:ascii="Arial" w:cs="Arial" w:hAnsi="Arial"/>
          <w:sz w:val="22"/>
        </w:rPr>
        <w:t>客观反应项目部在该阶段的全部调研情况，应包括科普视频或图表等，模板格式作为参考建议，不做强制要求。调研全面性应覆盖立项前材料所涉及的清单要点内容，调研深度应达到投资流程管理制度里对于立项前应达到的相关要求。</w:t>
      </w:r>
    </w:p>
    <w:p>
      <w:pPr>
        <w:spacing w:before="120" w:after="120" w:line="288" w:lineRule="auto"/>
        <w:ind w:left="453"/>
        <w:jc w:val="left"/>
      </w:pPr>
      <w:r>
        <w:rPr>
          <w:rFonts w:eastAsia="等线" w:ascii="Arial" w:cs="Arial" w:hAnsi="Arial"/>
          <w:sz w:val="22"/>
        </w:rPr>
        <w:t>（一）参会人员按照先线上，后线下（顺时针），从两个方面提出问题和建议：从专业角度提出问题和建议；依据制度对于立项前的要求，对于项目部立项前的全面性发表意见；董事长最后发表意见或建议；为便于同事充分交流和评分，项目部应尽量现场回答同事提出的该阶段清单要点涉及的问题</w:t>
      </w:r>
    </w:p>
    <w:p>
      <w:pPr>
        <w:spacing w:before="120" w:after="120" w:line="288" w:lineRule="auto"/>
        <w:ind w:left="0" w:firstLine="420"/>
        <w:jc w:val="left"/>
      </w:pPr>
      <w:r>
        <w:rPr>
          <w:rFonts w:eastAsia="等线" w:ascii="Arial" w:cs="Arial" w:hAnsi="Arial"/>
          <w:sz w:val="22"/>
        </w:rPr>
        <w:t>（二）全部参会人员发表完意见后，有新建议新问题需要补充的可自由发言补充。</w:t>
      </w:r>
    </w:p>
    <w:p>
      <w:pPr>
        <w:spacing w:before="120" w:after="120" w:line="288" w:lineRule="auto"/>
        <w:ind w:left="0" w:firstLine="420"/>
        <w:jc w:val="left"/>
      </w:pPr>
      <w:r>
        <w:rPr>
          <w:rFonts w:eastAsia="等线" w:ascii="Arial" w:cs="Arial" w:hAnsi="Arial"/>
          <w:sz w:val="22"/>
        </w:rPr>
        <w:t>（三）原则上会议结束后一日内，参会人员将问题和建议清单电子版发送给项目部成员，并抄送协调人。</w:t>
      </w:r>
    </w:p>
    <w:p>
      <w:pPr>
        <w:spacing w:before="120" w:after="120" w:line="288" w:lineRule="auto"/>
        <w:ind w:left="0" w:firstLine="420"/>
        <w:jc w:val="left"/>
      </w:pPr>
      <w:r>
        <w:rPr>
          <w:rFonts w:eastAsia="等线" w:ascii="Arial" w:cs="Arial" w:hAnsi="Arial"/>
          <w:sz w:val="22"/>
        </w:rPr>
        <w:t>（四）立项会预备会后，参会人员对预立项进行打分，具体时间要求详见附件2254投资流程表。</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召集人：项目经理负责召集会议并发送会议通知。</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会议记录：项目部整理、汇总问题与建议清单，并根据情况将相关问题反馈给项目方，为立项会有针对性的交流做好准备。会议记录人员应在会议结束后三日内，将会议记录上传至飞书云盘。</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项目立项预备会为非定期会议。会议主持人通过OA预约会议室并发送会议通知，同时应根据会议内容合理安排会议议程，负责与会人员发言时间的把握和提醒。相关会议的发言原则上遵守下列时间上限：发言人50分钟、发言人时间最多不超过60分钟；超过60分钟停止发言。参会人员阐述意见完毕后可自行选择是否离开会场。</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66" w:id="66"/>
      <w:r>
        <w:rPr>
          <w:rFonts w:eastAsia="等线" w:ascii="Arial" w:cs="Arial" w:hAnsi="Arial"/>
          <w:b w:val="true"/>
          <w:sz w:val="30"/>
        </w:rPr>
        <w:t>第四节 项目立项会</w:t>
      </w:r>
      <w:bookmarkEnd w:id="66"/>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项目立项会通过邀请项目方直接交流沟通，公司内部合作共同对于项目的技术、市场、团队、法务、财务各方面提出建议，从而帮助项目部从多个角度、更加全面的把控项目风险，更加有针对性的制定下一步调研计划。</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参会人员：项目方（主要创始人）、投委会委员（非全职委员可线上参会并可以优先提问）、引导基金相关人员、负责经营监督的监事（仅负责监督，不发言）选择参加，风控部全职委员、相关投后小组成员。项目经理主持会议。</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流程及内容：</w:t>
      </w:r>
    </w:p>
    <w:p>
      <w:pPr>
        <w:spacing w:before="120" w:after="120" w:line="288" w:lineRule="auto"/>
        <w:ind w:left="0" w:firstLine="420"/>
        <w:jc w:val="left"/>
      </w:pPr>
      <w:r>
        <w:rPr>
          <w:rFonts w:eastAsia="等线" w:ascii="Arial" w:cs="Arial" w:hAnsi="Arial"/>
          <w:sz w:val="22"/>
        </w:rPr>
        <w:t>（一）会前项目部按照制度做好创业方接待工作；</w:t>
      </w:r>
    </w:p>
    <w:p>
      <w:pPr>
        <w:spacing w:before="120" w:after="120" w:line="288" w:lineRule="auto"/>
        <w:ind w:left="0" w:firstLine="420"/>
        <w:jc w:val="left"/>
      </w:pPr>
      <w:r>
        <w:rPr>
          <w:rFonts w:eastAsia="等线" w:ascii="Arial" w:cs="Arial" w:hAnsi="Arial"/>
          <w:sz w:val="22"/>
        </w:rPr>
        <w:t>（二）项目经理介绍参会人员；</w:t>
      </w:r>
    </w:p>
    <w:p>
      <w:pPr>
        <w:spacing w:before="120" w:after="120" w:line="288" w:lineRule="auto"/>
        <w:ind w:left="0" w:firstLine="420"/>
        <w:jc w:val="left"/>
      </w:pPr>
      <w:r>
        <w:rPr>
          <w:rFonts w:eastAsia="等线" w:ascii="Arial" w:cs="Arial" w:hAnsi="Arial"/>
          <w:sz w:val="22"/>
        </w:rPr>
        <w:t>（三） 项目方以PPT方式全面介绍项目情况（建议将项目立项预备会中的问题完善补充到PPT里）；</w:t>
      </w:r>
    </w:p>
    <w:p>
      <w:pPr>
        <w:spacing w:before="120" w:after="120" w:line="288" w:lineRule="auto"/>
        <w:ind w:left="0" w:firstLine="420"/>
        <w:jc w:val="left"/>
      </w:pPr>
      <w:r>
        <w:rPr>
          <w:rFonts w:eastAsia="等线" w:ascii="Arial" w:cs="Arial" w:hAnsi="Arial"/>
          <w:sz w:val="22"/>
        </w:rPr>
        <w:t>（四） 参会人员依次与项目方沟通对于项目的问题或者提出建议，所提问题或建议需客观具有针对性，并注意控制时间；</w:t>
      </w:r>
    </w:p>
    <w:p>
      <w:pPr>
        <w:spacing w:before="120" w:after="120" w:line="288" w:lineRule="auto"/>
        <w:ind w:left="0" w:firstLine="420"/>
        <w:jc w:val="left"/>
      </w:pPr>
      <w:r>
        <w:rPr>
          <w:rFonts w:eastAsia="等线" w:ascii="Arial" w:cs="Arial" w:hAnsi="Arial"/>
          <w:sz w:val="22"/>
        </w:rPr>
        <w:t>（五） 董事长最后发表意见并作出总结；</w:t>
      </w:r>
    </w:p>
    <w:p>
      <w:pPr>
        <w:spacing w:before="120" w:after="120" w:line="288" w:lineRule="auto"/>
        <w:ind w:left="0" w:firstLine="420"/>
        <w:jc w:val="left"/>
      </w:pPr>
      <w:r>
        <w:rPr>
          <w:rFonts w:eastAsia="等线" w:ascii="Arial" w:cs="Arial" w:hAnsi="Arial"/>
          <w:sz w:val="22"/>
        </w:rPr>
        <w:t>（六） 全部参会人员发表完意见后，有新建议新问题需要补充的可自由发</w:t>
      </w:r>
    </w:p>
    <w:p>
      <w:pPr>
        <w:spacing w:before="120" w:after="120" w:line="288" w:lineRule="auto"/>
        <w:ind w:left="0" w:firstLine="0"/>
        <w:jc w:val="left"/>
      </w:pPr>
      <w:r>
        <w:rPr>
          <w:rFonts w:eastAsia="等线" w:ascii="Arial" w:cs="Arial" w:hAnsi="Arial"/>
          <w:sz w:val="22"/>
        </w:rPr>
        <w:t>言补充。</w:t>
      </w:r>
    </w:p>
    <w:p>
      <w:pPr>
        <w:spacing w:before="120" w:after="120" w:line="288" w:lineRule="auto"/>
        <w:ind w:left="0" w:firstLine="420"/>
        <w:jc w:val="left"/>
      </w:pPr>
      <w:r>
        <w:rPr>
          <w:rFonts w:eastAsia="等线" w:ascii="Arial" w:cs="Arial" w:hAnsi="Arial"/>
          <w:sz w:val="22"/>
        </w:rPr>
        <w:t>（七） 项目方来公司立项讲解时间要控制在60分钟内，回答问题要简洁明</w:t>
      </w:r>
    </w:p>
    <w:p>
      <w:pPr>
        <w:spacing w:before="120" w:after="120" w:line="288" w:lineRule="auto"/>
        <w:ind w:left="0" w:firstLine="0"/>
        <w:jc w:val="left"/>
      </w:pPr>
      <w:r>
        <w:rPr>
          <w:rFonts w:eastAsia="等线" w:ascii="Arial" w:cs="Arial" w:hAnsi="Arial"/>
          <w:sz w:val="22"/>
        </w:rPr>
        <w:t>了准确。</w:t>
      </w:r>
    </w:p>
    <w:p>
      <w:pPr>
        <w:spacing w:before="120" w:after="120" w:line="288" w:lineRule="auto"/>
        <w:ind w:left="0"/>
        <w:jc w:val="left"/>
      </w:pPr>
      <w:r>
        <w:rPr>
          <w:rFonts w:eastAsia="等线" w:ascii="Arial" w:cs="Arial" w:hAnsi="Arial"/>
          <w:b w:val="true"/>
          <w:sz w:val="22"/>
        </w:rPr>
        <w:t>第四条</w:t>
      </w:r>
      <w:r>
        <w:rPr>
          <w:rFonts w:eastAsia="等线" w:ascii="Arial" w:cs="Arial" w:hAnsi="Arial"/>
          <w:sz w:val="22"/>
        </w:rPr>
        <w:t xml:space="preserve"> 召集人：投委会秘书负责协调投委会委员参会时间并转发预立项PPT，由项目经理召集会议并发送会议通知。</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召开时间：详见附件2254 投资流程表的要求。</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会议记录：项目部经理指定项目部成员记录，会议记录须包括参会人员与项目方的沟通要点。会议记录人员应在会议结束后三日内，将会议记录上传飞书云盘。立项会原则上应使用项目部的电脑。</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项目立项会为非定期会议。会议主持人通过OA预约会议室并发送会议通知，同时应根据会议内容合理安排会议议程，负责与会人员发言时间的把握和提醒。相关会议的发言原则上遵守下列时间上限：立项会：员工提问时间控制在10分钟以内。与项目方同场的参会人员阐述意见完毕后不允许离开会场。</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附件：</w:t>
      </w:r>
    </w:p>
    <w:p>
      <w:pPr>
        <w:spacing w:before="120" w:after="120" w:line="288" w:lineRule="auto"/>
        <w:ind w:left="0"/>
        <w:jc w:val="left"/>
      </w:pPr>
      <w:r>
        <w:rPr>
          <w:rFonts w:eastAsia="等线" w:ascii="Arial" w:cs="Arial" w:hAnsi="Arial"/>
          <w:sz w:val="22"/>
        </w:rPr>
        <w:t xml:space="preserve">     </w:t>
      </w:r>
      <w:hyperlink r:id="rId53">
        <w:r>
          <w:rPr>
            <w:rFonts w:eastAsia="等线" w:ascii="Arial" w:cs="Arial" w:hAnsi="Arial"/>
            <w:color w:val="3370ff"/>
            <w:sz w:val="22"/>
          </w:rPr>
          <w:t>附件4341-立项预备会PPT模板（不适用于种子轮项目）202510</w:t>
        </w:r>
      </w:hyperlink>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42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67" w:id="67"/>
      <w:r>
        <w:rPr>
          <w:rFonts w:eastAsia="等线" w:ascii="Arial" w:cs="Arial" w:hAnsi="Arial"/>
          <w:b w:val="true"/>
          <w:sz w:val="30"/>
        </w:rPr>
        <w:t>第五节 项目讨论会</w:t>
      </w:r>
      <w:bookmarkEnd w:id="67"/>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目的：项目讨论会是在全公司范围内的广泛合作的重要平台，分两次进行，为项目部提供最多角度、最全面的最终建议，为投委会决策提供重要参考意见。</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参会人员：公司全体成员。项目经理主持会议。</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 xml:space="preserve">流程及内容： </w:t>
      </w:r>
    </w:p>
    <w:p>
      <w:pPr>
        <w:spacing w:before="120" w:after="120" w:line="288" w:lineRule="auto"/>
        <w:ind w:left="0" w:firstLine="420"/>
        <w:jc w:val="left"/>
      </w:pPr>
      <w:r>
        <w:rPr>
          <w:rFonts w:eastAsia="等线" w:ascii="Arial" w:cs="Arial" w:hAnsi="Arial"/>
          <w:sz w:val="22"/>
        </w:rPr>
        <w:t>第一次项目讨论会：</w:t>
      </w:r>
    </w:p>
    <w:p>
      <w:pPr>
        <w:numPr>
          <w:numId w:val="218"/>
        </w:numPr>
        <w:spacing w:before="120" w:after="120" w:line="288" w:lineRule="auto"/>
        <w:ind w:left="453"/>
        <w:jc w:val="left"/>
      </w:pPr>
      <w:r>
        <w:rPr>
          <w:rFonts w:eastAsia="等线" w:ascii="Arial" w:cs="Arial" w:hAnsi="Arial"/>
          <w:sz w:val="22"/>
        </w:rPr>
        <w:t>项目部展示依据调研要点和负面清单制作的PPT并按照分工进行讲解；PPT内容应全面、充分、客观反应项目部在该阶段的全部调研情况，应包括科普视频或图表等。</w:t>
      </w:r>
    </w:p>
    <w:p>
      <w:pPr>
        <w:spacing w:before="120" w:after="120" w:line="288" w:lineRule="auto"/>
        <w:ind w:left="0" w:firstLine="420"/>
        <w:jc w:val="left"/>
      </w:pPr>
      <w:r>
        <w:rPr>
          <w:rFonts w:eastAsia="等线" w:ascii="Arial" w:cs="Arial" w:hAnsi="Arial"/>
          <w:sz w:val="22"/>
        </w:rPr>
        <w:t>参会人员根据项目部讲解内容按照顺时针提出自己的问题和建议，董事长最后提出问题或建议，问题和建议可以与其他参会人员重复，但不要对于其他参会人员的问题和建议作出评价或提出异议。项目部成员只需要记录相关问题和意见，对于问题或建议有不清楚的可以向相关参会人员确认，但原则上无需回答问题，风控部成员应重点阐述三性问题。</w:t>
      </w:r>
    </w:p>
    <w:p>
      <w:pPr>
        <w:numPr>
          <w:numId w:val="219"/>
        </w:numPr>
        <w:spacing w:before="120" w:after="120" w:line="288" w:lineRule="auto"/>
        <w:ind w:left="453"/>
        <w:jc w:val="left"/>
      </w:pPr>
      <w:r>
        <w:rPr>
          <w:rFonts w:eastAsia="等线" w:ascii="Arial" w:cs="Arial" w:hAnsi="Arial"/>
          <w:sz w:val="22"/>
        </w:rPr>
        <w:t>原则上会议结束后一日内，参会人员将问题与建议清单发送给项目部成员，并抄送协调人。</w:t>
      </w:r>
    </w:p>
    <w:p>
      <w:pPr>
        <w:spacing w:before="120" w:after="120" w:line="288" w:lineRule="auto"/>
        <w:ind w:left="0" w:firstLine="420"/>
        <w:jc w:val="left"/>
      </w:pPr>
      <w:r>
        <w:rPr>
          <w:rFonts w:eastAsia="等线" w:ascii="Arial" w:cs="Arial" w:hAnsi="Arial"/>
          <w:sz w:val="22"/>
        </w:rPr>
        <w:t>第二次项目讨论会：</w:t>
      </w:r>
    </w:p>
    <w:p>
      <w:pPr>
        <w:numPr>
          <w:numId w:val="220"/>
        </w:numPr>
        <w:spacing w:before="120" w:after="120" w:line="288" w:lineRule="auto"/>
        <w:ind w:left="453"/>
        <w:jc w:val="left"/>
      </w:pPr>
      <w:r>
        <w:rPr>
          <w:rFonts w:eastAsia="等线" w:ascii="Arial" w:cs="Arial" w:hAnsi="Arial"/>
          <w:sz w:val="22"/>
        </w:rPr>
        <w:t>会前项目部在第一次项目讨论会的基础上丰富调研报告和PPT，并就第一次讨论会的问题按照报告对应章节进行分类并制作书面文档；</w:t>
      </w:r>
    </w:p>
    <w:p>
      <w:pPr>
        <w:numPr>
          <w:numId w:val="221"/>
        </w:numPr>
        <w:spacing w:before="120" w:after="120" w:line="288" w:lineRule="auto"/>
        <w:ind w:left="453"/>
        <w:jc w:val="left"/>
      </w:pPr>
      <w:r>
        <w:rPr>
          <w:rFonts w:eastAsia="等线" w:ascii="Arial" w:cs="Arial" w:hAnsi="Arial"/>
          <w:sz w:val="22"/>
        </w:rPr>
        <w:t>项目部成员通过展示问题回复文档并辅以展示丰富后的调研报告和PPT的方式按照分工依次解答第一次项目讨论会的问题，参会人员在项目部成员讲解时无需提出新问题；</w:t>
      </w:r>
    </w:p>
    <w:p>
      <w:pPr>
        <w:numPr>
          <w:numId w:val="222"/>
        </w:numPr>
        <w:spacing w:before="120" w:after="120" w:line="288" w:lineRule="auto"/>
        <w:ind w:left="453"/>
        <w:jc w:val="left"/>
      </w:pPr>
      <w:r>
        <w:rPr>
          <w:rFonts w:eastAsia="等线" w:ascii="Arial" w:cs="Arial" w:hAnsi="Arial"/>
          <w:sz w:val="22"/>
        </w:rPr>
        <w:t>参会人员依据项目部回答的问题和阐述的意见按照顺时针顺序做最后一次建议，并进行最终陈述，董事长最后发言。第二次讨论会上与会人员对项目部所回答第一次讨论会的问题没听清楚的可现场提问请项目部讲清楚，新的问题会后交流。</w:t>
      </w:r>
    </w:p>
    <w:p>
      <w:pPr>
        <w:spacing w:before="120" w:after="120" w:line="288" w:lineRule="auto"/>
        <w:ind w:left="0" w:firstLine="0"/>
        <w:jc w:val="left"/>
      </w:pPr>
      <w:r>
        <w:rPr>
          <w:rFonts w:eastAsia="等线" w:ascii="Arial" w:cs="Arial" w:hAnsi="Arial"/>
          <w:b w:val="true"/>
          <w:sz w:val="22"/>
        </w:rPr>
        <w:t xml:space="preserve"> 第四条 </w:t>
      </w:r>
      <w:r>
        <w:rPr>
          <w:rFonts w:eastAsia="等线" w:ascii="Arial" w:cs="Arial" w:hAnsi="Arial"/>
          <w:sz w:val="22"/>
        </w:rPr>
        <w:t>召集人：项目经理协调董事长时间，并召集会议发送会议通知。</w:t>
      </w:r>
    </w:p>
    <w:p>
      <w:pPr>
        <w:spacing w:before="120" w:after="120" w:line="288" w:lineRule="auto"/>
        <w:ind w:left="0" w:firstLine="420"/>
        <w:jc w:val="left"/>
      </w:pPr>
      <w:r>
        <w:rPr>
          <w:rFonts w:eastAsia="等线" w:ascii="Arial" w:cs="Arial" w:hAnsi="Arial"/>
          <w:b w:val="true"/>
          <w:sz w:val="22"/>
        </w:rPr>
        <w:t xml:space="preserve"> 第五条 </w:t>
      </w:r>
      <w:r>
        <w:rPr>
          <w:rFonts w:eastAsia="等线" w:ascii="Arial" w:cs="Arial" w:hAnsi="Arial"/>
          <w:sz w:val="22"/>
        </w:rPr>
        <w:t>召开时间：详见附件2254投资流程表的要求。</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b w:val="true"/>
          <w:sz w:val="22"/>
        </w:rPr>
        <w:t>第六条</w:t>
      </w:r>
      <w:r>
        <w:rPr>
          <w:rFonts w:eastAsia="等线" w:ascii="Arial" w:cs="Arial" w:hAnsi="Arial"/>
          <w:sz w:val="22"/>
        </w:rPr>
        <w:t xml:space="preserve"> 项目讨论会为非定期会议。会议主持人通过OA预约会议室并发送会议通知，同时应根据会议内容合理安排会议议程，负责与会人员发言时间的把握和提醒。项目讨论会的发言原则上遵守下列时间上限：第一次项目讨论会：项目部成员50分钟，最多不超过60分钟，超时即停止发言。</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68" w:id="68"/>
      <w:r>
        <w:rPr>
          <w:rFonts w:eastAsia="等线" w:ascii="Arial" w:cs="Arial" w:hAnsi="Arial"/>
          <w:b w:val="true"/>
          <w:sz w:val="30"/>
        </w:rPr>
        <w:t>第六节 职工大会</w:t>
      </w:r>
      <w:bookmarkEnd w:id="68"/>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目的：职工大会旨在保障职工的民主管理权利，充分发挥职工的积极性，是职工行使民主权利的重要平台，实行少数服从多数的原则。</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参会人员：总经理指定的副总经理及全体职工，其他高级管理人员可以列席，高级管理人员均不参与表决。</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召集人：由总经理指定副总经理召集和主持，会议召集人应当将会议时间、地点和审议的事项于会议召开三日前以飞书、微信、或邮件的方式通知全体职工。</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职工大会依法行使民主选举、民主评议等职权：</w:t>
      </w:r>
    </w:p>
    <w:p>
      <w:pPr>
        <w:spacing w:before="120" w:after="120" w:line="288" w:lineRule="auto"/>
        <w:ind w:left="0" w:firstLine="420"/>
        <w:jc w:val="left"/>
      </w:pPr>
      <w:r>
        <w:rPr>
          <w:rFonts w:eastAsia="等线" w:ascii="Arial" w:cs="Arial" w:hAnsi="Arial"/>
          <w:sz w:val="22"/>
        </w:rPr>
        <w:t>（一） 选举和更换职工监事，并对其进行民主评议；</w:t>
      </w:r>
    </w:p>
    <w:p>
      <w:pPr>
        <w:spacing w:before="120" w:after="120" w:line="288" w:lineRule="auto"/>
        <w:ind w:left="0" w:firstLine="420"/>
        <w:jc w:val="left"/>
      </w:pPr>
      <w:r>
        <w:rPr>
          <w:rFonts w:eastAsia="等线" w:ascii="Arial" w:cs="Arial" w:hAnsi="Arial"/>
          <w:sz w:val="22"/>
        </w:rPr>
        <w:t>（二） 参与推荐公司高级管理人员候选人，并通过绩效考核打分的形式对其进行民主评议；</w:t>
      </w:r>
    </w:p>
    <w:p>
      <w:pPr>
        <w:spacing w:before="120" w:after="120" w:line="288" w:lineRule="auto"/>
        <w:ind w:left="0" w:firstLine="420"/>
        <w:jc w:val="left"/>
      </w:pPr>
      <w:r>
        <w:rPr>
          <w:rFonts w:eastAsia="等线" w:ascii="Arial" w:cs="Arial" w:hAnsi="Arial"/>
          <w:sz w:val="22"/>
        </w:rPr>
        <w:t>（三） 相关法律法规或公司规章制度规定的其他职权。</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职工大会会议形式为临时会议，不定期召开；三分之一以上的职工可以提议召开临时职工大会，并以电话会议、视频会议等方式参会。</w:t>
      </w:r>
    </w:p>
    <w:p>
      <w:pPr>
        <w:spacing w:before="120" w:after="120" w:line="288" w:lineRule="auto"/>
        <w:ind w:left="0" w:firstLine="420"/>
        <w:jc w:val="left"/>
      </w:pPr>
      <w:r>
        <w:rPr>
          <w:rFonts w:eastAsia="等线" w:ascii="Arial" w:cs="Arial" w:hAnsi="Arial"/>
          <w:sz w:val="22"/>
        </w:rPr>
        <w:t>职工大会须由全体职工二分之一以上出席方可召开，各地参会人员均不得低于当地职工总数的二分之一。</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职工大会决议的表决，实行一人一票，所有审议事项必须经出席会议的职工过半数同意。</w:t>
      </w:r>
    </w:p>
    <w:p>
      <w:pPr>
        <w:spacing w:before="120" w:after="120" w:line="288" w:lineRule="auto"/>
        <w:ind w:left="0" w:firstLine="420"/>
        <w:jc w:val="left"/>
      </w:pPr>
      <w:r>
        <w:rPr>
          <w:rFonts w:eastAsia="等线" w:ascii="Arial" w:cs="Arial" w:hAnsi="Arial"/>
          <w:sz w:val="22"/>
        </w:rPr>
        <w:t>职工大会表决方式采用书面投票表决，并由主持人当场公布表决结果，表决结果载入会议记录，出席会议的职工应当在会议记录上签名。</w:t>
      </w:r>
    </w:p>
    <w:p>
      <w:pPr>
        <w:spacing w:before="120" w:after="120" w:line="288" w:lineRule="auto"/>
        <w:ind w:left="0" w:firstLine="420"/>
        <w:jc w:val="left"/>
      </w:pPr>
      <w:r>
        <w:rPr>
          <w:rFonts w:eastAsia="等线" w:ascii="Arial" w:cs="Arial" w:hAnsi="Arial"/>
          <w:sz w:val="22"/>
        </w:rPr>
        <w:t>职工大会应当形成书面决议。出席会议的职工应当在决议上签名确认，并保证决议内容真实、准确和完整。</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职工代表监事的任期与其他监事的任期相同，任期届满，可连选连任。</w:t>
      </w:r>
    </w:p>
    <w:p>
      <w:pPr>
        <w:spacing w:before="120" w:after="120" w:line="288" w:lineRule="auto"/>
        <w:ind w:left="0" w:firstLine="420"/>
        <w:jc w:val="left"/>
      </w:pPr>
      <w:r>
        <w:rPr>
          <w:rFonts w:eastAsia="等线" w:ascii="Arial" w:cs="Arial" w:hAnsi="Arial"/>
          <w:sz w:val="22"/>
        </w:rPr>
        <w:t>职工代表监事离职的，其任职资格自行终止，副总经理应及时组织召开职工大会增选职工监事。</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本规则与法律、行政法规规定有抵触时，按法律、行政法规规定执行。</w:t>
      </w:r>
    </w:p>
    <w:p>
      <w:pPr>
        <w:spacing w:before="120" w:after="120" w:line="288" w:lineRule="auto"/>
        <w:ind w:left="453"/>
        <w:jc w:val="left"/>
      </w:pPr>
      <w:r>
        <w:rPr>
          <w:rFonts w:eastAsia="等线" w:ascii="Arial" w:cs="Arial" w:hAnsi="Arial"/>
          <w:color w:val="d83931"/>
          <w:sz w:val="22"/>
        </w:rPr>
        <w:t>附件：</w:t>
      </w:r>
    </w:p>
    <w:p>
      <w:pPr>
        <w:spacing w:before="120" w:after="120" w:line="288" w:lineRule="auto"/>
        <w:ind w:left="453"/>
        <w:jc w:val="left"/>
      </w:pPr>
      <w:hyperlink r:id="rId54">
        <w:r>
          <w:rPr>
            <w:rFonts w:eastAsia="等线" w:ascii="Arial" w:cs="Arial" w:hAnsi="Arial"/>
            <w:color w:val="3370ff"/>
            <w:sz w:val="22"/>
          </w:rPr>
          <w:t>附件4361-职工监事选票</w:t>
        </w:r>
      </w:hyperlink>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69" w:id="69"/>
      <w:r>
        <w:rPr>
          <w:rFonts w:eastAsia="等线" w:ascii="Arial" w:cs="Arial" w:hAnsi="Arial"/>
          <w:b w:val="true"/>
          <w:sz w:val="30"/>
        </w:rPr>
        <w:t>第七节 募资、退出调度会</w:t>
      </w:r>
      <w:bookmarkEnd w:id="69"/>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目的：公司目前的重点工作是募资和退出，需要定期召开调度会，及时跟进员工募资和退出的最新进展，并对遇到的问题进行讨论和处理。</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参会人员：同登全体员工</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召集人：总经理</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召开时间及频率：每月第1个周四上午召开；增加海外项目资源情况汇报。</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会议要求</w:t>
      </w:r>
    </w:p>
    <w:p>
      <w:pPr>
        <w:spacing w:before="120" w:after="120" w:line="288" w:lineRule="auto"/>
        <w:ind w:left="0" w:firstLine="420"/>
        <w:jc w:val="left"/>
      </w:pPr>
      <w:r>
        <w:rPr>
          <w:rFonts w:eastAsia="等线" w:ascii="Arial" w:cs="Arial" w:hAnsi="Arial"/>
          <w:sz w:val="22"/>
        </w:rPr>
        <w:t>（一） 员工汇报在两次募资会议期间开展的所有募资和退出工作进展及下一步工作开展计划；展示开展相关工作的“访谈前计划表”。</w:t>
      </w:r>
    </w:p>
    <w:p>
      <w:pPr>
        <w:spacing w:before="120" w:after="120" w:line="288" w:lineRule="auto"/>
        <w:ind w:left="0" w:firstLine="420"/>
        <w:jc w:val="left"/>
      </w:pPr>
      <w:r>
        <w:rPr>
          <w:rFonts w:eastAsia="等线" w:ascii="Arial" w:cs="Arial" w:hAnsi="Arial"/>
          <w:sz w:val="22"/>
        </w:rPr>
        <w:t>（二）暂停国内新的募资渠道</w:t>
      </w:r>
    </w:p>
    <w:p>
      <w:pPr>
        <w:spacing w:before="120" w:after="120" w:line="288" w:lineRule="auto"/>
        <w:ind w:left="0" w:firstLine="420"/>
        <w:jc w:val="left"/>
      </w:pPr>
      <w:r>
        <w:rPr>
          <w:rFonts w:eastAsia="等线" w:ascii="Arial" w:cs="Arial" w:hAnsi="Arial"/>
          <w:sz w:val="22"/>
        </w:rPr>
        <w:t>（三）其他员工就汇报内容发表意见</w:t>
      </w:r>
    </w:p>
    <w:p>
      <w:pPr>
        <w:spacing w:before="120" w:after="120" w:line="288" w:lineRule="auto"/>
        <w:ind w:left="0" w:firstLine="420"/>
        <w:jc w:val="left"/>
      </w:pPr>
      <w:r>
        <w:rPr>
          <w:rFonts w:eastAsia="等线" w:ascii="Arial" w:cs="Arial" w:hAnsi="Arial"/>
          <w:sz w:val="22"/>
        </w:rPr>
        <w:t>（四）会议上汇报的内容，员工应于会前在投资云中录入，标星号的均需要填写。</w:t>
      </w:r>
    </w:p>
    <w:p>
      <w:pPr>
        <w:spacing w:before="120" w:after="120" w:line="288" w:lineRule="auto"/>
        <w:ind w:left="0" w:firstLine="420"/>
        <w:jc w:val="left"/>
      </w:pPr>
      <w:r>
        <w:rPr>
          <w:rFonts w:eastAsia="等线" w:ascii="Arial" w:cs="Arial" w:hAnsi="Arial"/>
          <w:sz w:val="22"/>
        </w:rPr>
        <w:t>“募资”录入位置：投资云-投资者管理。录入者需要在右侧“跟进记录”中填写进展情况及上传“Excel访谈前计划表”，完成后点击“发布”按钮，即可按成录入。</w:t>
      </w:r>
    </w:p>
    <w:p>
      <w:pPr>
        <w:spacing w:before="120" w:after="120" w:line="288" w:lineRule="auto"/>
        <w:ind w:left="0" w:firstLine="420"/>
        <w:jc w:val="left"/>
      </w:pPr>
      <w:r>
        <w:rPr>
          <w:rFonts w:eastAsia="等线" w:ascii="Arial" w:cs="Arial" w:hAnsi="Arial"/>
          <w:sz w:val="22"/>
        </w:rPr>
        <w:t>“退出”录入位置：投资云-已投项目-项目退出。</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附件：</w:t>
      </w:r>
    </w:p>
    <w:p>
      <w:pPr>
        <w:spacing w:before="120" w:after="120" w:line="288" w:lineRule="auto"/>
        <w:ind w:left="0"/>
        <w:jc w:val="left"/>
      </w:pPr>
      <w:r>
        <w:rPr>
          <w:rFonts w:eastAsia="等线" w:ascii="Arial" w:cs="Arial" w:hAnsi="Arial"/>
          <w:sz w:val="22"/>
        </w:rPr>
        <w:t xml:space="preserve">     </w:t>
      </w:r>
      <w:hyperlink r:id="rId55">
        <w:r>
          <w:rPr>
            <w:rFonts w:eastAsia="等线" w:ascii="Arial" w:cs="Arial" w:hAnsi="Arial"/>
            <w:color w:val="3370ff"/>
            <w:sz w:val="22"/>
          </w:rPr>
          <w:t>附件4341-立项预备会PPT模板（不适用于种子轮项目）202510</w:t>
        </w:r>
      </w:hyperlink>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70" w:id="70"/>
      <w:r>
        <w:rPr>
          <w:rFonts w:eastAsia="等线" w:ascii="Arial" w:cs="Arial" w:hAnsi="Arial"/>
          <w:b w:val="true"/>
          <w:sz w:val="32"/>
        </w:rPr>
        <w:t>第四章 行政与法务</w:t>
      </w:r>
      <w:r>
        <w:rPr>
          <w:rFonts w:eastAsia="等线" w:ascii="Arial" w:cs="Arial" w:hAnsi="Arial"/>
          <w:b w:val="true"/>
          <w:sz w:val="32"/>
        </w:rPr>
        <w:t>（总经办）</w:t>
      </w:r>
      <w:bookmarkEnd w:id="70"/>
    </w:p>
    <w:p>
      <w:pPr>
        <w:pStyle w:val="3"/>
        <w:spacing w:before="300" w:after="120" w:line="288" w:lineRule="auto"/>
        <w:ind w:left="0"/>
        <w:jc w:val="center"/>
        <w:outlineLvl w:val="2"/>
      </w:pPr>
      <w:bookmarkStart w:name="heading_71" w:id="71"/>
      <w:r>
        <w:rPr>
          <w:rFonts w:eastAsia="等线" w:ascii="Arial" w:cs="Arial" w:hAnsi="Arial"/>
          <w:b w:val="true"/>
          <w:sz w:val="30"/>
        </w:rPr>
        <w:t>第一节 档案管理制度（</w:t>
      </w:r>
      <w:r>
        <w:rPr>
          <w:rFonts w:eastAsia="等线" w:ascii="Arial" w:cs="Arial" w:hAnsi="Arial"/>
          <w:b w:val="true"/>
          <w:color w:val="3370ff"/>
          <w:sz w:val="30"/>
        </w:rPr>
        <w:t>@宋鹏跃</w:t>
      </w:r>
      <w:r>
        <w:rPr>
          <w:rFonts w:eastAsia="等线" w:ascii="Arial" w:cs="Arial" w:hAnsi="Arial"/>
          <w:b w:val="true"/>
          <w:sz w:val="30"/>
        </w:rPr>
        <w:t>）</w:t>
      </w:r>
      <w:bookmarkEnd w:id="71"/>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公司档案是公司、关联公司及所管理基金在经营管理活动中产生的重要文件，是过去经营管理活动形成的客观证据和留痕。公司档案管理的原则是条理清晰、保存完整、流转有序、借还留痕。</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公司档案的分类：</w:t>
      </w:r>
    </w:p>
    <w:p>
      <w:pPr>
        <w:spacing w:before="120" w:after="120" w:line="288" w:lineRule="auto"/>
        <w:ind w:left="0" w:firstLine="420"/>
        <w:jc w:val="left"/>
      </w:pPr>
      <w:r>
        <w:rPr>
          <w:rFonts w:eastAsia="等线" w:ascii="Arial" w:cs="Arial" w:hAnsi="Arial"/>
          <w:sz w:val="22"/>
        </w:rPr>
        <w:t>（一） 公司、关联公司以及所管理基金的证件证照；</w:t>
      </w:r>
    </w:p>
    <w:p>
      <w:pPr>
        <w:spacing w:before="120" w:after="120" w:line="288" w:lineRule="auto"/>
        <w:ind w:left="0" w:firstLine="420"/>
        <w:jc w:val="left"/>
      </w:pPr>
      <w:r>
        <w:rPr>
          <w:rFonts w:eastAsia="等线" w:ascii="Arial" w:cs="Arial" w:hAnsi="Arial"/>
          <w:sz w:val="22"/>
        </w:rPr>
        <w:t>（二） 以公司、关联公司以及所管理基金为主体对外签署的各类协议如租房合同、各类服务合同、劳动合同、投资协议、合伙协议等；</w:t>
      </w:r>
    </w:p>
    <w:p>
      <w:pPr>
        <w:spacing w:before="120" w:after="120" w:line="288" w:lineRule="auto"/>
        <w:ind w:left="0" w:firstLine="420"/>
        <w:jc w:val="left"/>
      </w:pPr>
      <w:r>
        <w:rPr>
          <w:rFonts w:eastAsia="等线" w:ascii="Arial" w:cs="Arial" w:hAnsi="Arial"/>
          <w:sz w:val="22"/>
        </w:rPr>
        <w:t>（三） 公司三会文件；</w:t>
      </w:r>
    </w:p>
    <w:p>
      <w:pPr>
        <w:spacing w:before="120" w:after="120" w:line="288" w:lineRule="auto"/>
        <w:ind w:left="0" w:firstLine="420"/>
        <w:jc w:val="left"/>
      </w:pPr>
      <w:r>
        <w:rPr>
          <w:rFonts w:eastAsia="等线" w:ascii="Arial" w:cs="Arial" w:hAnsi="Arial"/>
          <w:sz w:val="22"/>
        </w:rPr>
        <w:t>（四） 公司财务凭证；</w:t>
      </w:r>
    </w:p>
    <w:p>
      <w:pPr>
        <w:spacing w:before="120" w:after="120" w:line="288" w:lineRule="auto"/>
        <w:ind w:left="0" w:firstLine="420"/>
        <w:jc w:val="left"/>
      </w:pPr>
      <w:r>
        <w:rPr>
          <w:rFonts w:eastAsia="等线" w:ascii="Arial" w:cs="Arial" w:hAnsi="Arial"/>
          <w:sz w:val="22"/>
        </w:rPr>
        <w:t>（五） 公司项目库、资源库；</w:t>
      </w:r>
    </w:p>
    <w:p>
      <w:pPr>
        <w:spacing w:before="120" w:after="120" w:line="288" w:lineRule="auto"/>
        <w:ind w:left="0" w:firstLine="420"/>
        <w:jc w:val="left"/>
      </w:pPr>
      <w:r>
        <w:rPr>
          <w:rFonts w:eastAsia="等线" w:ascii="Arial" w:cs="Arial" w:hAnsi="Arial"/>
          <w:sz w:val="22"/>
        </w:rPr>
        <w:t>（六） 已立项未投资项目立项材料和调研材料；</w:t>
      </w:r>
    </w:p>
    <w:p>
      <w:pPr>
        <w:spacing w:before="120" w:after="120" w:line="288" w:lineRule="auto"/>
        <w:ind w:left="0" w:firstLine="420"/>
        <w:jc w:val="left"/>
      </w:pPr>
      <w:r>
        <w:rPr>
          <w:rFonts w:eastAsia="等线" w:ascii="Arial" w:cs="Arial" w:hAnsi="Arial"/>
          <w:sz w:val="22"/>
        </w:rPr>
        <w:t>（七） 已投资项目上交的各类资料如三会文件、各类证明材料、承诺函等；</w:t>
      </w:r>
    </w:p>
    <w:p>
      <w:pPr>
        <w:spacing w:before="120" w:after="120" w:line="288" w:lineRule="auto"/>
        <w:ind w:left="0" w:firstLine="420"/>
        <w:jc w:val="left"/>
      </w:pPr>
      <w:r>
        <w:rPr>
          <w:rFonts w:eastAsia="等线" w:ascii="Arial" w:cs="Arial" w:hAnsi="Arial"/>
          <w:sz w:val="22"/>
        </w:rPr>
        <w:t>（八） 其他在经营管理工作中形成的有保存价值的材料。</w:t>
      </w:r>
    </w:p>
    <w:p>
      <w:pPr>
        <w:spacing w:before="120" w:after="120" w:line="288" w:lineRule="auto"/>
        <w:ind w:left="0" w:firstLine="420"/>
        <w:jc w:val="left"/>
      </w:pPr>
      <w:r>
        <w:rPr>
          <w:rFonts w:eastAsia="等线" w:ascii="Arial" w:cs="Arial" w:hAnsi="Arial"/>
          <w:sz w:val="22"/>
        </w:rPr>
        <w:t>（九） 投资协议、合伙协议及投后管理过程中的三会决议、后续轮投资协议或其他需要我方签署的重大文件，应保存记录完整讨论、决策过程的过程稿。</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档案的保存规则：</w:t>
      </w:r>
    </w:p>
    <w:p>
      <w:pPr>
        <w:spacing w:before="120" w:after="120" w:line="288" w:lineRule="auto"/>
        <w:ind w:left="0" w:firstLine="420"/>
        <w:jc w:val="left"/>
      </w:pPr>
      <w:r>
        <w:rPr>
          <w:rFonts w:eastAsia="等线" w:ascii="Arial" w:cs="Arial" w:hAnsi="Arial"/>
          <w:sz w:val="22"/>
        </w:rPr>
        <w:t>（一） 档案的保存分为纸质化保存和电子化保存，根据档案的重要性选择保存方式。</w:t>
      </w:r>
    </w:p>
    <w:p>
      <w:pPr>
        <w:spacing w:before="120" w:after="120" w:line="288" w:lineRule="auto"/>
        <w:ind w:left="0" w:firstLine="420"/>
        <w:jc w:val="left"/>
      </w:pPr>
      <w:r>
        <w:rPr>
          <w:rFonts w:eastAsia="等线" w:ascii="Arial" w:cs="Arial" w:hAnsi="Arial"/>
          <w:sz w:val="22"/>
        </w:rPr>
        <w:t>（二） 不同种类的档案应该在规定时间内由相关责任人提交档案管理员存档并进行登记。</w:t>
      </w:r>
    </w:p>
    <w:p>
      <w:pPr>
        <w:spacing w:before="120" w:after="120" w:line="288" w:lineRule="auto"/>
        <w:ind w:left="0" w:firstLine="420"/>
        <w:jc w:val="left"/>
      </w:pPr>
      <w:r>
        <w:rPr>
          <w:rFonts w:eastAsia="等线" w:ascii="Arial" w:cs="Arial" w:hAnsi="Arial"/>
          <w:sz w:val="22"/>
        </w:rPr>
        <w:t>（三） 以公司、关联公司、所管理基金和所投项目为主体设立文件夹对于档案进行分类保存。</w:t>
      </w:r>
    </w:p>
    <w:p>
      <w:pPr>
        <w:spacing w:before="120" w:after="120" w:line="288" w:lineRule="auto"/>
        <w:ind w:left="0" w:firstLine="420"/>
        <w:jc w:val="left"/>
      </w:pPr>
      <w:r>
        <w:rPr>
          <w:rFonts w:eastAsia="等线" w:ascii="Arial" w:cs="Arial" w:hAnsi="Arial"/>
          <w:sz w:val="22"/>
        </w:rPr>
        <w:t>（四） 不同类型的档案设立适当的保存期限。</w:t>
      </w:r>
    </w:p>
    <w:p>
      <w:pPr>
        <w:spacing w:before="120" w:after="120" w:line="288" w:lineRule="auto"/>
        <w:ind w:left="0" w:firstLine="420"/>
        <w:jc w:val="left"/>
      </w:pPr>
      <w:r>
        <w:rPr>
          <w:rFonts w:eastAsia="等线" w:ascii="Arial" w:cs="Arial" w:hAnsi="Arial"/>
          <w:sz w:val="22"/>
        </w:rPr>
        <w:t>（五） 公司、关联公司以及所管理基金的财务资料单独保存，由财务总监协调负责。</w:t>
      </w:r>
    </w:p>
    <w:p>
      <w:pPr>
        <w:spacing w:before="120" w:after="120" w:line="288" w:lineRule="auto"/>
        <w:ind w:left="0" w:firstLine="420"/>
        <w:jc w:val="left"/>
      </w:pPr>
      <w:r>
        <w:rPr>
          <w:rFonts w:eastAsia="等线" w:ascii="Arial" w:cs="Arial" w:hAnsi="Arial"/>
          <w:sz w:val="22"/>
        </w:rPr>
        <w:t>（六） 在飞书云盘设置档案管理台账，参考附件4431进行分类，并按季度下载备份。</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档案的提交：</w:t>
      </w:r>
    </w:p>
    <w:p>
      <w:pPr>
        <w:spacing w:before="120" w:after="120" w:line="288" w:lineRule="auto"/>
        <w:ind w:left="0" w:firstLine="420"/>
        <w:jc w:val="left"/>
      </w:pPr>
      <w:r>
        <w:rPr>
          <w:rFonts w:eastAsia="等线" w:ascii="Arial" w:cs="Arial" w:hAnsi="Arial"/>
          <w:sz w:val="22"/>
        </w:rPr>
        <w:t>（一） 公司员工通过飞书系统填报提交档案信息。</w:t>
      </w:r>
    </w:p>
    <w:p>
      <w:pPr>
        <w:spacing w:before="120" w:after="120" w:line="288" w:lineRule="auto"/>
        <w:ind w:left="0" w:firstLine="420"/>
        <w:jc w:val="left"/>
      </w:pPr>
      <w:r>
        <w:rPr>
          <w:rFonts w:eastAsia="等线" w:ascii="Arial" w:cs="Arial" w:hAnsi="Arial"/>
          <w:sz w:val="22"/>
        </w:rPr>
        <w:t>（二） 管理员对于归档档案做标签化处理，对于纸质化归档档案贴上纸质便签，注明是什么文件；对于电子化存档档案应重命名文件或文件夹，以简明扼要表明什么文件为准。如2020年董事会决议、XXX项目A轮投资协议等。</w:t>
      </w:r>
    </w:p>
    <w:p>
      <w:pPr>
        <w:spacing w:before="120" w:after="120" w:line="288" w:lineRule="auto"/>
        <w:ind w:left="0" w:firstLine="420"/>
        <w:jc w:val="left"/>
      </w:pPr>
      <w:r>
        <w:rPr>
          <w:rFonts w:eastAsia="等线" w:ascii="Arial" w:cs="Arial" w:hAnsi="Arial"/>
          <w:sz w:val="22"/>
        </w:rPr>
        <w:t>（三） 档案管理员负责监督档案提交的及时度，监督档案借阅和归还是否按照相关流程进行，并统一在月度会做出提示。</w:t>
      </w:r>
    </w:p>
    <w:p>
      <w:pPr>
        <w:spacing w:before="120" w:after="120" w:line="288" w:lineRule="auto"/>
        <w:ind w:left="0" w:firstLine="420"/>
        <w:jc w:val="left"/>
      </w:pPr>
      <w:r>
        <w:rPr>
          <w:rFonts w:eastAsia="等线" w:ascii="Arial" w:cs="Arial" w:hAnsi="Arial"/>
          <w:sz w:val="22"/>
        </w:rPr>
        <w:t>（四）项目资料的电子化管理统一在投资云实现，无需再上传至飞书的电子档案文件夹，但项目部需要根据实际情况向档案管理员提交项目文件的原件。</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档案的借阅与归还：</w:t>
      </w:r>
    </w:p>
    <w:p>
      <w:pPr>
        <w:spacing w:before="120" w:after="120" w:line="288" w:lineRule="auto"/>
        <w:ind w:left="0" w:firstLine="420"/>
        <w:jc w:val="left"/>
      </w:pPr>
      <w:r>
        <w:rPr>
          <w:rFonts w:eastAsia="等线" w:ascii="Arial" w:cs="Arial" w:hAnsi="Arial"/>
          <w:sz w:val="22"/>
        </w:rPr>
        <w:t>（一） 档案的借阅与归还均通过飞书系统进行。</w:t>
      </w:r>
    </w:p>
    <w:p>
      <w:pPr>
        <w:spacing w:before="120" w:after="120" w:line="288" w:lineRule="auto"/>
        <w:ind w:left="0" w:firstLine="420"/>
        <w:jc w:val="left"/>
      </w:pPr>
      <w:r>
        <w:rPr>
          <w:rFonts w:eastAsia="等线" w:ascii="Arial" w:cs="Arial" w:hAnsi="Arial"/>
          <w:sz w:val="22"/>
        </w:rPr>
        <w:t>（二） 公司档案的密级按等级由高到低分为机密、秘密、内部公开三种。依据不同级别档案借阅履行不同审批手续。</w:t>
      </w:r>
    </w:p>
    <w:p>
      <w:pPr>
        <w:spacing w:before="120" w:after="120" w:line="288" w:lineRule="auto"/>
        <w:ind w:left="0" w:firstLine="420"/>
        <w:jc w:val="left"/>
      </w:pPr>
      <w:r>
        <w:rPr>
          <w:rFonts w:eastAsia="等线" w:ascii="Arial" w:cs="Arial" w:hAnsi="Arial"/>
          <w:sz w:val="22"/>
        </w:rPr>
        <w:t>（三） 借阅人要自觉执行保密制度，不得擅自携带出外、转借、抽取、复制、抄录、拍照或涂改。也不得与其他无权限人员对借阅内容信息进行交流沟通。另外，财务凭证的查阅须经财务总监许可。</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借阅档案的归还</w:t>
      </w:r>
    </w:p>
    <w:p>
      <w:pPr>
        <w:spacing w:before="120" w:after="120" w:line="288" w:lineRule="auto"/>
        <w:ind w:left="0" w:firstLine="420"/>
        <w:jc w:val="left"/>
      </w:pPr>
      <w:r>
        <w:rPr>
          <w:rFonts w:eastAsia="等线" w:ascii="Arial" w:cs="Arial" w:hAnsi="Arial"/>
          <w:sz w:val="22"/>
        </w:rPr>
        <w:t>（一） 借阅的档案流程中原则上不允许出办公室，需要借出出办公室需特别写明并经总经理批准。所有的借阅及借出的档案均应注明借阅/出的用途、时间。借阅时间超过一天的，借阅期间每天下班之前将档案交由档案管理员放置档案柜，第二天再由档案管理员取出，以此类推。</w:t>
      </w:r>
    </w:p>
    <w:p>
      <w:pPr>
        <w:spacing w:before="120" w:after="120" w:line="288" w:lineRule="auto"/>
        <w:ind w:left="0" w:firstLine="420"/>
        <w:jc w:val="left"/>
      </w:pPr>
      <w:r>
        <w:rPr>
          <w:rFonts w:eastAsia="等线" w:ascii="Arial" w:cs="Arial" w:hAnsi="Arial"/>
          <w:sz w:val="22"/>
        </w:rPr>
        <w:t>（二） 借出档案材料，因保管不慎丢失时，要及时追查，并由档案管理人及总经理及时协调处理，必要时追究相关人员的责任。</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档案定期梳理： </w:t>
      </w:r>
    </w:p>
    <w:p>
      <w:pPr>
        <w:spacing w:before="120" w:after="120" w:line="288" w:lineRule="auto"/>
        <w:ind w:left="0" w:firstLine="420"/>
        <w:jc w:val="left"/>
      </w:pPr>
      <w:r>
        <w:rPr>
          <w:rFonts w:eastAsia="等线" w:ascii="Arial" w:cs="Arial" w:hAnsi="Arial"/>
          <w:sz w:val="22"/>
        </w:rPr>
        <w:t>（一） 档案制度管理员负责建立档案台账并及时在飞书更新。</w:t>
      </w:r>
    </w:p>
    <w:p>
      <w:pPr>
        <w:spacing w:before="120" w:after="120" w:line="288" w:lineRule="auto"/>
        <w:ind w:left="0" w:firstLine="420"/>
        <w:jc w:val="left"/>
      </w:pPr>
      <w:r>
        <w:rPr>
          <w:rFonts w:eastAsia="等线" w:ascii="Arial" w:cs="Arial" w:hAnsi="Arial"/>
          <w:sz w:val="22"/>
        </w:rPr>
        <w:t>（二） 公司档案管理员实施双重管理制，档案管理员负责日常档案管理工作，每半年档案管理员会同相关高级管理人员共同梳理半年档案管理情况，各高级管理人员应熟悉分管领域档案归档情况。</w:t>
      </w:r>
    </w:p>
    <w:p>
      <w:pPr>
        <w:spacing w:before="120" w:after="120" w:line="288" w:lineRule="auto"/>
        <w:ind w:left="0" w:firstLine="420"/>
        <w:jc w:val="left"/>
      </w:pPr>
      <w:r>
        <w:rPr>
          <w:rFonts w:eastAsia="等线" w:ascii="Arial" w:cs="Arial" w:hAnsi="Arial"/>
          <w:sz w:val="22"/>
        </w:rPr>
        <w:t>（三） 公司监事会每季度进行抽查，每年全面检查一次。</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档案管理交接</w:t>
      </w:r>
    </w:p>
    <w:p>
      <w:pPr>
        <w:spacing w:before="120" w:after="120" w:line="288" w:lineRule="auto"/>
        <w:ind w:left="0" w:firstLine="420"/>
        <w:jc w:val="left"/>
      </w:pPr>
      <w:r>
        <w:rPr>
          <w:rFonts w:eastAsia="等线" w:ascii="Arial" w:cs="Arial" w:hAnsi="Arial"/>
          <w:sz w:val="22"/>
        </w:rPr>
        <w:t>档案管理制度管理员发生变动时，工作交接务必细致全面，并签署完整的交接清单，分管副总参加交接并签字。档案涉及领域的高级管理人员参加该部分的交接并签字，监事会分管人员、总经理全程参加交接并签字。</w:t>
      </w:r>
    </w:p>
    <w:p>
      <w:pPr>
        <w:spacing w:before="120" w:after="120" w:line="288" w:lineRule="auto"/>
        <w:ind w:left="0" w:firstLine="420"/>
        <w:jc w:val="left"/>
      </w:pPr>
      <w:r>
        <w:rPr>
          <w:rFonts w:eastAsia="等线" w:ascii="Arial" w:cs="Arial" w:hAnsi="Arial"/>
          <w:sz w:val="22"/>
        </w:rPr>
        <w:t>所有交接内容与签字文件均应通过飞书OA在线留痕。</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档案的销毁</w:t>
      </w:r>
    </w:p>
    <w:p>
      <w:pPr>
        <w:spacing w:before="120" w:after="120" w:line="288" w:lineRule="auto"/>
        <w:ind w:left="0" w:firstLine="420"/>
        <w:jc w:val="left"/>
      </w:pPr>
      <w:r>
        <w:rPr>
          <w:rFonts w:eastAsia="等线" w:ascii="Arial" w:cs="Arial" w:hAnsi="Arial"/>
          <w:sz w:val="22"/>
        </w:rPr>
        <w:t>任何人非经允许无权随意销毁公司档案材料。若损坏，必要时追究相关人员的责任。</w:t>
      </w:r>
    </w:p>
    <w:p>
      <w:pPr>
        <w:spacing w:before="120" w:after="120" w:line="288" w:lineRule="auto"/>
        <w:ind w:left="0" w:firstLine="420"/>
        <w:jc w:val="left"/>
      </w:pPr>
      <w:r>
        <w:rPr>
          <w:rFonts w:eastAsia="等线" w:ascii="Arial" w:cs="Arial" w:hAnsi="Arial"/>
          <w:sz w:val="22"/>
        </w:rPr>
        <w:t>对于超出保存周期的文档需要销毁时，由总经理审批并在专人监督下销毁。</w:t>
      </w:r>
    </w:p>
    <w:p>
      <w:pPr>
        <w:spacing w:before="120" w:after="120" w:line="288" w:lineRule="auto"/>
        <w:ind w:left="0" w:firstLine="420"/>
        <w:jc w:val="left"/>
      </w:pPr>
      <w:r>
        <w:rPr>
          <w:rFonts w:eastAsia="等线" w:ascii="Arial" w:cs="Arial" w:hAnsi="Arial"/>
          <w:sz w:val="22"/>
        </w:rPr>
        <w:t>对已批准销毁的档案，还要继续保存三个月，经验证确无利用价值，方可销毁。销毁时，必须二人以上监销，档案管理人员要认真填写、编制销毁清册，监销人员要在《档案销毁清册》上签名盖章，并注明销毁的方式、时间。销毁清册和总经理的批准手续文件，一并存档永久保存。</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附件：</w:t>
      </w:r>
      <w:hyperlink r:id="rId56">
        <w:r>
          <w:rPr>
            <w:rFonts w:eastAsia="等线" w:ascii="Arial" w:cs="Arial" w:hAnsi="Arial"/>
            <w:color w:val="3370ff"/>
            <w:sz w:val="22"/>
          </w:rPr>
          <w:t>附件4431-档案管理台账</w:t>
        </w:r>
      </w:hyperlink>
    </w:p>
    <w:p>
      <w:pPr>
        <w:spacing w:before="120" w:after="120" w:line="288" w:lineRule="auto"/>
        <w:ind w:left="0" w:firstLine="420"/>
        <w:jc w:val="left"/>
      </w:pPr>
      <w:r>
        <w:rPr>
          <w:rFonts w:eastAsia="等线" w:ascii="Arial" w:cs="Arial" w:hAnsi="Arial"/>
          <w:sz w:val="22"/>
        </w:rPr>
        <w:t xml:space="preserve">     </w:t>
      </w:r>
      <w:hyperlink r:id="rId57">
        <w:r>
          <w:rPr>
            <w:rFonts w:eastAsia="等线" w:ascii="Arial" w:cs="Arial" w:hAnsi="Arial"/>
            <w:color w:val="3370ff"/>
            <w:sz w:val="22"/>
          </w:rPr>
          <w:t>附件4432-档案保存规则</w:t>
        </w:r>
      </w:hyperlink>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72" w:id="72"/>
      <w:r>
        <w:rPr>
          <w:rFonts w:eastAsia="等线" w:ascii="Arial" w:cs="Arial" w:hAnsi="Arial"/>
          <w:b w:val="true"/>
          <w:sz w:val="30"/>
        </w:rPr>
        <w:t>第二节 合同管理制度（</w:t>
      </w:r>
      <w:r>
        <w:rPr>
          <w:rFonts w:eastAsia="等线" w:ascii="Arial" w:cs="Arial" w:hAnsi="Arial"/>
          <w:b w:val="true"/>
          <w:color w:val="3370ff"/>
          <w:sz w:val="30"/>
        </w:rPr>
        <w:t>@赵栋</w:t>
      </w:r>
      <w:r>
        <w:rPr>
          <w:rFonts w:eastAsia="等线" w:ascii="Arial" w:cs="Arial" w:hAnsi="Arial"/>
          <w:b w:val="true"/>
          <w:sz w:val="30"/>
        </w:rPr>
        <w:t>）</w:t>
      </w:r>
      <w:bookmarkEnd w:id="72"/>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本制度适用于以公司（包括子公司、分公司）及其管理基金名义对外签订的各类法律文件。</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合同管理人员及相关经办人员对合同经办管理过程中涉及的公司商业秘密，依照法律规定和公司相关规定承担保密责任。</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合同管理由申请人、法务、财务（如需）、第三方服务机构以及公司相应决策机构以及合同相对方共同参与，申请人的主要职责包括：</w:t>
      </w:r>
    </w:p>
    <w:p>
      <w:pPr>
        <w:spacing w:before="120" w:after="120" w:line="288" w:lineRule="auto"/>
        <w:ind w:left="0" w:firstLine="420"/>
        <w:jc w:val="left"/>
      </w:pPr>
      <w:r>
        <w:rPr>
          <w:rFonts w:eastAsia="等线" w:ascii="Arial" w:cs="Arial" w:hAnsi="Arial"/>
          <w:sz w:val="22"/>
        </w:rPr>
        <w:t>（一） 负责组织协议洽商，初步审查合同内容是否符合相关法律法规、政策和公司规章制度等的要求，对合同主体进行资格、资质和资信调查”；</w:t>
      </w:r>
    </w:p>
    <w:p>
      <w:pPr>
        <w:spacing w:before="120" w:after="120" w:line="288" w:lineRule="auto"/>
        <w:ind w:left="0" w:firstLine="420"/>
        <w:jc w:val="left"/>
      </w:pPr>
      <w:r>
        <w:rPr>
          <w:rFonts w:eastAsia="等线" w:ascii="Arial" w:cs="Arial" w:hAnsi="Arial"/>
          <w:sz w:val="22"/>
        </w:rPr>
        <w:t>（二） 优先适用公司已有合同模板；会同法务人员及时拟订合同文本或经协商使用对方提供的合同文本，在投资活动中，优先适用领投方定稿的合同模板；</w:t>
      </w:r>
    </w:p>
    <w:p>
      <w:pPr>
        <w:spacing w:before="120" w:after="120" w:line="288" w:lineRule="auto"/>
        <w:ind w:left="0" w:firstLine="420"/>
        <w:jc w:val="left"/>
      </w:pPr>
      <w:r>
        <w:rPr>
          <w:rFonts w:eastAsia="等线" w:ascii="Arial" w:cs="Arial" w:hAnsi="Arial"/>
          <w:sz w:val="22"/>
        </w:rPr>
        <w:t>（三） 负责发起合同审批，以及合同的磋商、签订；</w:t>
      </w:r>
    </w:p>
    <w:p>
      <w:pPr>
        <w:spacing w:before="120" w:after="120" w:line="288" w:lineRule="auto"/>
        <w:ind w:left="0" w:firstLine="420"/>
        <w:jc w:val="left"/>
      </w:pPr>
      <w:r>
        <w:rPr>
          <w:rFonts w:eastAsia="等线" w:ascii="Arial" w:cs="Arial" w:hAnsi="Arial"/>
          <w:sz w:val="22"/>
        </w:rPr>
        <w:t>（四） 负责留存已签署合同文本电子版扫描件并按照《档案管理制度》及时归档；</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合同过程稿主要以飞书文档在线编辑方式形成，根据不同合同类型单独或在各工作群中按照本制度规定的具体审批流程进行征求意见，文本确定形成最终清洁版后通过飞书OA审批流程进行最终审批和用印，同时将过程稿作为OA流程的附件上传。</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合同文本分为基于公司模板拟定、基于相对方提供的模板拟定以及由公司重新拟定。基于相对方提供的模板形成的合同，经办人员认为质量较高应纳入公司合同模板或替代公司现有模板的，按照制度修订程序办理。要重新拟定的由申请人将该事项的关注点向公司法务人员进行阐述说明，由公司法务负责该合同的拟定，并同时咨询第三方服务机构意见（如需）形成初步文本。</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合同审批程序分为简易程序和普通程序。</w:t>
      </w:r>
    </w:p>
    <w:p>
      <w:pPr>
        <w:spacing w:before="120" w:after="120" w:line="288" w:lineRule="auto"/>
        <w:ind w:left="0" w:firstLine="420"/>
        <w:jc w:val="left"/>
      </w:pPr>
      <w:r>
        <w:rPr>
          <w:rFonts w:eastAsia="等线" w:ascii="Arial" w:cs="Arial" w:hAnsi="Arial"/>
          <w:sz w:val="22"/>
        </w:rPr>
        <w:t>（一） 简易程序</w:t>
      </w:r>
    </w:p>
    <w:p>
      <w:pPr>
        <w:spacing w:before="120" w:after="120" w:line="288" w:lineRule="auto"/>
        <w:ind w:left="0" w:firstLine="420"/>
        <w:jc w:val="left"/>
      </w:pPr>
      <w:r>
        <w:rPr>
          <w:rFonts w:eastAsia="等线" w:ascii="Arial" w:cs="Arial" w:hAnsi="Arial"/>
          <w:sz w:val="22"/>
        </w:rPr>
        <w:t>适用简易程序审批的合同类型为日常行政合同（如常年顾问服务合同、租赁合同、邮箱、网费、网站等采购服务合同）、保密协议、劳动合同等以管理类为主的合同。投前合同中与项目方签署的保密协议参照适用简易程序审批，其他制度有特别规定的从其规定。</w:t>
      </w:r>
    </w:p>
    <w:p>
      <w:pPr>
        <w:spacing w:before="120" w:after="120" w:line="288" w:lineRule="auto"/>
        <w:ind w:left="0" w:firstLine="420"/>
        <w:jc w:val="left"/>
      </w:pPr>
      <w:r>
        <w:rPr>
          <w:rFonts w:eastAsia="等线" w:ascii="Arial" w:cs="Arial" w:hAnsi="Arial"/>
          <w:sz w:val="22"/>
        </w:rPr>
        <w:t>适用简易程序的非基于公司模版拟定的合同必须由法务人员预审核，申请人应将含法务意见的过程稿与清洁稿一并提交最终审批与用印。</w:t>
      </w:r>
    </w:p>
    <w:p>
      <w:pPr>
        <w:spacing w:before="120" w:after="120" w:line="288" w:lineRule="auto"/>
        <w:ind w:left="0" w:firstLine="420"/>
        <w:jc w:val="left"/>
      </w:pPr>
      <w:r>
        <w:rPr>
          <w:rFonts w:eastAsia="等线" w:ascii="Arial" w:cs="Arial" w:hAnsi="Arial"/>
          <w:sz w:val="22"/>
        </w:rPr>
        <w:t>（二） 普通程序</w:t>
      </w:r>
    </w:p>
    <w:p>
      <w:pPr>
        <w:spacing w:before="120" w:after="120" w:line="288" w:lineRule="auto"/>
        <w:ind w:left="0" w:firstLine="420"/>
        <w:jc w:val="left"/>
      </w:pPr>
      <w:r>
        <w:rPr>
          <w:rFonts w:eastAsia="等线" w:ascii="Arial" w:cs="Arial" w:hAnsi="Arial"/>
          <w:sz w:val="22"/>
        </w:rPr>
        <w:t>普通程序分为投前合同程序、投后合同程序和其他类合同程序。</w:t>
      </w:r>
    </w:p>
    <w:p>
      <w:pPr>
        <w:spacing w:before="120" w:after="120" w:line="288" w:lineRule="auto"/>
        <w:ind w:left="0" w:firstLine="420"/>
        <w:jc w:val="left"/>
      </w:pPr>
      <w:r>
        <w:rPr>
          <w:rFonts w:eastAsia="等线" w:ascii="Arial" w:cs="Arial" w:hAnsi="Arial"/>
          <w:sz w:val="22"/>
        </w:rPr>
        <w:t>投前合同程序审批的合同类型为核心条款（TS）、投资协议及相关文件、三会决议等交割前以经营类为主的合同和相关文件，以及前述已签署合同的内容变更。对于追加投资的项目走投前合同程序。</w:t>
      </w:r>
    </w:p>
    <w:p>
      <w:pPr>
        <w:spacing w:before="120" w:after="120" w:line="288" w:lineRule="auto"/>
        <w:ind w:left="0" w:firstLine="420"/>
        <w:jc w:val="left"/>
      </w:pPr>
      <w:r>
        <w:rPr>
          <w:rFonts w:eastAsia="等线" w:ascii="Arial" w:cs="Arial" w:hAnsi="Arial"/>
          <w:sz w:val="22"/>
        </w:rPr>
        <w:t>投后合同程序审批的合同类型为后续轮核心条款（TS）、投资协议及相关文件、三会决议等投后阶段以经营类为主的合同和相关文件。</w:t>
      </w:r>
    </w:p>
    <w:p>
      <w:pPr>
        <w:spacing w:before="120" w:after="120" w:line="288" w:lineRule="auto"/>
        <w:ind w:left="0" w:firstLine="420"/>
        <w:jc w:val="left"/>
      </w:pPr>
      <w:r>
        <w:rPr>
          <w:rFonts w:eastAsia="等线" w:ascii="Arial" w:cs="Arial" w:hAnsi="Arial"/>
          <w:sz w:val="22"/>
        </w:rPr>
        <w:t>其他类合同程序审批的合同类型为基金相关以及分配相关或与投后项目签订的FA协议等其他事项合同和相关文件。</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具体审批流程为：</w:t>
      </w:r>
    </w:p>
    <w:p>
      <w:pPr>
        <w:spacing w:before="120" w:after="120" w:line="288" w:lineRule="auto"/>
        <w:ind w:left="0"/>
        <w:jc w:val="left"/>
      </w:pPr>
      <w:r>
        <w:drawing>
          <wp:inline distT="0" distR="0" distB="0" distL="0">
            <wp:extent cx="5257800" cy="48482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8"/>
                    <a:stretch>
                      <a:fillRect/>
                    </a:stretch>
                  </pic:blipFill>
                  <pic:spPr>
                    <a:xfrm>
                      <a:off x="0" y="0"/>
                      <a:ext cx="5257800" cy="4848225"/>
                    </a:xfrm>
                    <a:prstGeom prst="rect">
                      <a:avLst/>
                    </a:prstGeom>
                  </pic:spPr>
                </pic:pic>
              </a:graphicData>
            </a:graphic>
          </wp:inline>
        </w:drawing>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申请人履行完合同审批程序后，方可对外签订合同。</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公司对外签订合同，由公司法定代表人或其授权代表签署正式文本。未经法定代表人授权，任何部门或者个人不得对外签署合同。</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公司授权委托书由申请人据具体事项起草办理；如果合同相对方由其授权代表签署合同的，申请人方应取得合同相对方授权委托书原件，并随合同原件归档。</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履行完合同审批流程后，申请人根据《印章、证照、证明函管理制度》的要求对合同文本进行用印，申请人需自主核查所用印的合同与最终审批的合同内容是否一致（尤其需要注意对方先盖章寄来的合同，需要逐字核对），若发生不一致给公司造成损失的，依法依制追究责任。</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双方在谈判、履约等过程中互致的信件、传真、电传、电子数据交换和电子邮件等资料，是确认双方权利义务的重要凭证，申请人应负责整理、保管和保密，对于关键重要的沟通材料须采用公对公固定办公电子邮箱以电子邮件形式进行交流。</w:t>
      </w: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合同应当采用书面形式。在合同谈判、履约过程中，任何个人和部门不得在未经公司相应决策机构审议或超越有权机构授权范围擅自做出书面、口头承诺或者提前确认合同条款等。</w:t>
      </w:r>
    </w:p>
    <w:p>
      <w:pPr>
        <w:spacing w:before="120" w:after="120" w:line="288" w:lineRule="auto"/>
        <w:ind w:left="0" w:firstLine="420"/>
        <w:jc w:val="left"/>
      </w:pPr>
      <w:r>
        <w:rPr>
          <w:rFonts w:eastAsia="等线" w:ascii="Arial" w:cs="Arial" w:hAnsi="Arial"/>
          <w:b w:val="true"/>
          <w:color w:val="d83931"/>
          <w:sz w:val="22"/>
        </w:rPr>
        <w:t>第十四条</w:t>
      </w:r>
      <w:r>
        <w:rPr>
          <w:rFonts w:eastAsia="等线" w:ascii="Arial" w:cs="Arial" w:hAnsi="Arial"/>
          <w:color w:val="d83931"/>
          <w:sz w:val="22"/>
        </w:rPr>
        <w:t xml:space="preserve">  </w:t>
      </w:r>
      <w:r>
        <w:rPr>
          <w:rFonts w:eastAsia="等线" w:ascii="Arial" w:cs="Arial" w:hAnsi="Arial"/>
          <w:sz w:val="22"/>
        </w:rPr>
        <w:t>对任何已经签订合同内容的变更及补充应及时签订《补充协议》，《补充协议》应事先由法务人员、风控部门审核确认，并按照相应审批流程提交审核、签订、存档。</w:t>
      </w:r>
    </w:p>
    <w:p>
      <w:pPr>
        <w:spacing w:before="120" w:after="120" w:line="288" w:lineRule="auto"/>
        <w:ind w:left="0" w:firstLine="420"/>
        <w:jc w:val="left"/>
      </w:pPr>
      <w:r>
        <w:rPr>
          <w:rFonts w:eastAsia="等线" w:ascii="Arial" w:cs="Arial" w:hAnsi="Arial"/>
          <w:b w:val="true"/>
          <w:color w:val="d83931"/>
          <w:sz w:val="22"/>
        </w:rPr>
        <w:t>第十五条</w:t>
      </w:r>
      <w:r>
        <w:rPr>
          <w:rFonts w:eastAsia="等线" w:ascii="Arial" w:cs="Arial" w:hAnsi="Arial"/>
          <w:color w:val="d83931"/>
          <w:sz w:val="22"/>
        </w:rPr>
        <w:t xml:space="preserve"> 所有涉及用印的OA流程，申请人应在用印</w:t>
      </w:r>
      <w:r>
        <w:rPr>
          <w:rFonts w:eastAsia="等线" w:ascii="Arial" w:cs="Arial" w:hAnsi="Arial"/>
          <w:color w:val="d83931"/>
          <w:sz w:val="22"/>
        </w:rPr>
        <w:t>审批通过</w:t>
      </w:r>
      <w:r>
        <w:rPr>
          <w:rFonts w:eastAsia="等线" w:ascii="Arial" w:cs="Arial" w:hAnsi="Arial"/>
          <w:color w:val="d83931"/>
          <w:sz w:val="22"/>
        </w:rPr>
        <w:t>后</w:t>
      </w:r>
      <w:r>
        <w:rPr>
          <w:rFonts w:eastAsia="等线" w:ascii="Arial" w:cs="Arial" w:hAnsi="Arial"/>
          <w:color w:val="d83931"/>
          <w:sz w:val="22"/>
        </w:rPr>
        <w:t>7个工作日内</w:t>
      </w:r>
      <w:r>
        <w:rPr>
          <w:rFonts w:eastAsia="等线" w:ascii="Arial" w:cs="Arial" w:hAnsi="Arial"/>
          <w:color w:val="d83931"/>
          <w:sz w:val="22"/>
        </w:rPr>
        <w:t>上传电子扫描版，并由印章管理员进行确认。（</w:t>
      </w:r>
      <w:r>
        <w:rPr>
          <w:rFonts w:eastAsia="等线" w:ascii="Arial" w:cs="Arial" w:hAnsi="Arial"/>
          <w:color w:val="d83931"/>
          <w:sz w:val="22"/>
        </w:rPr>
        <w:t>赵栋</w:t>
      </w:r>
      <w:r>
        <w:rPr>
          <w:rFonts w:eastAsia="等线" w:ascii="Arial" w:cs="Arial" w:hAnsi="Arial"/>
          <w:color w:val="d83931"/>
          <w:sz w:val="22"/>
        </w:rPr>
        <w:t>，202</w:t>
      </w:r>
      <w:r>
        <w:rPr>
          <w:rFonts w:eastAsia="等线" w:ascii="Arial" w:cs="Arial" w:hAnsi="Arial"/>
          <w:color w:val="d83931"/>
          <w:sz w:val="22"/>
        </w:rPr>
        <w:t>602</w:t>
      </w:r>
      <w:r>
        <w:rPr>
          <w:rFonts w:eastAsia="等线" w:ascii="Arial" w:cs="Arial" w:hAnsi="Arial"/>
          <w:color w:val="d83931"/>
          <w:sz w:val="22"/>
        </w:rPr>
        <w:t>）</w:t>
      </w:r>
    </w:p>
    <w:p>
      <w:p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73" w:id="73"/>
      <w:r>
        <w:rPr>
          <w:rFonts w:eastAsia="等线" w:ascii="Arial" w:cs="Arial" w:hAnsi="Arial"/>
          <w:b w:val="true"/>
          <w:sz w:val="32"/>
        </w:rPr>
        <w:t>第五章 分配制度</w:t>
      </w:r>
      <w:r>
        <w:rPr>
          <w:rFonts w:eastAsia="等线" w:ascii="Arial" w:cs="Arial" w:hAnsi="Arial"/>
          <w:b w:val="true"/>
          <w:sz w:val="32"/>
        </w:rPr>
        <w:t>（</w:t>
      </w:r>
      <w:r>
        <w:rPr>
          <w:rFonts w:eastAsia="等线" w:ascii="Arial" w:cs="Arial" w:hAnsi="Arial"/>
          <w:b w:val="true"/>
          <w:color w:val="3370ff"/>
          <w:sz w:val="32"/>
        </w:rPr>
        <w:t>@刘绍辉</w:t>
      </w:r>
      <w:r>
        <w:rPr>
          <w:rFonts w:eastAsia="等线" w:ascii="Arial" w:cs="Arial" w:hAnsi="Arial"/>
          <w:b w:val="true"/>
          <w:sz w:val="32"/>
        </w:rPr>
        <w:t>）（扩大会）</w:t>
      </w:r>
      <w:bookmarkEnd w:id="73"/>
    </w:p>
    <w:p>
      <w:pPr>
        <w:pStyle w:val="3"/>
        <w:spacing w:before="300" w:after="120" w:line="288" w:lineRule="auto"/>
        <w:ind w:left="0"/>
        <w:jc w:val="center"/>
        <w:outlineLvl w:val="2"/>
      </w:pPr>
      <w:bookmarkStart w:name="heading_74" w:id="74"/>
      <w:r>
        <w:rPr>
          <w:rFonts w:eastAsia="等线" w:ascii="Arial" w:cs="Arial" w:hAnsi="Arial"/>
          <w:b w:val="true"/>
          <w:sz w:val="30"/>
        </w:rPr>
        <w:t>第一节 股权激励办法</w:t>
      </w:r>
      <w:bookmarkEnd w:id="74"/>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为健全公司激励机制，建立员工与公司、股东的利益共同体，激发员工的积极性和创造性，提升公司的核心竞争力，特制定本办法。</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通过多层次股权设置，构筑以股权为核心的公司内部新型合作关系，公司与员工、员工与员工之间分别是共同创业和内部创业的合作关系，员工逐渐成为公司股东，其主要收益来自于股权收益。</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经白羊座合伙人会议同意，白羊座基金投资的项目股权激励分配可由项目部自愿选择是否参照双子座分配方案执行，若项目部选择参照双子座方案执行，则由该项目部股权激励导致白羊座除公司外其他合伙人分配不足的，由公司补足。</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75" w:id="75"/>
      <w:r>
        <w:rPr>
          <w:rFonts w:eastAsia="等线" w:ascii="Arial" w:cs="Arial" w:hAnsi="Arial"/>
          <w:b w:val="true"/>
          <w:sz w:val="30"/>
        </w:rPr>
        <w:t>第二节 同登九和股权期权激励办法</w:t>
      </w:r>
      <w:bookmarkEnd w:id="75"/>
    </w:p>
    <w:p>
      <w:pPr>
        <w:spacing w:before="120" w:after="120" w:line="288" w:lineRule="auto"/>
        <w:ind w:left="0" w:firstLine="420"/>
        <w:jc w:val="left"/>
      </w:pPr>
      <w:r>
        <w:rPr>
          <w:rFonts w:eastAsia="等线" w:ascii="Arial" w:cs="Arial" w:hAnsi="Arial"/>
          <w:sz w:val="22"/>
        </w:rPr>
        <w:t>第一条 为了更好的促进上海同登九和私募基金管理有限公司的经营管理发展，更好的促进在公司发展特定阶段所需要资金的募集工作，将公司打造为全体员工的共同创业平台，特设立此制度。</w:t>
      </w:r>
    </w:p>
    <w:p>
      <w:pPr>
        <w:spacing w:before="120" w:after="120" w:line="288" w:lineRule="auto"/>
        <w:ind w:left="0" w:firstLine="420"/>
        <w:jc w:val="left"/>
      </w:pPr>
      <w:r>
        <w:rPr>
          <w:rFonts w:eastAsia="等线" w:ascii="Arial" w:cs="Arial" w:hAnsi="Arial"/>
          <w:sz w:val="22"/>
        </w:rPr>
        <w:t>第二条 期权数量：经营管理业绩期权5%；融资业绩奖励期权5%。期权数量跟随公司增资等比例稀释。</w:t>
      </w:r>
    </w:p>
    <w:p>
      <w:pPr>
        <w:spacing w:before="120" w:after="120" w:line="288" w:lineRule="auto"/>
        <w:ind w:left="0" w:firstLine="420"/>
        <w:jc w:val="left"/>
      </w:pPr>
      <w:r>
        <w:rPr>
          <w:rFonts w:eastAsia="等线" w:ascii="Arial" w:cs="Arial" w:hAnsi="Arial"/>
          <w:sz w:val="22"/>
        </w:rPr>
        <w:t>第三条 期权授予的时间节点：经营管理业绩期权每两年授予一次，融资业绩奖励期权每年授予一次。</w:t>
      </w:r>
    </w:p>
    <w:p>
      <w:pPr>
        <w:spacing w:before="120" w:after="120" w:line="288" w:lineRule="auto"/>
        <w:ind w:left="0" w:firstLine="420"/>
        <w:jc w:val="left"/>
      </w:pPr>
      <w:r>
        <w:rPr>
          <w:rFonts w:eastAsia="等线" w:ascii="Arial" w:cs="Arial" w:hAnsi="Arial"/>
          <w:sz w:val="22"/>
        </w:rPr>
        <w:t>第四条 期权授予方案的讨论机构和审议机构：由董事会拟定期权授予方案，由股东会审议该方案。</w:t>
      </w:r>
    </w:p>
    <w:p>
      <w:pPr>
        <w:spacing w:before="120" w:after="120" w:line="288" w:lineRule="auto"/>
        <w:ind w:left="0" w:firstLine="420"/>
        <w:jc w:val="left"/>
      </w:pPr>
      <w:r>
        <w:rPr>
          <w:rFonts w:eastAsia="等线" w:ascii="Arial" w:cs="Arial" w:hAnsi="Arial"/>
          <w:sz w:val="22"/>
        </w:rPr>
        <w:t>第五条 期权的授予对象：经营管理业绩期权面及融资业绩奖励期权均面向上海同登九和私募基金管理有限公司所有员工。</w:t>
      </w:r>
    </w:p>
    <w:p>
      <w:pPr>
        <w:spacing w:before="120" w:after="120" w:line="288" w:lineRule="auto"/>
        <w:ind w:left="0" w:firstLine="420"/>
        <w:jc w:val="left"/>
      </w:pPr>
      <w:r>
        <w:rPr>
          <w:rFonts w:eastAsia="等线" w:ascii="Arial" w:cs="Arial" w:hAnsi="Arial"/>
          <w:sz w:val="22"/>
        </w:rPr>
        <w:t>第六条 期权授予的最小单位：将经营管理业绩期权数量和融资业绩奖励期权数量各视为100%，最小授予单位是期权数量的1%。</w:t>
      </w:r>
    </w:p>
    <w:p>
      <w:pPr>
        <w:spacing w:before="120" w:after="120" w:line="288" w:lineRule="auto"/>
        <w:ind w:left="0" w:firstLine="420"/>
        <w:jc w:val="left"/>
      </w:pPr>
      <w:r>
        <w:rPr>
          <w:rFonts w:eastAsia="等线" w:ascii="Arial" w:cs="Arial" w:hAnsi="Arial"/>
          <w:sz w:val="22"/>
        </w:rPr>
        <w:t>第七条 期权授予的认定原则：</w:t>
      </w:r>
    </w:p>
    <w:p>
      <w:pPr>
        <w:spacing w:before="120" w:after="120" w:line="288" w:lineRule="auto"/>
        <w:ind w:left="0" w:firstLine="420"/>
        <w:jc w:val="left"/>
      </w:pPr>
      <w:r>
        <w:rPr>
          <w:rFonts w:eastAsia="等线" w:ascii="Arial" w:cs="Arial" w:hAnsi="Arial"/>
          <w:sz w:val="22"/>
        </w:rPr>
        <w:t>（一）经营管理业绩期权：经营管理业绩期权用于激励在公司日常经营管理中表现优异的员工，综合员工的绩效考核、理念认可、工作态度、重要贡献等多方面情况给与认定。</w:t>
      </w:r>
    </w:p>
    <w:p>
      <w:pPr>
        <w:spacing w:before="120" w:after="120" w:line="288" w:lineRule="auto"/>
        <w:ind w:left="0" w:firstLine="420"/>
        <w:jc w:val="left"/>
      </w:pPr>
      <w:r>
        <w:rPr>
          <w:rFonts w:eastAsia="等线" w:ascii="Arial" w:cs="Arial" w:hAnsi="Arial"/>
          <w:sz w:val="22"/>
        </w:rPr>
        <w:t>（二）融资奖励业绩期权：对应同润公司股权或同登基金LP，每募资成功50万人民币，对应发放融资奖励业绩期权1%份额</w:t>
      </w:r>
    </w:p>
    <w:p>
      <w:pPr>
        <w:spacing w:before="120" w:after="120" w:line="288" w:lineRule="auto"/>
        <w:ind w:left="0" w:firstLine="420"/>
        <w:jc w:val="left"/>
      </w:pPr>
      <w:r>
        <w:rPr>
          <w:rFonts w:eastAsia="等线" w:ascii="Arial" w:cs="Arial" w:hAnsi="Arial"/>
          <w:sz w:val="22"/>
        </w:rPr>
        <w:t>第八条 期权持股平台：公司期权持股平台为杭州荟聚东西管理咨询合伙企业（有限合伙），期权授予对象与杭州荟聚东西管理咨询合伙企业（有限合伙）签署相关法律协议。</w:t>
      </w:r>
    </w:p>
    <w:p>
      <w:pPr>
        <w:spacing w:before="120" w:after="120" w:line="288" w:lineRule="auto"/>
        <w:ind w:left="0" w:firstLine="420"/>
        <w:jc w:val="left"/>
      </w:pPr>
      <w:r>
        <w:rPr>
          <w:rFonts w:eastAsia="等线" w:ascii="Arial" w:cs="Arial" w:hAnsi="Arial"/>
          <w:sz w:val="22"/>
        </w:rPr>
        <w:t>第九条 期权的行权价格：经营管理业绩期权和融资奖励业绩期权合计整体对应100万人民币公司注册资本。</w:t>
      </w:r>
    </w:p>
    <w:p>
      <w:pPr>
        <w:spacing w:before="120" w:after="120" w:line="288" w:lineRule="auto"/>
        <w:ind w:left="0" w:firstLine="420"/>
        <w:jc w:val="left"/>
      </w:pPr>
      <w:r>
        <w:rPr>
          <w:rFonts w:eastAsia="等线" w:ascii="Arial" w:cs="Arial" w:hAnsi="Arial"/>
          <w:sz w:val="22"/>
        </w:rPr>
        <w:t>第十条 期权的行权时间：授予对象在获得期权之日起八年内行权完毕，过期不行权的视为放弃。</w:t>
      </w:r>
    </w:p>
    <w:p>
      <w:pPr>
        <w:spacing w:before="120" w:after="120" w:line="288" w:lineRule="auto"/>
        <w:ind w:left="0" w:firstLine="420"/>
        <w:jc w:val="left"/>
      </w:pPr>
      <w:r>
        <w:rPr>
          <w:rFonts w:eastAsia="等线" w:ascii="Arial" w:cs="Arial" w:hAnsi="Arial"/>
          <w:sz w:val="22"/>
        </w:rPr>
        <w:t>第十一条 期权的权利义务：期权在行权之前仅有分红权，每次公司分红时，对于未行权的期权按照应分红额的70%进行分红，授予对象从公司获得分红应首先用于期权的行权；期权在行权后，与公司其他股东同股同权，享有法律和公司制度所规定的所有股东权利和义务。</w:t>
      </w:r>
    </w:p>
    <w:p>
      <w:pPr>
        <w:pStyle w:val="3"/>
        <w:spacing w:before="300" w:after="120" w:line="288" w:lineRule="auto"/>
        <w:ind w:left="0"/>
        <w:jc w:val="center"/>
        <w:outlineLvl w:val="2"/>
      </w:pPr>
      <w:bookmarkStart w:name="heading_76" w:id="76"/>
      <w:r>
        <w:rPr>
          <w:rFonts w:eastAsia="等线" w:ascii="Arial" w:cs="Arial" w:hAnsi="Arial"/>
          <w:b w:val="true"/>
          <w:sz w:val="30"/>
        </w:rPr>
        <w:t>第三节 新设基金股权激励办法参考</w:t>
      </w:r>
      <w:bookmarkEnd w:id="76"/>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与项目方签署投资协议后，根据不同情况将公司在项目中作为管理人所获收益作为奖励分配给参与该项目工作的相关人员，项目估值与股权激励比例对应，估值越高比例越低，比例9%-6%不等，9%的基准估值为投后1亿，低于1亿的股权激励均为9%，6%对应项目最高估值投后4亿，1-4亿之间按比例递减，</w:t>
      </w:r>
    </w:p>
    <w:p>
      <w:pPr>
        <w:spacing w:before="120" w:after="120" w:line="288" w:lineRule="auto"/>
        <w:ind w:left="0" w:firstLine="420"/>
        <w:jc w:val="left"/>
      </w:pPr>
      <w:r>
        <w:rPr>
          <w:rFonts w:eastAsia="等线" w:ascii="Arial" w:cs="Arial" w:hAnsi="Arial"/>
          <w:sz w:val="22"/>
        </w:rPr>
        <w:t>针对已投企业后续轮追加投资，或新成立公司的（含海外），股权激励比例减半。</w:t>
      </w:r>
    </w:p>
    <w:p>
      <w:pPr>
        <w:spacing w:before="120" w:after="120" w:line="288" w:lineRule="auto"/>
        <w:ind w:left="0" w:firstLine="420"/>
        <w:jc w:val="left"/>
      </w:pPr>
      <w:r>
        <w:rPr>
          <w:rFonts w:eastAsia="等线" w:ascii="Arial" w:cs="Arial" w:hAnsi="Arial"/>
          <w:sz w:val="22"/>
        </w:rPr>
        <w:t>原则上领投项目要求生产落地政府引导基金合作方所属地。具体实施参见《附件2531-天衢天秤座基金所投项目股权激励实施细则》。</w:t>
      </w:r>
    </w:p>
    <w:p>
      <w:pPr>
        <w:spacing w:before="120" w:after="120" w:line="288" w:lineRule="auto"/>
        <w:ind w:left="0" w:firstLine="420"/>
        <w:jc w:val="left"/>
      </w:pPr>
      <w:r>
        <w:rPr>
          <w:rFonts w:eastAsia="等线" w:ascii="Arial" w:cs="Arial" w:hAnsi="Arial"/>
          <w:sz w:val="22"/>
        </w:rPr>
        <w:t>天秤座资金中约定的30%B轮后投资用于后续轮投资的部分，主要针对已投项目的后续轮追加投资，股权激励比例最低为3%，对应投后估值为10亿，该部分股权激励的上限参考投后估值为4亿项目股权激励的6%。</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前述奖励（整体比例视为100%）的分配比例原则为：项目部合计占整体奖励股权比例的80%，风控相关人员合计占奖励股权比例的20%。其中项目部所占80%股权比例的分配原则（以下将该80%股权整体视为100%折算）： </w:t>
      </w:r>
    </w:p>
    <w:p>
      <w:pPr>
        <w:numPr>
          <w:numId w:val="223"/>
        </w:numPr>
        <w:spacing w:before="120" w:after="120" w:line="288" w:lineRule="auto"/>
        <w:ind w:left="0"/>
        <w:jc w:val="left"/>
      </w:pPr>
      <w:r>
        <w:rPr>
          <w:rFonts w:eastAsia="等线" w:ascii="Arial" w:cs="Arial" w:hAnsi="Arial"/>
          <w:sz w:val="22"/>
        </w:rPr>
        <w:t>项目部第一负责人即项目经理获45%的股权【注1】；</w:t>
      </w:r>
    </w:p>
    <w:p>
      <w:pPr>
        <w:spacing w:before="120" w:after="120" w:line="288" w:lineRule="auto"/>
        <w:ind w:left="0" w:firstLine="420"/>
        <w:jc w:val="left"/>
      </w:pPr>
      <w:r>
        <w:rPr>
          <w:rFonts w:eastAsia="等线" w:ascii="Arial" w:cs="Arial" w:hAnsi="Arial"/>
          <w:sz w:val="22"/>
        </w:rPr>
        <w:t xml:space="preserve">项目部就股权各自分配比例事先协商达成一致，原则上项目经理在本项目中获得股权比例不低于35%； </w:t>
      </w:r>
    </w:p>
    <w:p>
      <w:pPr>
        <w:numPr>
          <w:numId w:val="224"/>
        </w:numPr>
        <w:spacing w:before="120" w:after="120" w:line="288" w:lineRule="auto"/>
        <w:ind w:left="0"/>
        <w:jc w:val="left"/>
      </w:pPr>
      <w:r>
        <w:rPr>
          <w:rFonts w:eastAsia="等线" w:ascii="Arial" w:cs="Arial" w:hAnsi="Arial"/>
          <w:sz w:val="22"/>
        </w:rPr>
        <w:t>项目部第二负责人获35%的股权；</w:t>
      </w:r>
    </w:p>
    <w:p>
      <w:pPr>
        <w:spacing w:before="120" w:after="120" w:line="288" w:lineRule="auto"/>
        <w:ind w:left="0" w:firstLine="420"/>
        <w:jc w:val="left"/>
      </w:pPr>
      <w:r>
        <w:rPr>
          <w:rFonts w:eastAsia="等线" w:ascii="Arial" w:cs="Arial" w:hAnsi="Arial"/>
          <w:sz w:val="22"/>
        </w:rPr>
        <w:t>（三） 协调人获10%；</w:t>
      </w:r>
    </w:p>
    <w:p>
      <w:pPr>
        <w:spacing w:before="120" w:after="120" w:line="288" w:lineRule="auto"/>
        <w:ind w:left="0" w:firstLine="420"/>
        <w:jc w:val="left"/>
      </w:pPr>
      <w:r>
        <w:rPr>
          <w:rFonts w:eastAsia="等线" w:ascii="Arial" w:cs="Arial" w:hAnsi="Arial"/>
          <w:sz w:val="22"/>
        </w:rPr>
        <w:t>（四） 机动股权共10%（如有），若项目经理已投成1个项目，新项目可以不再设置协调人，协调人的10%并入机动股权，所有机动股权分批成熟，由项目部成员在每一成熟节点协商分配比例，即机动股权的分配比例不是固定不变的，应结合项目部成员在投后管理过程中的表现动态调整。若项目部成员不能达成一致，则由扩大会确定。</w:t>
      </w:r>
    </w:p>
    <w:p>
      <w:pPr>
        <w:spacing w:before="120" w:after="120" w:line="288" w:lineRule="auto"/>
        <w:ind w:left="0" w:firstLine="420"/>
        <w:jc w:val="left"/>
      </w:pPr>
      <w:r>
        <w:rPr>
          <w:rFonts w:eastAsia="等线" w:ascii="Arial" w:cs="Arial" w:hAnsi="Arial"/>
          <w:sz w:val="22"/>
        </w:rPr>
        <w:t>风控相关人员所占奖励股权的20%原则上在参与单一项目的2名专职风控人员中平均分配。风控人员的奖励股权分布以服务年限为单位平均分配到整个项目服务期限。</w:t>
      </w:r>
    </w:p>
    <w:p>
      <w:pPr>
        <w:spacing w:before="120" w:after="120" w:line="288" w:lineRule="auto"/>
        <w:ind w:left="0" w:firstLine="420"/>
        <w:jc w:val="left"/>
      </w:pPr>
      <w:r>
        <w:rPr>
          <w:rFonts w:eastAsia="等线" w:ascii="Arial" w:cs="Arial" w:hAnsi="Arial"/>
          <w:sz w:val="22"/>
        </w:rPr>
        <w:t>专职风控人员每人最多投资1个项目，风控人员作为项目部成员时，回避与所投项目相关的风控工作。风控人员内部分工：以专职风控人员（即风控总监和全职风控）为主，涉及回避项目时，由风控主席承担回避专职风控人员的相关工作，具体股权奖励参照上述办法。</w:t>
      </w:r>
    </w:p>
    <w:p>
      <w:pPr>
        <w:spacing w:before="120" w:after="120" w:line="288" w:lineRule="auto"/>
        <w:ind w:left="0" w:firstLine="420"/>
        <w:jc w:val="left"/>
      </w:pPr>
      <w:r>
        <w:rPr>
          <w:rFonts w:eastAsia="等线" w:ascii="Arial" w:cs="Arial" w:hAnsi="Arial"/>
          <w:sz w:val="22"/>
        </w:rPr>
        <w:t>项目部跟投比例及方式为项目成功过会后,项目部成员合计跟投金额，不得低于公司单笔投资额的1%，跟投比例由项目部成员协商分配，如协商不一致的，按照分配比例等比例划分。</w:t>
      </w:r>
    </w:p>
    <w:p>
      <w:pPr>
        <w:spacing w:before="120" w:after="120" w:line="288" w:lineRule="auto"/>
        <w:ind w:left="0" w:firstLine="420"/>
        <w:jc w:val="left"/>
      </w:pPr>
      <w:r>
        <w:rPr>
          <w:rFonts w:eastAsia="等线" w:ascii="Arial" w:cs="Arial" w:hAnsi="Arial"/>
          <w:sz w:val="22"/>
        </w:rPr>
        <w:t>前述奖励的分配方式为对于项目部成员所获股权激励设立项目服务期和离职保留比例。</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项目股权激励协议由各项目部起草，经扩大会审议通过后签署，签署完毕后项目部应负责将相关协议扫描成电子版连同公司留存纸质版协议一同交由档案管理员存档。上述工作原则上在达到每个分配节点30天内完成。</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员工离职后，公司仍保障该员工持有的已投项目股权的合法权益。</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本规定自股东会审议通过之日起施行。本规定施行前公布的有关规定与本规定不一致的，以本规定为准。</w:t>
      </w:r>
    </w:p>
    <w:p>
      <w:pPr>
        <w:spacing w:before="120" w:after="120" w:line="288" w:lineRule="auto"/>
        <w:ind w:left="0" w:firstLine="0"/>
        <w:jc w:val="left"/>
      </w:pPr>
      <w:r>
        <w:rPr>
          <w:rFonts w:eastAsia="等线" w:ascii="Arial" w:cs="Arial" w:hAnsi="Arial"/>
          <w:sz w:val="22"/>
        </w:rPr>
        <w:t>【</w:t>
      </w:r>
      <w:r>
        <w:rPr>
          <w:rFonts w:eastAsia="等线" w:ascii="Arial" w:cs="Arial" w:hAnsi="Arial"/>
          <w:b w:val="true"/>
          <w:sz w:val="22"/>
        </w:rPr>
        <w:t>注 1</w:t>
      </w:r>
      <w:r>
        <w:rPr>
          <w:rFonts w:eastAsia="等线" w:ascii="Arial" w:cs="Arial" w:hAnsi="Arial"/>
          <w:sz w:val="22"/>
        </w:rPr>
        <w:t>】 股权是指经各方协商一致，直接持有项目公司的股份。</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附件：</w:t>
      </w:r>
    </w:p>
    <w:p>
      <w:pPr>
        <w:spacing w:before="120" w:after="120" w:line="288" w:lineRule="auto"/>
        <w:ind w:left="453"/>
        <w:jc w:val="left"/>
      </w:pPr>
      <w:hyperlink r:id="rId59">
        <w:r>
          <w:rPr>
            <w:rFonts w:eastAsia="等线" w:ascii="Arial" w:cs="Arial" w:hAnsi="Arial"/>
            <w:color w:val="3370ff"/>
            <w:sz w:val="22"/>
          </w:rPr>
          <w:t>附件2531-天衢天秤座基金所投项目股权激励实施细则 202309</w:t>
        </w:r>
      </w:hyperlink>
    </w:p>
    <w:p>
      <w:pPr>
        <w:spacing w:before="120" w:after="120" w:line="288" w:lineRule="auto"/>
        <w:ind w:left="0" w:firstLine="420"/>
        <w:jc w:val="left"/>
      </w:pPr>
      <w:hyperlink r:id="rId60">
        <w:r>
          <w:rPr>
            <w:rFonts w:eastAsia="等线" w:ascii="Arial" w:cs="Arial" w:hAnsi="Arial"/>
            <w:color w:val="3370ff"/>
            <w:sz w:val="22"/>
          </w:rPr>
          <w:t>附件2541-同润白羊座基金股权激励办法</w:t>
        </w:r>
      </w:hyperlink>
    </w:p>
    <w:p>
      <w:pPr>
        <w:spacing w:before="120" w:after="120" w:line="288" w:lineRule="auto"/>
        <w:ind w:left="0" w:firstLine="420"/>
        <w:jc w:val="left"/>
      </w:pPr>
      <w:hyperlink r:id="rId61">
        <w:r>
          <w:rPr>
            <w:rFonts w:eastAsia="等线" w:ascii="Arial" w:cs="Arial" w:hAnsi="Arial"/>
            <w:color w:val="3370ff"/>
            <w:sz w:val="22"/>
          </w:rPr>
          <w:t>附件2542-昆嵛双子座基金股权激励办法</w:t>
        </w:r>
      </w:hyperlink>
    </w:p>
    <w:p>
      <w:pPr>
        <w:spacing w:before="120" w:after="120" w:line="288" w:lineRule="auto"/>
        <w:ind w:left="0" w:firstLine="420"/>
        <w:jc w:val="left"/>
      </w:pPr>
      <w:hyperlink r:id="rId62">
        <w:r>
          <w:rPr>
            <w:rFonts w:eastAsia="等线" w:ascii="Arial" w:cs="Arial" w:hAnsi="Arial"/>
            <w:color w:val="3370ff"/>
            <w:sz w:val="22"/>
          </w:rPr>
          <w:t>附件2543-昆嵛双子座基金所投项目股权激励实施细则 202203</w:t>
        </w:r>
      </w:hyperlink>
    </w:p>
    <w:p>
      <w:pPr>
        <w:spacing w:before="120" w:after="120" w:line="288" w:lineRule="auto"/>
        <w:ind w:left="0" w:firstLine="420"/>
        <w:jc w:val="left"/>
      </w:pPr>
      <w:hyperlink r:id="rId63">
        <w:r>
          <w:rPr>
            <w:rFonts w:eastAsia="等线" w:ascii="Arial" w:cs="Arial" w:hAnsi="Arial"/>
            <w:color w:val="3370ff"/>
            <w:sz w:val="22"/>
          </w:rPr>
          <w:t>附件2544-项目内部奖励分配方案模板202203</w:t>
        </w:r>
      </w:hyperlink>
    </w:p>
    <w:p>
      <w:pPr>
        <w:spacing w:before="120" w:after="120" w:line="288" w:lineRule="auto"/>
        <w:ind w:left="0" w:firstLine="420"/>
        <w:jc w:val="left"/>
      </w:pPr>
      <w:hyperlink r:id="rId64">
        <w:r>
          <w:rPr>
            <w:rFonts w:eastAsia="等线" w:ascii="Arial" w:cs="Arial" w:hAnsi="Arial"/>
            <w:color w:val="3370ff"/>
            <w:sz w:val="22"/>
          </w:rPr>
          <w:t>附件2545-项目股权奖励协议模板202108</w:t>
        </w:r>
      </w:hyperlink>
    </w:p>
    <w:p>
      <w:pPr>
        <w:spacing w:before="120" w:after="120" w:line="288" w:lineRule="auto"/>
        <w:ind w:left="0" w:firstLine="420"/>
        <w:jc w:val="left"/>
      </w:pPr>
      <w:hyperlink r:id="rId65">
        <w:r>
          <w:rPr>
            <w:rFonts w:eastAsia="等线" w:ascii="Arial" w:cs="Arial" w:hAnsi="Arial"/>
            <w:color w:val="3370ff"/>
            <w:sz w:val="22"/>
          </w:rPr>
          <w:t>附件2546-项目部股权奖励协议计算模板</w:t>
        </w:r>
      </w:hyperlink>
    </w:p>
    <w:p>
      <w:pPr>
        <w:spacing w:before="120" w:after="120" w:line="288" w:lineRule="auto"/>
        <w:ind w:left="0" w:firstLine="420"/>
        <w:jc w:val="left"/>
      </w:pPr>
      <w:hyperlink r:id="rId66">
        <w:r>
          <w:rPr>
            <w:rFonts w:eastAsia="等线" w:ascii="Arial" w:cs="Arial" w:hAnsi="Arial"/>
            <w:color w:val="3370ff"/>
            <w:sz w:val="22"/>
          </w:rPr>
          <w:t>附件2547-项目股权代持协议书202208</w:t>
        </w:r>
      </w:hyperlink>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77" w:id="77"/>
      <w:r>
        <w:rPr>
          <w:rFonts w:eastAsia="等线" w:ascii="Arial" w:cs="Arial" w:hAnsi="Arial"/>
          <w:b w:val="true"/>
          <w:sz w:val="32"/>
        </w:rPr>
        <w:t>第六章 人力资源管理</w:t>
      </w:r>
      <w:bookmarkEnd w:id="77"/>
    </w:p>
    <w:p>
      <w:pPr>
        <w:pStyle w:val="3"/>
        <w:spacing w:before="300" w:after="120" w:line="288" w:lineRule="auto"/>
        <w:ind w:left="0"/>
        <w:jc w:val="center"/>
        <w:outlineLvl w:val="2"/>
      </w:pPr>
      <w:bookmarkStart w:name="heading_78" w:id="78"/>
      <w:r>
        <w:rPr>
          <w:rFonts w:eastAsia="等线" w:ascii="Arial" w:cs="Arial" w:hAnsi="Arial"/>
          <w:b w:val="true"/>
          <w:sz w:val="30"/>
        </w:rPr>
        <w:t>第一节 薪酬福利管理规定（</w:t>
      </w:r>
      <w:r>
        <w:rPr>
          <w:rFonts w:eastAsia="等线" w:ascii="Arial" w:cs="Arial" w:hAnsi="Arial"/>
          <w:b w:val="true"/>
          <w:color w:val="3370ff"/>
          <w:sz w:val="30"/>
        </w:rPr>
        <w:t>@丁泉惠</w:t>
      </w:r>
      <w:r>
        <w:rPr>
          <w:rFonts w:eastAsia="等线" w:ascii="Arial" w:cs="Arial" w:hAnsi="Arial"/>
          <w:b w:val="true"/>
          <w:color w:val="3370ff"/>
          <w:sz w:val="30"/>
        </w:rPr>
        <w:t>@刘绍辉</w:t>
      </w:r>
      <w:r>
        <w:rPr>
          <w:rFonts w:eastAsia="等线" w:ascii="Arial" w:cs="Arial" w:hAnsi="Arial"/>
          <w:b w:val="true"/>
          <w:sz w:val="30"/>
        </w:rPr>
        <w:t>）（扩大会）</w:t>
      </w:r>
      <w:bookmarkEnd w:id="78"/>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为了规范公司的薪酬福利管理，吸引优秀人才，提高公司的可持续发展能力，特制定本规定。</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全职员工薪酬由税前基础工资和绩效工资组成。</w:t>
      </w:r>
    </w:p>
    <w:p>
      <w:pPr>
        <w:spacing w:before="120" w:after="120" w:line="288" w:lineRule="auto"/>
        <w:ind w:left="0" w:firstLine="420"/>
        <w:jc w:val="left"/>
      </w:pPr>
      <w:r>
        <w:rPr>
          <w:rFonts w:eastAsia="等线" w:ascii="Arial" w:cs="Arial" w:hAnsi="Arial"/>
          <w:sz w:val="22"/>
        </w:rPr>
        <w:t>（一） 税前工资根据学历、在公司工作年限等予以核定，过往工作经历与公司主营业务相符属同一阶段、同一领域且原岗位与公司招聘要求相符，经扩大会认定可以计入在公司工作年限；绩效工资按半年度分两次发放分别于当年7月和次年1月分两次发放，绩效工资根据每半年度绩效考核结果评定，具体发放标准请参照附件4621；</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（二） 试用期薪酬：试用期为两个月，按照应发税前基础工资的100%发放。</w:t>
      </w:r>
    </w:p>
    <w:p>
      <w:pPr>
        <w:spacing w:before="120" w:after="120" w:line="288" w:lineRule="auto"/>
        <w:ind w:left="0"/>
        <w:jc w:val="left"/>
      </w:pPr>
      <w:r>
        <w:rPr>
          <w:rFonts w:eastAsia="等线" w:ascii="Arial" w:cs="Arial" w:hAnsi="Arial"/>
          <w:sz w:val="22"/>
        </w:rPr>
        <w:t xml:space="preserve">       （三） 采用飞书工具到期提醒员工工作期限到期调薪、劳动合同到期续签等事项</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公司实行月薪制。每月4日支付上月薪酬并在飞书中向员工发送工资单，若付薪日遇节假日或休息日，则提前至节假日或休息日之前的工作日发放，若遇特殊情况，可酌情于节假日或休息日之后的工作日发放。</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公司根据国家相关政策和规定为员工缴纳五险一金，并根据国家有关政策的变动情况，适时、适度调整。</w:t>
      </w:r>
    </w:p>
    <w:p>
      <w:pPr>
        <w:spacing w:before="120" w:after="120" w:line="288" w:lineRule="auto"/>
        <w:ind w:left="0" w:firstLine="420"/>
        <w:jc w:val="left"/>
      </w:pPr>
      <w:r>
        <w:rPr>
          <w:rFonts w:eastAsia="等线" w:ascii="Arial" w:cs="Arial" w:hAnsi="Arial"/>
          <w:sz w:val="22"/>
        </w:rPr>
        <w:t>新参加工作的员工，自参加工作的第二个月开始缴存住房公积金；其他员工自工资发放之日起缴存。</w:t>
      </w:r>
    </w:p>
    <w:p>
      <w:pPr>
        <w:spacing w:before="120" w:after="120" w:line="288" w:lineRule="auto"/>
        <w:ind w:left="0" w:firstLine="420"/>
        <w:jc w:val="left"/>
      </w:pPr>
      <w:r>
        <w:rPr>
          <w:rFonts w:eastAsia="等线" w:ascii="Arial" w:cs="Arial" w:hAnsi="Arial"/>
          <w:sz w:val="22"/>
        </w:rPr>
        <w:t>公司按照《住房公积金管理条例》的相关规定办理缴存登记、住房公积金账户的设立或转移手续。</w:t>
      </w:r>
    </w:p>
    <w:p>
      <w:pPr>
        <w:spacing w:before="120" w:after="120" w:line="288" w:lineRule="auto"/>
        <w:ind w:left="0" w:firstLine="420"/>
        <w:jc w:val="left"/>
      </w:pPr>
      <w:r>
        <w:rPr>
          <w:rFonts w:eastAsia="等线" w:ascii="Arial" w:cs="Arial" w:hAnsi="Arial"/>
          <w:sz w:val="22"/>
        </w:rPr>
        <w:t>公司与员工解除或终止劳动关系的，单位应当自劳动关系解除或终止之日起30日内人力管理员进行办理变更登记、社保账户、住房公积金账户转移或封存手续。</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员工依法享受法定节假日、婚假、产假等假期。主要假别薪酬支付标准如下：</w:t>
      </w:r>
    </w:p>
    <w:p>
      <w:pPr>
        <w:spacing w:before="120" w:after="120" w:line="288" w:lineRule="auto"/>
        <w:ind w:left="0" w:firstLine="420"/>
        <w:jc w:val="left"/>
      </w:pPr>
      <w:r>
        <w:rPr>
          <w:rFonts w:eastAsia="等线" w:ascii="Arial" w:cs="Arial" w:hAnsi="Arial"/>
          <w:sz w:val="22"/>
        </w:rPr>
        <w:t>（一） 事假：不予发放；</w:t>
      </w:r>
    </w:p>
    <w:p>
      <w:pPr>
        <w:spacing w:before="120" w:after="120" w:line="288" w:lineRule="auto"/>
        <w:ind w:left="0" w:firstLine="420"/>
        <w:jc w:val="left"/>
      </w:pPr>
      <w:r>
        <w:rPr>
          <w:rFonts w:eastAsia="等线" w:ascii="Arial" w:cs="Arial" w:hAnsi="Arial"/>
          <w:sz w:val="22"/>
        </w:rPr>
        <w:t>（二） 病假：税前工资按照劳动法的规定发放；</w:t>
      </w:r>
    </w:p>
    <w:p>
      <w:pPr>
        <w:spacing w:before="120" w:after="120" w:line="288" w:lineRule="auto"/>
        <w:ind w:left="0" w:firstLine="420"/>
        <w:jc w:val="left"/>
      </w:pPr>
      <w:r>
        <w:rPr>
          <w:rFonts w:eastAsia="等线" w:ascii="Arial" w:cs="Arial" w:hAnsi="Arial"/>
          <w:sz w:val="22"/>
        </w:rPr>
        <w:t>（三） 产前假：参照病假标准；</w:t>
      </w:r>
    </w:p>
    <w:p>
      <w:pPr>
        <w:spacing w:before="120" w:after="120" w:line="288" w:lineRule="auto"/>
        <w:ind w:left="0" w:firstLine="420"/>
        <w:jc w:val="left"/>
      </w:pPr>
      <w:r>
        <w:rPr>
          <w:rFonts w:eastAsia="等线" w:ascii="Arial" w:cs="Arial" w:hAnsi="Arial"/>
          <w:sz w:val="22"/>
        </w:rPr>
        <w:t>（四） 其他假期，如无特殊说明：按正常出勤结算；</w:t>
      </w:r>
    </w:p>
    <w:p>
      <w:pPr>
        <w:spacing w:before="120" w:after="120" w:line="288" w:lineRule="auto"/>
        <w:ind w:left="0" w:firstLine="420"/>
        <w:jc w:val="left"/>
      </w:pPr>
      <w:r>
        <w:rPr>
          <w:rFonts w:eastAsia="等线" w:ascii="Arial" w:cs="Arial" w:hAnsi="Arial"/>
          <w:sz w:val="22"/>
        </w:rPr>
        <w:t>（五）主要假期规定如下：</w:t>
      </w:r>
    </w:p>
    <w:p>
      <w:pPr>
        <w:spacing w:before="120" w:after="120" w:line="288" w:lineRule="auto"/>
        <w:ind w:left="0" w:firstLine="420"/>
        <w:jc w:val="left"/>
      </w:pPr>
      <w:r>
        <w:rPr>
          <w:rFonts w:eastAsia="等线" w:ascii="Arial" w:cs="Arial" w:hAnsi="Arial"/>
          <w:sz w:val="22"/>
        </w:rPr>
        <w:t>婚假10天（含双休日及法定节假日），一次性休完；</w:t>
      </w:r>
    </w:p>
    <w:p>
      <w:pPr>
        <w:spacing w:before="120" w:after="120" w:line="288" w:lineRule="auto"/>
        <w:ind w:left="0" w:firstLine="420"/>
        <w:jc w:val="left"/>
      </w:pPr>
      <w:r>
        <w:rPr>
          <w:rFonts w:eastAsia="等线" w:ascii="Arial" w:cs="Arial" w:hAnsi="Arial"/>
          <w:sz w:val="22"/>
        </w:rPr>
        <w:t>丧假（父母、配偶和子女）3天，一次性休完；</w:t>
      </w:r>
    </w:p>
    <w:p>
      <w:pPr>
        <w:spacing w:before="120" w:after="120" w:line="288" w:lineRule="auto"/>
        <w:ind w:left="0" w:firstLine="420"/>
        <w:jc w:val="left"/>
      </w:pPr>
      <w:r>
        <w:rPr>
          <w:rFonts w:eastAsia="等线" w:ascii="Arial" w:cs="Arial" w:hAnsi="Arial"/>
          <w:sz w:val="22"/>
        </w:rPr>
        <w:t>产检假：15天；</w:t>
      </w:r>
    </w:p>
    <w:p>
      <w:pPr>
        <w:spacing w:before="120" w:after="120" w:line="288" w:lineRule="auto"/>
        <w:ind w:left="0" w:firstLine="420"/>
        <w:jc w:val="left"/>
      </w:pPr>
      <w:r>
        <w:rPr>
          <w:rFonts w:eastAsia="等线" w:ascii="Arial" w:cs="Arial" w:hAnsi="Arial"/>
          <w:sz w:val="22"/>
        </w:rPr>
        <w:t>产假：女职工产假158天（含双休日及法定节假日），一次性休完。难产增加15天（医院出具证明）；多胞胎每多1胎增加15天。怀孕未满4个月流产的，享受15天产假；怀孕满4个月流产的，享受42天产假。</w:t>
      </w:r>
    </w:p>
    <w:p>
      <w:pPr>
        <w:spacing w:before="120" w:after="120" w:line="288" w:lineRule="auto"/>
        <w:ind w:left="0" w:firstLine="420"/>
        <w:jc w:val="left"/>
      </w:pPr>
      <w:r>
        <w:rPr>
          <w:rFonts w:eastAsia="等线" w:ascii="Arial" w:cs="Arial" w:hAnsi="Arial"/>
          <w:sz w:val="22"/>
        </w:rPr>
        <w:t>哺乳假：婴儿未满一周岁时，女职工每天享受1小时哺乳假；</w:t>
      </w:r>
    </w:p>
    <w:p>
      <w:pPr>
        <w:spacing w:before="120" w:after="120" w:line="288" w:lineRule="auto"/>
        <w:ind w:left="0" w:firstLine="420"/>
        <w:jc w:val="left"/>
      </w:pPr>
      <w:r>
        <w:rPr>
          <w:rFonts w:eastAsia="等线" w:ascii="Arial" w:cs="Arial" w:hAnsi="Arial"/>
          <w:sz w:val="22"/>
        </w:rPr>
        <w:t>陪产假：北京男职工15天，上海男职工10天，含双休日及法定节假日，一次性休完；</w:t>
      </w:r>
    </w:p>
    <w:p>
      <w:pPr>
        <w:spacing w:before="120" w:after="120" w:line="288" w:lineRule="auto"/>
        <w:ind w:left="0" w:firstLine="420"/>
        <w:jc w:val="left"/>
      </w:pPr>
      <w:r>
        <w:rPr>
          <w:rFonts w:eastAsia="等线" w:ascii="Arial" w:cs="Arial" w:hAnsi="Arial"/>
          <w:sz w:val="22"/>
        </w:rPr>
        <w:t>育儿假：子女满3周岁之前，每年可享受5天育儿假；</w:t>
      </w:r>
    </w:p>
    <w:p>
      <w:pPr>
        <w:spacing w:before="120" w:after="120" w:line="288" w:lineRule="auto"/>
        <w:ind w:left="0" w:firstLine="420"/>
        <w:jc w:val="left"/>
      </w:pPr>
      <w:r>
        <w:rPr>
          <w:rFonts w:eastAsia="等线" w:ascii="Arial" w:cs="Arial" w:hAnsi="Arial"/>
          <w:sz w:val="22"/>
        </w:rPr>
        <w:t>独生子女护理假：上海暂不设置该假期；北京员工符合条件的每年可享受10天假期，假期使用时，需医疗机构出具父母的诊断证明、住院证明等。</w:t>
      </w:r>
    </w:p>
    <w:p>
      <w:pPr>
        <w:spacing w:before="120" w:after="120" w:line="288" w:lineRule="auto"/>
        <w:ind w:left="0" w:firstLine="420"/>
        <w:jc w:val="left"/>
      </w:pPr>
      <w:r>
        <w:rPr>
          <w:rFonts w:eastAsia="等线" w:ascii="Arial" w:cs="Arial" w:hAnsi="Arial"/>
          <w:sz w:val="22"/>
        </w:rPr>
        <w:t>（六） 公休假：按正常出勤结算；</w:t>
      </w:r>
    </w:p>
    <w:p>
      <w:pPr>
        <w:spacing w:before="120" w:after="120" w:line="288" w:lineRule="auto"/>
        <w:ind w:left="0" w:firstLine="420"/>
        <w:jc w:val="left"/>
      </w:pPr>
      <w:r>
        <w:rPr>
          <w:rFonts w:eastAsia="等线" w:ascii="Arial" w:cs="Arial" w:hAnsi="Arial"/>
          <w:sz w:val="22"/>
        </w:rPr>
        <w:t>（七） 年休假：按正常出勤结算；</w:t>
      </w:r>
    </w:p>
    <w:p>
      <w:pPr>
        <w:spacing w:before="120" w:after="120" w:line="288" w:lineRule="auto"/>
        <w:ind w:left="0" w:firstLine="420"/>
        <w:jc w:val="left"/>
      </w:pPr>
      <w:r>
        <w:rPr>
          <w:rFonts w:eastAsia="等线" w:ascii="Arial" w:cs="Arial" w:hAnsi="Arial"/>
          <w:sz w:val="22"/>
        </w:rPr>
        <w:t>（八）各公司自己管理各公司放假安排， 春节假期在法定节假日的基础上原则上额外放假4天。放假具体安排由主管副总经理确定；管理员应提前2个月发送放假通知。</w:t>
      </w:r>
      <w:r>
        <w:rPr>
          <w:rFonts w:eastAsia="等线" w:ascii="Arial" w:cs="Arial" w:hAnsi="Arial"/>
          <w:sz w:val="22"/>
        </w:rPr>
        <w:t>（扩大会，202602）</w:t>
      </w:r>
    </w:p>
    <w:p>
      <w:pPr>
        <w:spacing w:before="120" w:after="120" w:line="288" w:lineRule="auto"/>
        <w:ind w:left="0" w:firstLine="420"/>
        <w:jc w:val="left"/>
      </w:pPr>
      <w:r>
        <w:rPr>
          <w:rFonts w:eastAsia="等线" w:ascii="Arial" w:cs="Arial" w:hAnsi="Arial"/>
          <w:sz w:val="22"/>
        </w:rPr>
        <w:t>（九）元宵节：下午放假半天</w:t>
      </w:r>
    </w:p>
    <w:p>
      <w:pPr>
        <w:spacing w:before="120" w:after="120" w:line="288" w:lineRule="auto"/>
        <w:ind w:left="0" w:firstLine="420"/>
        <w:jc w:val="left"/>
      </w:pPr>
      <w:r>
        <w:rPr>
          <w:rFonts w:eastAsia="等线" w:ascii="Arial" w:cs="Arial" w:hAnsi="Arial"/>
          <w:sz w:val="22"/>
        </w:rPr>
        <w:t>（十） 三八节、五四青年节等其他福利假按照国家规定执行。管理员在飞书中添加员工福利假时，应邮件告知总经理和副总经理相关情况。</w:t>
      </w:r>
    </w:p>
    <w:p>
      <w:pPr>
        <w:spacing w:before="120" w:after="120" w:line="288" w:lineRule="auto"/>
        <w:ind w:left="0"/>
        <w:jc w:val="left"/>
      </w:pPr>
      <w:r>
        <w:rPr>
          <w:rFonts w:eastAsia="等线" w:ascii="Arial" w:cs="Arial" w:hAnsi="Arial"/>
          <w:sz w:val="22"/>
        </w:rPr>
        <w:t xml:space="preserve">      （十一）因行政人员业务招待导致非工作时间加班，可以申请福利假，在福利假中增加相应天数。</w:t>
      </w:r>
    </w:p>
    <w:p>
      <w:pPr>
        <w:spacing w:before="120" w:after="120" w:line="288" w:lineRule="auto"/>
        <w:ind w:left="0" w:firstLine="420"/>
        <w:jc w:val="left"/>
      </w:pPr>
      <w:r>
        <w:rPr>
          <w:rFonts w:eastAsia="等线" w:ascii="Arial" w:cs="Arial" w:hAnsi="Arial"/>
          <w:sz w:val="22"/>
        </w:rPr>
        <w:t>（十二）员工的法定节假日依据工作期间所在国的法定节假日执行（例如，在美国出差期间，则根据美国的法定节假日执行）</w:t>
      </w:r>
      <w:r>
        <w:rPr>
          <w:rFonts w:eastAsia="等线" w:ascii="Arial" w:cs="Arial" w:hAnsi="Arial"/>
          <w:sz w:val="22"/>
        </w:rPr>
        <w:t>。</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公司为员工提供带薪休假。</w:t>
      </w:r>
    </w:p>
    <w:p>
      <w:pPr>
        <w:spacing w:before="120" w:after="120" w:line="288" w:lineRule="auto"/>
        <w:ind w:left="0" w:firstLine="420"/>
        <w:jc w:val="left"/>
      </w:pPr>
      <w:r>
        <w:rPr>
          <w:rFonts w:eastAsia="等线" w:ascii="Arial" w:cs="Arial" w:hAnsi="Arial"/>
          <w:sz w:val="22"/>
        </w:rPr>
        <w:t>员工工作不满一年，年休假3天；员工累计工作已满1年不满10年的，年休假8天；已满10年不满20年的，年休假11天；已满20年的，年休假16天。例如：2021年9月1日开始工作，则2022年的年假为8*（1/3）=2.7天，四舍五入后为3天；2012年9月1日开始工作，则2022年的年假为8*（2/3)+11*(1/3)=9天。</w:t>
      </w:r>
    </w:p>
    <w:p>
      <w:pPr>
        <w:spacing w:before="120" w:after="120" w:line="288" w:lineRule="auto"/>
        <w:ind w:left="0" w:firstLine="420"/>
        <w:jc w:val="left"/>
      </w:pPr>
      <w:r>
        <w:rPr>
          <w:rFonts w:eastAsia="等线" w:ascii="Arial" w:cs="Arial" w:hAnsi="Arial"/>
          <w:sz w:val="22"/>
        </w:rPr>
        <w:t>员工新进公司且连续工作1年以上的，当年度年休假天数，按照在公司剩余日历天数折算确定，折算后不足1整天的部分不享受带薪年假。</w:t>
      </w:r>
    </w:p>
    <w:p>
      <w:pPr>
        <w:spacing w:before="120" w:after="120" w:line="288" w:lineRule="auto"/>
        <w:ind w:left="0" w:firstLine="420"/>
        <w:jc w:val="left"/>
      </w:pPr>
      <w:r>
        <w:rPr>
          <w:rFonts w:eastAsia="等线" w:ascii="Arial" w:cs="Arial" w:hAnsi="Arial"/>
          <w:sz w:val="22"/>
        </w:rPr>
        <w:t>前款规定的折算方法为：(当年度在本单位剩余日历天数÷365天)×员工本人全年应当享受的年假天数。</w:t>
      </w:r>
    </w:p>
    <w:p>
      <w:pPr>
        <w:spacing w:before="120" w:after="120" w:line="288" w:lineRule="auto"/>
        <w:ind w:left="0" w:firstLine="420"/>
        <w:jc w:val="left"/>
      </w:pPr>
      <w:r>
        <w:rPr>
          <w:rFonts w:eastAsia="等线" w:ascii="Arial" w:cs="Arial" w:hAnsi="Arial"/>
          <w:sz w:val="22"/>
        </w:rPr>
        <w:t>当年年休假未使用完毕可自动沿用至次年并且最多沿用一年。</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公司为员工安排年度体检，原则上安排在每年9月份进行，以公立医院/专业连锁体检机构为优先选择。 </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公司每年组织定期及不定期团建活动。有关团建活动的具体安排参见《团队活动管理制度》。</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薪酬调整机制</w:t>
      </w:r>
    </w:p>
    <w:p>
      <w:pPr>
        <w:spacing w:before="120" w:after="120" w:line="288" w:lineRule="auto"/>
        <w:ind w:left="0" w:firstLine="420"/>
        <w:jc w:val="left"/>
      </w:pPr>
      <w:r>
        <w:rPr>
          <w:rFonts w:eastAsia="等线" w:ascii="Arial" w:cs="Arial" w:hAnsi="Arial"/>
          <w:sz w:val="22"/>
        </w:rPr>
        <w:t>因绩效考核而进行的薪酬调整根据《绩效考核管理规定》的相关条款执行；审批通过的调整方案和各项薪酬发放方案由管理员执行,并通知财务人员实施。</w:t>
      </w:r>
    </w:p>
    <w:p>
      <w:pPr>
        <w:spacing w:before="120" w:after="120" w:line="288" w:lineRule="auto"/>
        <w:ind w:left="0" w:firstLine="420"/>
        <w:jc w:val="left"/>
      </w:pPr>
      <w:r>
        <w:rPr>
          <w:rFonts w:eastAsia="等线" w:ascii="Arial" w:cs="Arial" w:hAnsi="Arial"/>
          <w:b w:val="true"/>
          <w:sz w:val="22"/>
        </w:rPr>
        <w:t>第十条</w:t>
      </w:r>
      <w:r>
        <w:rPr>
          <w:rFonts w:eastAsia="等线" w:ascii="Arial" w:cs="Arial" w:hAnsi="Arial"/>
          <w:sz w:val="22"/>
        </w:rPr>
        <w:t xml:space="preserve"> 离职人员的薪酬于办妥离职及移交手续后随同当月工资一同发放，离职人员半年度绩效考核按照《离职管理制度》的有关规定办理，发放时间不晚于当期公司规定绩效发放日。</w:t>
      </w:r>
    </w:p>
    <w:p>
      <w:pPr>
        <w:spacing w:before="120" w:after="120" w:line="288" w:lineRule="auto"/>
        <w:ind w:left="0" w:firstLine="420"/>
        <w:jc w:val="left"/>
      </w:pPr>
      <w:r>
        <w:rPr>
          <w:rFonts w:eastAsia="等线" w:ascii="Arial" w:cs="Arial" w:hAnsi="Arial"/>
          <w:sz w:val="22"/>
        </w:rPr>
        <w:t>根据附件4621因工作年限变化工资档位发生调整的，由工作年限条件满足的次月起算。以上期考核后的工资为基础，加上原档位与工作年限调整后档位的差额，该合计金额为当期半年度考核的参数带入绩效考核制度计算公式。</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兼职人员</w:t>
      </w:r>
    </w:p>
    <w:p>
      <w:pPr>
        <w:spacing w:before="120" w:after="120" w:line="288" w:lineRule="auto"/>
        <w:ind w:left="0" w:firstLine="420"/>
        <w:jc w:val="left"/>
      </w:pPr>
      <w:r>
        <w:rPr>
          <w:rFonts w:eastAsia="等线" w:ascii="Arial" w:cs="Arial" w:hAnsi="Arial"/>
          <w:sz w:val="22"/>
        </w:rPr>
        <w:t>为降低公司运营成本、提高汇聚资源、增加信息来源、提高公司运营水平市场规定，公司聘请多名兼职人员，兼职人员与专职人员实行不同的激励机制。</w:t>
      </w:r>
    </w:p>
    <w:p>
      <w:pPr>
        <w:spacing w:before="120" w:after="120" w:line="288" w:lineRule="auto"/>
        <w:ind w:left="0" w:firstLine="420"/>
        <w:jc w:val="left"/>
      </w:pPr>
      <w:r>
        <w:rPr>
          <w:rFonts w:eastAsia="等线" w:ascii="Arial" w:cs="Arial" w:hAnsi="Arial"/>
          <w:sz w:val="22"/>
        </w:rPr>
        <w:t>（一）兼职人员与公司签订兼职聘任合同，合同期满后，双方协商是否续签合同；</w:t>
      </w:r>
    </w:p>
    <w:p>
      <w:pPr>
        <w:spacing w:before="120" w:after="120" w:line="288" w:lineRule="auto"/>
        <w:ind w:left="0" w:firstLine="420"/>
        <w:jc w:val="left"/>
      </w:pPr>
      <w:r>
        <w:rPr>
          <w:rFonts w:eastAsia="等线" w:ascii="Arial" w:cs="Arial" w:hAnsi="Arial"/>
          <w:sz w:val="22"/>
        </w:rPr>
        <w:t>（二）兼职人员不在公司但任实际职务，不需要到公司坐班，不参与公司日常管理，不配备办公用品及相关设备，不领取薪酬；</w:t>
      </w:r>
    </w:p>
    <w:p>
      <w:pPr>
        <w:spacing w:before="120" w:after="120" w:line="288" w:lineRule="auto"/>
        <w:ind w:left="0" w:firstLine="420"/>
        <w:jc w:val="left"/>
      </w:pPr>
      <w:r>
        <w:rPr>
          <w:rFonts w:eastAsia="等线" w:ascii="Arial" w:cs="Arial" w:hAnsi="Arial"/>
          <w:sz w:val="22"/>
        </w:rPr>
        <w:t>（三）在所投企业兼职兼薪及其他相关待遇等由所投企业董事会决定，公司不予干涉。</w:t>
      </w:r>
    </w:p>
    <w:p>
      <w:pPr>
        <w:spacing w:before="120" w:after="120" w:line="288" w:lineRule="auto"/>
        <w:ind w:left="0" w:firstLine="420"/>
        <w:jc w:val="left"/>
      </w:pPr>
      <w:r>
        <w:rPr>
          <w:rFonts w:eastAsia="等线" w:ascii="Arial" w:cs="Arial" w:hAnsi="Arial"/>
          <w:sz w:val="22"/>
        </w:rPr>
        <w:t>前述人员须与公司解除劳动合同后与所投企业签订新的劳动合同，并适用所投企业的薪酬福利管理制度。</w:t>
      </w: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本制度不适用于实习人员。</w:t>
      </w:r>
    </w:p>
    <w:p>
      <w:pPr>
        <w:spacing w:before="120" w:after="120" w:line="288" w:lineRule="auto"/>
        <w:ind w:left="0" w:firstLine="420"/>
        <w:jc w:val="left"/>
      </w:pPr>
      <w:r>
        <w:rPr>
          <w:rFonts w:eastAsia="等线" w:ascii="Arial" w:cs="Arial" w:hAnsi="Arial"/>
          <w:b w:val="true"/>
          <w:sz w:val="22"/>
        </w:rPr>
        <w:t>第十四条</w:t>
      </w:r>
      <w:r>
        <w:rPr>
          <w:rFonts w:eastAsia="等线" w:ascii="Arial" w:cs="Arial" w:hAnsi="Arial"/>
          <w:sz w:val="22"/>
        </w:rPr>
        <w:t xml:space="preserve"> 薪酬福利根据公司发展阶段适时考虑调整。</w:t>
      </w:r>
    </w:p>
    <w:p>
      <w:pPr>
        <w:spacing w:before="120" w:after="120" w:line="288" w:lineRule="auto"/>
        <w:ind w:left="0" w:firstLine="420"/>
        <w:jc w:val="left"/>
      </w:pPr>
      <w:r>
        <w:rPr>
          <w:rFonts w:eastAsia="等线" w:ascii="Arial" w:cs="Arial" w:hAnsi="Arial"/>
          <w:sz w:val="22"/>
        </w:rPr>
        <w:t>高管补助：总经理5000元/月，董事长、监事会主席、副总经理、财务总监、风控主席、风控总监3000元/月，全职监事、董事2000元/月，同时担任以上两、三个职务的补助只发放一份，发放标准就高不就低。</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附件：</w:t>
      </w:r>
    </w:p>
    <w:p>
      <w:pPr>
        <w:spacing w:before="120" w:after="120" w:line="288" w:lineRule="auto"/>
        <w:ind w:left="0"/>
        <w:jc w:val="left"/>
      </w:pPr>
      <w:r>
        <w:rPr>
          <w:rFonts w:eastAsia="等线" w:ascii="Arial" w:cs="Arial" w:hAnsi="Arial"/>
          <w:sz w:val="22"/>
        </w:rPr>
        <w:t xml:space="preserve">     </w:t>
      </w:r>
      <w:hyperlink r:id="rId67">
        <w:r>
          <w:rPr>
            <w:rFonts w:eastAsia="等线" w:ascii="Arial" w:cs="Arial" w:hAnsi="Arial"/>
            <w:color w:val="3370ff"/>
            <w:sz w:val="22"/>
          </w:rPr>
          <w:t>附件4611-薪酬表 202503</w:t>
        </w:r>
      </w:hyperlink>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79" w:id="79"/>
      <w:r>
        <w:rPr>
          <w:rFonts w:eastAsia="等线" w:ascii="Arial" w:cs="Arial" w:hAnsi="Arial"/>
          <w:b w:val="true"/>
          <w:sz w:val="30"/>
        </w:rPr>
        <w:t>第二节 绩效考核管理规定（</w:t>
      </w:r>
      <w:r>
        <w:rPr>
          <w:rFonts w:eastAsia="等线" w:ascii="Arial" w:cs="Arial" w:hAnsi="Arial"/>
          <w:b w:val="true"/>
          <w:color w:val="3370ff"/>
          <w:sz w:val="30"/>
        </w:rPr>
        <w:t>@荣成成</w:t>
      </w:r>
      <w:r>
        <w:rPr>
          <w:rFonts w:eastAsia="等线" w:ascii="Arial" w:cs="Arial" w:hAnsi="Arial"/>
          <w:b w:val="true"/>
          <w:sz w:val="30"/>
        </w:rPr>
        <w:t>）（扩大会）</w:t>
      </w:r>
      <w:bookmarkEnd w:id="79"/>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总则</w:t>
      </w:r>
    </w:p>
    <w:p>
      <w:pPr>
        <w:spacing w:before="120" w:after="120" w:line="288" w:lineRule="auto"/>
        <w:ind w:left="0" w:firstLine="420"/>
        <w:jc w:val="left"/>
      </w:pPr>
      <w:r>
        <w:rPr>
          <w:rFonts w:eastAsia="等线" w:ascii="Arial" w:cs="Arial" w:hAnsi="Arial"/>
          <w:sz w:val="22"/>
        </w:rPr>
        <w:t>为了客观评估员工工作绩效，对公司及个人工作的实施进展状况进行有效的跟进和调控，从而适时调整公司战略方向，提高公司整体绩效水平，特制定本规定。</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考核原则</w:t>
      </w:r>
    </w:p>
    <w:p>
      <w:pPr>
        <w:spacing w:before="120" w:after="120" w:line="288" w:lineRule="auto"/>
        <w:ind w:left="0" w:firstLine="420"/>
        <w:jc w:val="left"/>
      </w:pPr>
      <w:r>
        <w:rPr>
          <w:rFonts w:eastAsia="等线" w:ascii="Arial" w:cs="Arial" w:hAnsi="Arial"/>
          <w:sz w:val="22"/>
        </w:rPr>
        <w:t>绩效考核遵循客观、公正、部分公开的基本原则。</w:t>
      </w:r>
    </w:p>
    <w:p>
      <w:pPr>
        <w:spacing w:before="120" w:after="120" w:line="288" w:lineRule="auto"/>
        <w:ind w:left="0" w:firstLine="420"/>
        <w:jc w:val="left"/>
      </w:pPr>
      <w:r>
        <w:rPr>
          <w:rFonts w:eastAsia="等线" w:ascii="Arial" w:cs="Arial" w:hAnsi="Arial"/>
          <w:sz w:val="22"/>
        </w:rPr>
        <w:t>考核标准应表述明确，以量化型考核指标为主。</w:t>
      </w:r>
    </w:p>
    <w:p>
      <w:pPr>
        <w:spacing w:before="120" w:after="120" w:line="288" w:lineRule="auto"/>
        <w:ind w:left="0" w:firstLine="420"/>
        <w:jc w:val="left"/>
      </w:pPr>
      <w:r>
        <w:rPr>
          <w:rFonts w:eastAsia="等线" w:ascii="Arial" w:cs="Arial" w:hAnsi="Arial"/>
          <w:sz w:val="22"/>
        </w:rPr>
        <w:t>确保考核数据准确、无误，考核结果应至少由三人进行统计并检查，其中一名为公司委派的负责过程监督的高管。另外二名优先由不参加考核的新员工承担工作，进而保证考核结果的真实、准确性；如该考核期内没有新入职员工，则由上次考核的成绩排名靠后的两名同事担任，以便于该两名同事的成长。</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考核范围</w:t>
      </w:r>
    </w:p>
    <w:p>
      <w:pPr>
        <w:spacing w:before="120" w:after="120" w:line="288" w:lineRule="auto"/>
        <w:ind w:left="0" w:firstLine="420"/>
        <w:jc w:val="left"/>
      </w:pPr>
      <w:r>
        <w:rPr>
          <w:rFonts w:eastAsia="等线" w:ascii="Arial" w:cs="Arial" w:hAnsi="Arial"/>
          <w:sz w:val="22"/>
        </w:rPr>
        <w:t>本规定适用于入职满半年及以上的员工。</w:t>
      </w:r>
    </w:p>
    <w:p>
      <w:pPr>
        <w:spacing w:before="120" w:after="120" w:line="288" w:lineRule="auto"/>
        <w:ind w:left="0" w:firstLine="420"/>
        <w:jc w:val="left"/>
      </w:pPr>
      <w:r>
        <w:rPr>
          <w:rFonts w:eastAsia="等线" w:ascii="Arial" w:cs="Arial" w:hAnsi="Arial"/>
          <w:sz w:val="22"/>
        </w:rPr>
        <w:t>入职不满半年的员工，不参加考核亦不参与同事互评打分及单项奖投票，自入职之日起完成的相关工作一并记入第一次参加考核的成绩。</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考核周期</w:t>
      </w:r>
    </w:p>
    <w:p>
      <w:pPr>
        <w:spacing w:before="120" w:after="120" w:line="288" w:lineRule="auto"/>
        <w:ind w:left="0" w:firstLine="420"/>
        <w:jc w:val="left"/>
      </w:pPr>
      <w:r>
        <w:rPr>
          <w:rFonts w:eastAsia="等线" w:ascii="Arial" w:cs="Arial" w:hAnsi="Arial"/>
          <w:sz w:val="22"/>
        </w:rPr>
        <w:t>20XX年1月1日-20XX年6月30日（20XX年7月31日之前完成）</w:t>
      </w:r>
    </w:p>
    <w:p>
      <w:pPr>
        <w:spacing w:before="120" w:after="120" w:line="288" w:lineRule="auto"/>
        <w:ind w:left="0" w:firstLine="420"/>
        <w:jc w:val="left"/>
      </w:pPr>
      <w:r>
        <w:rPr>
          <w:rFonts w:eastAsia="等线" w:ascii="Arial" w:cs="Arial" w:hAnsi="Arial"/>
          <w:sz w:val="22"/>
        </w:rPr>
        <w:t>20XX年7月1日-20XX年12月31日（20XX+1年1月31日之前完成）</w:t>
      </w:r>
    </w:p>
    <w:p>
      <w:pPr>
        <w:spacing w:before="120" w:after="120" w:line="288" w:lineRule="auto"/>
        <w:ind w:left="0" w:firstLine="420"/>
        <w:jc w:val="left"/>
      </w:pPr>
      <w:r>
        <w:rPr>
          <w:rFonts w:eastAsia="等线" w:ascii="Arial" w:cs="Arial" w:hAnsi="Arial"/>
          <w:sz w:val="22"/>
        </w:rPr>
        <w:t>各考核数据（含提示数据）均以考核周期内的数据为准。</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考核内容及要求</w:t>
      </w:r>
    </w:p>
    <w:p>
      <w:pPr>
        <w:spacing w:before="120" w:after="120" w:line="288" w:lineRule="auto"/>
        <w:ind w:left="0" w:firstLine="420"/>
        <w:jc w:val="left"/>
      </w:pPr>
      <w:r>
        <w:rPr>
          <w:rFonts w:eastAsia="等线" w:ascii="Arial" w:cs="Arial" w:hAnsi="Arial"/>
          <w:sz w:val="22"/>
        </w:rPr>
        <w:t>考核内容及要求参照附件4631。</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绩效考核说明</w:t>
      </w:r>
    </w:p>
    <w:p>
      <w:pPr>
        <w:spacing w:before="120" w:after="120" w:line="288" w:lineRule="auto"/>
        <w:ind w:left="0" w:firstLine="420"/>
        <w:jc w:val="left"/>
      </w:pPr>
      <w:r>
        <w:rPr>
          <w:rFonts w:eastAsia="等线" w:ascii="Arial" w:cs="Arial" w:hAnsi="Arial"/>
          <w:sz w:val="22"/>
        </w:rPr>
        <w:t>（一） 两年以内档位的半年度绩效为30000元（即平摊到每月5000元，每半年度发放一次），两年以上档位的半年度绩效为45000元（即平摊到每月7500元，每半年度发放一次），不包含投成奖；</w:t>
      </w:r>
    </w:p>
    <w:p>
      <w:pPr>
        <w:spacing w:before="120" w:after="120" w:line="288" w:lineRule="auto"/>
        <w:ind w:left="0" w:firstLine="420"/>
        <w:jc w:val="left"/>
      </w:pPr>
      <w:r>
        <w:rPr>
          <w:rFonts w:eastAsia="等线" w:ascii="Arial" w:cs="Arial" w:hAnsi="Arial"/>
          <w:sz w:val="22"/>
        </w:rPr>
        <w:t>（二）绩效考核由绩效奖励（三）和工资浮动（四）两部分构成。</w:t>
      </w:r>
    </w:p>
    <w:p>
      <w:pPr>
        <w:spacing w:before="120" w:after="120" w:line="288" w:lineRule="auto"/>
        <w:ind w:left="0" w:firstLine="420"/>
        <w:jc w:val="left"/>
      </w:pPr>
      <w:r>
        <w:rPr>
          <w:rFonts w:eastAsia="等线" w:ascii="Arial" w:cs="Arial" w:hAnsi="Arial"/>
          <w:sz w:val="22"/>
        </w:rPr>
        <w:t>（三） 各人实际半年度绩效奖励金额为：30000×【1+（绩效奖金分数-X）%】（符合公司条件工作经验两年内）；45000×【1+（绩效奖金分数-X）%】（符合公司条件工作经验两年以上）；X为当次考核分数的中位数。</w:t>
      </w:r>
    </w:p>
    <w:p>
      <w:pPr>
        <w:spacing w:before="120" w:after="120" w:line="288" w:lineRule="auto"/>
        <w:ind w:left="0" w:firstLine="0"/>
        <w:jc w:val="left"/>
      </w:pPr>
      <w:r>
        <w:rPr>
          <w:rFonts w:eastAsia="等线" w:ascii="Arial" w:cs="Arial" w:hAnsi="Arial"/>
          <w:sz w:val="22"/>
        </w:rPr>
        <w:t>非投资经理、非风控的X为70。</w:t>
      </w:r>
    </w:p>
    <w:p>
      <w:pPr>
        <w:spacing w:before="120" w:after="120" w:line="288" w:lineRule="auto"/>
        <w:ind w:left="0" w:firstLine="420"/>
        <w:jc w:val="left"/>
      </w:pPr>
      <w:r>
        <w:rPr>
          <w:rFonts w:eastAsia="等线" w:ascii="Arial" w:cs="Arial" w:hAnsi="Arial"/>
          <w:sz w:val="22"/>
        </w:rPr>
        <w:t>同登、同美的投资经理一起排名；同登、同美的风控一起排名；非投资经理、非风控的岗位不参加排名。</w:t>
      </w:r>
    </w:p>
    <w:p>
      <w:pPr>
        <w:spacing w:before="120" w:after="120" w:line="288" w:lineRule="auto"/>
        <w:ind w:left="0" w:firstLine="420"/>
        <w:jc w:val="left"/>
      </w:pPr>
      <w:r>
        <w:rPr>
          <w:rFonts w:eastAsia="等线" w:ascii="Arial" w:cs="Arial" w:hAnsi="Arial"/>
          <w:sz w:val="22"/>
        </w:rPr>
        <w:t>第一次参加考核的员工，第一次绩效奖励金额基数为从入职之月起至考核期之月止的实际绩效。</w:t>
      </w:r>
    </w:p>
    <w:p>
      <w:pPr>
        <w:spacing w:before="120" w:after="120" w:line="288" w:lineRule="auto"/>
        <w:ind w:left="0" w:firstLine="420"/>
        <w:jc w:val="left"/>
      </w:pPr>
      <w:r>
        <w:rPr>
          <w:rFonts w:eastAsia="等线" w:ascii="Arial" w:cs="Arial" w:hAnsi="Arial"/>
          <w:sz w:val="22"/>
        </w:rPr>
        <w:t>绩效奖励无20%的浮动限制。</w:t>
      </w:r>
    </w:p>
    <w:p>
      <w:pPr>
        <w:spacing w:before="120" w:after="120" w:line="288" w:lineRule="auto"/>
        <w:ind w:left="0" w:firstLine="420"/>
        <w:jc w:val="left"/>
      </w:pPr>
      <w:r>
        <w:rPr>
          <w:rFonts w:eastAsia="等线" w:ascii="Arial" w:cs="Arial" w:hAnsi="Arial"/>
          <w:sz w:val="22"/>
        </w:rPr>
        <w:t>（四） 公司税前月薪标准（月薪标准为考核周期内的月薪标准）×【1+（绩效薪酬分数-X）%】（X为参加考核人员的中位数），上下浮动20%为限。</w:t>
      </w:r>
    </w:p>
    <w:p>
      <w:pPr>
        <w:spacing w:before="120" w:after="120" w:line="288" w:lineRule="auto"/>
        <w:ind w:left="0" w:firstLine="420"/>
        <w:jc w:val="left"/>
      </w:pPr>
      <w:r>
        <w:rPr>
          <w:rFonts w:eastAsia="等线" w:ascii="Arial" w:cs="Arial" w:hAnsi="Arial"/>
          <w:sz w:val="22"/>
        </w:rPr>
        <w:t>（五） 考核任何项打分必须以5分为台阶，如75、80、85......。最低分40，最高分100。公司绩效分数的中位数一般为70分。建议在打主观分时，适当参考该分数。</w:t>
      </w:r>
    </w:p>
    <w:p>
      <w:pPr>
        <w:spacing w:before="120" w:after="120" w:line="288" w:lineRule="auto"/>
        <w:ind w:left="0" w:firstLine="420"/>
        <w:jc w:val="left"/>
      </w:pPr>
      <w:r>
        <w:rPr>
          <w:rFonts w:eastAsia="等线" w:ascii="Arial" w:cs="Arial" w:hAnsi="Arial"/>
          <w:sz w:val="22"/>
        </w:rPr>
        <w:t>（六） 对于参加考核人员没有个别考核项的，其绩效奖金分数为绩效奖金分数/（1-该项权重）；</w:t>
      </w:r>
    </w:p>
    <w:p>
      <w:pPr>
        <w:spacing w:before="120" w:after="120" w:line="288" w:lineRule="auto"/>
        <w:ind w:left="0" w:firstLine="420"/>
        <w:jc w:val="left"/>
      </w:pPr>
      <w:r>
        <w:rPr>
          <w:rFonts w:eastAsia="等线" w:ascii="Arial" w:cs="Arial" w:hAnsi="Arial"/>
          <w:sz w:val="22"/>
        </w:rPr>
        <w:t>（七） 投委会召开前，由投委会主席将各员工建议进行编号（不体现姓名，只体现编号）提供给投委会进行决策参考和反馈打分，反馈打分后由投委会主席根据编号还原到具体员工，并将反馈打分成绩告知该员工；</w:t>
      </w:r>
    </w:p>
    <w:p>
      <w:pPr>
        <w:spacing w:before="120" w:after="120" w:line="288" w:lineRule="auto"/>
        <w:ind w:left="0" w:firstLine="420"/>
        <w:jc w:val="left"/>
      </w:pPr>
      <w:r>
        <w:rPr>
          <w:rFonts w:eastAsia="等线" w:ascii="Arial" w:cs="Arial" w:hAnsi="Arial"/>
          <w:sz w:val="22"/>
        </w:rPr>
        <w:t>（八）投委会表决债转股项目的投成奖、项目部跟投和任务考核均以达到约定节点正式转股之日为准；</w:t>
      </w:r>
    </w:p>
    <w:p>
      <w:pPr>
        <w:spacing w:before="120" w:after="120" w:line="288" w:lineRule="auto"/>
        <w:ind w:left="0" w:firstLine="420"/>
        <w:jc w:val="left"/>
      </w:pPr>
      <w:r>
        <w:rPr>
          <w:rFonts w:eastAsia="等线" w:ascii="Arial" w:cs="Arial" w:hAnsi="Arial"/>
          <w:sz w:val="22"/>
        </w:rPr>
        <w:t>（九）投成奖：连续两个考核周期内，天使轮及以后轮次奖金为第一个投资项目3万一人，第二个项目3.5万一人，以5000元累计叠加。种子轮为第一个项目1.3万一人，第二项目1.6万一人，以3000元累计叠加。在前述奖励基础上，每投成1个项目，项目经理奖励2000元，第二负责人奖励1500元。</w:t>
      </w:r>
    </w:p>
    <w:p>
      <w:pPr>
        <w:spacing w:before="120" w:after="120" w:line="288" w:lineRule="auto"/>
        <w:ind w:left="0" w:firstLine="420"/>
        <w:jc w:val="left"/>
      </w:pPr>
      <w:r>
        <w:rPr>
          <w:rFonts w:eastAsia="等线" w:ascii="Arial" w:cs="Arial" w:hAnsi="Arial"/>
          <w:sz w:val="22"/>
        </w:rPr>
        <w:t>（十） 如果预立项分数低于70分，则该项目不计入考核的数量分和质量分。</w:t>
      </w:r>
    </w:p>
    <w:p>
      <w:pPr>
        <w:spacing w:before="120" w:after="120" w:line="288" w:lineRule="auto"/>
        <w:ind w:left="0"/>
        <w:jc w:val="left"/>
      </w:pPr>
      <w:r>
        <w:rPr>
          <w:rFonts w:eastAsia="等线" w:ascii="Arial" w:cs="Arial" w:hAnsi="Arial"/>
          <w:sz w:val="22"/>
        </w:rPr>
        <w:t xml:space="preserve">      （十一） 不同项目不同阶段的数量分可以叠加；质量分不可叠加，只能以某个项目的某一阶段质量分参加考核；</w:t>
      </w:r>
    </w:p>
    <w:p>
      <w:pPr>
        <w:spacing w:before="120" w:after="120" w:line="288" w:lineRule="auto"/>
        <w:ind w:left="0" w:firstLine="420"/>
        <w:jc w:val="left"/>
      </w:pPr>
      <w:r>
        <w:rPr>
          <w:rFonts w:eastAsia="等线" w:ascii="Arial" w:cs="Arial" w:hAnsi="Arial"/>
          <w:sz w:val="22"/>
        </w:rPr>
        <w:t>（十二） 公司每半年组织一次专业知识培训和考试，考试成绩计入绩效考核；培训组织者负责发送会议通知（应设置签到功能）、录制并上传培训内容、发送考试标准答案等，参加培训人员须飞书在线签到。考试逾期交卷成绩为零；</w:t>
      </w:r>
    </w:p>
    <w:p>
      <w:pPr>
        <w:spacing w:before="120" w:after="120" w:line="288" w:lineRule="auto"/>
        <w:ind w:left="0" w:firstLine="420"/>
        <w:jc w:val="left"/>
      </w:pPr>
      <w:r>
        <w:rPr>
          <w:rFonts w:eastAsia="等线" w:ascii="Arial" w:cs="Arial" w:hAnsi="Arial"/>
          <w:sz w:val="22"/>
        </w:rPr>
        <w:t>（十三） 立项预备会结束后5日内，由总经理组织预立项打分。参会人员应自收到打分通知后5日内完成打分。若立项此打分有效，不立项则分数作废；总经理作为项目部成员时应回避。</w:t>
      </w:r>
    </w:p>
    <w:p>
      <w:pPr>
        <w:spacing w:before="120" w:after="120" w:line="288" w:lineRule="auto"/>
        <w:ind w:left="0" w:firstLine="420"/>
        <w:jc w:val="left"/>
      </w:pPr>
      <w:r>
        <w:rPr>
          <w:rFonts w:eastAsia="等线" w:ascii="Arial" w:cs="Arial" w:hAnsi="Arial"/>
          <w:sz w:val="22"/>
        </w:rPr>
        <w:t>调研报告的质量分，风控对项目部进行打分。</w:t>
      </w:r>
    </w:p>
    <w:p>
      <w:pPr>
        <w:spacing w:before="120" w:after="120" w:line="288" w:lineRule="auto"/>
        <w:ind w:left="0" w:firstLine="420"/>
        <w:jc w:val="left"/>
      </w:pPr>
      <w:r>
        <w:rPr>
          <w:rFonts w:eastAsia="等线" w:ascii="Arial" w:cs="Arial" w:hAnsi="Arial"/>
          <w:sz w:val="22"/>
        </w:rPr>
        <w:t>（十四） 审计中反映出的问题作为监事会主席提示、扣分、申诉等方法与董事长提示相同，主观评判的审计问题分解到管理员名下作为大家的打分参考；</w:t>
      </w:r>
    </w:p>
    <w:p>
      <w:pPr>
        <w:spacing w:before="120" w:after="120" w:line="288" w:lineRule="auto"/>
        <w:ind w:left="0" w:firstLine="420"/>
        <w:jc w:val="left"/>
      </w:pPr>
      <w:r>
        <w:rPr>
          <w:rFonts w:eastAsia="等线" w:ascii="Arial" w:cs="Arial" w:hAnsi="Arial"/>
          <w:sz w:val="22"/>
        </w:rPr>
        <w:t>（十五） 设置绩效工资主要单项工作考核奖励，作为对绩效工资全面考核奖励的补充，旨在鼓励先进,提升荣誉感，激励平衡发展，单项与绩效考核周期同步。</w:t>
      </w:r>
    </w:p>
    <w:p>
      <w:pPr>
        <w:numPr>
          <w:numId w:val="225"/>
        </w:numPr>
        <w:spacing w:before="120" w:after="120" w:line="288" w:lineRule="auto"/>
        <w:ind w:left="453"/>
        <w:jc w:val="left"/>
      </w:pPr>
      <w:r>
        <w:rPr>
          <w:rFonts w:eastAsia="等线" w:ascii="Arial" w:cs="Arial" w:hAnsi="Arial"/>
          <w:sz w:val="22"/>
        </w:rPr>
        <w:t>投后管理奖：重点帮助项目获得后续轮融资、审查评比管理规范好、无监管失误、积极协助项目方对接相关资源，比如：客户，渠道，产业落地等的项目部成员，奖金各 2000元。该项奖励按照投后分数直接排名：医疗组1名，制造组2名</w:t>
      </w:r>
    </w:p>
    <w:p>
      <w:pPr>
        <w:spacing w:before="120" w:after="120" w:line="288" w:lineRule="auto"/>
        <w:ind w:left="0" w:firstLine="420"/>
        <w:jc w:val="left"/>
      </w:pPr>
      <w:r>
        <w:rPr>
          <w:rFonts w:eastAsia="等线" w:ascii="Arial" w:cs="Arial" w:hAnsi="Arial"/>
          <w:sz w:val="22"/>
        </w:rPr>
        <w:t>2、退出奖：项目部成员奖金各2500元</w:t>
      </w:r>
    </w:p>
    <w:p>
      <w:pPr>
        <w:spacing w:before="120" w:after="120" w:line="288" w:lineRule="auto"/>
        <w:ind w:left="0" w:firstLine="420"/>
        <w:jc w:val="left"/>
      </w:pPr>
      <w:r>
        <w:rPr>
          <w:rFonts w:eastAsia="等线" w:ascii="Arial" w:cs="Arial" w:hAnsi="Arial"/>
          <w:sz w:val="22"/>
        </w:rPr>
        <w:t>3、制度建设奖，制度建设分数前三名的，奖金2000元 1500元 1000元</w:t>
      </w:r>
    </w:p>
    <w:p>
      <w:pPr>
        <w:spacing w:before="120" w:after="120" w:line="288" w:lineRule="auto"/>
        <w:ind w:left="0" w:firstLine="420"/>
        <w:jc w:val="left"/>
      </w:pPr>
      <w:r>
        <w:rPr>
          <w:rFonts w:eastAsia="等线" w:ascii="Arial" w:cs="Arial" w:hAnsi="Arial"/>
          <w:sz w:val="22"/>
        </w:rPr>
        <w:t>4、监督提示奖：提示分数前三名的，奖金2000元 1500元 1000元</w:t>
      </w:r>
    </w:p>
    <w:p>
      <w:pPr>
        <w:spacing w:before="120" w:after="120" w:line="288" w:lineRule="auto"/>
        <w:ind w:left="0" w:firstLine="420"/>
        <w:jc w:val="left"/>
      </w:pPr>
      <w:r>
        <w:rPr>
          <w:rFonts w:eastAsia="等线" w:ascii="Arial" w:cs="Arial" w:hAnsi="Arial"/>
          <w:sz w:val="22"/>
        </w:rPr>
        <w:t>5、制度执行奖：执行分数前三名的，奖金2000元，1500元，1000元</w:t>
      </w:r>
    </w:p>
    <w:p>
      <w:pPr>
        <w:spacing w:before="120" w:after="120" w:line="288" w:lineRule="auto"/>
        <w:ind w:left="0" w:firstLine="420"/>
        <w:jc w:val="left"/>
      </w:pPr>
      <w:r>
        <w:rPr>
          <w:rFonts w:eastAsia="等线" w:ascii="Arial" w:cs="Arial" w:hAnsi="Arial"/>
          <w:sz w:val="22"/>
        </w:rPr>
        <w:t>6、优秀课题研究奖：全员一人一票，评选前三名，奖金2000元，1500元，1000元</w:t>
      </w:r>
    </w:p>
    <w:p>
      <w:pPr>
        <w:spacing w:before="120" w:after="120" w:line="288" w:lineRule="auto"/>
        <w:ind w:left="0" w:firstLine="420"/>
        <w:jc w:val="left"/>
      </w:pPr>
      <w:r>
        <w:rPr>
          <w:rFonts w:eastAsia="等线" w:ascii="Arial" w:cs="Arial" w:hAnsi="Arial"/>
          <w:sz w:val="22"/>
        </w:rPr>
        <w:t>7、评先进工作者：每次评选三人（扩大会会议决定），奖金2300元，1800元，1300元</w:t>
      </w:r>
    </w:p>
    <w:p>
      <w:pPr>
        <w:spacing w:before="120" w:after="120" w:line="288" w:lineRule="auto"/>
        <w:ind w:left="0" w:firstLine="420"/>
        <w:jc w:val="left"/>
      </w:pPr>
      <w:r>
        <w:rPr>
          <w:rFonts w:eastAsia="等线" w:ascii="Arial" w:cs="Arial" w:hAnsi="Arial"/>
          <w:sz w:val="22"/>
        </w:rPr>
        <w:t>参考标准包括但不限于：（1）投资和投后工作突出。（2）保质保量完成公司交办的各项工作（含交办工作和本职管理工作）；（3）主动帮助员工（尤其新入职员工）熟悉工作。</w:t>
      </w:r>
    </w:p>
    <w:p>
      <w:pPr>
        <w:spacing w:before="120" w:after="120" w:line="288" w:lineRule="auto"/>
        <w:ind w:left="0" w:firstLine="420"/>
        <w:jc w:val="left"/>
      </w:pPr>
      <w:r>
        <w:rPr>
          <w:rFonts w:eastAsia="等线" w:ascii="Arial" w:cs="Arial" w:hAnsi="Arial"/>
          <w:sz w:val="22"/>
        </w:rPr>
        <w:t>单项工作考核奖投票评选中，若出现平票情况，在不公开投票结果的前提下，将董事长的投票一票计作两票进行统计；若再次出现平票情况，则平票人员并列获得该奖项；</w:t>
      </w:r>
    </w:p>
    <w:p>
      <w:pPr>
        <w:spacing w:before="120" w:after="120" w:line="288" w:lineRule="auto"/>
        <w:ind w:left="0" w:firstLine="420"/>
        <w:jc w:val="left"/>
      </w:pPr>
      <w:r>
        <w:rPr>
          <w:rFonts w:eastAsia="等线" w:ascii="Arial" w:cs="Arial" w:hAnsi="Arial"/>
          <w:sz w:val="22"/>
        </w:rPr>
        <w:t>（十六）绩效考核监督项：该提示扣分为任务制，以考核分值为最高限，按任务数核定每条提示分值，任务数仍按月为单位；提示任务参照《制度监督》中的规定。每月提示内容需最晚于月度会当日提交到飞书提示系统，同时在月度会PPT上展示，提交人应保证提交到飞书系统的内容与PPT展示内容一致。未在规定时间内录入飞书系统的，以及不能明确到人的提示内容不计入提示数量；不同提示人提示的同一事项计为1项提示。关于制度格式错误的提示，考核周期内1-3次（含3次）记作1次提示，3-6次（含6次）记作2次提示，以此类推；</w:t>
      </w:r>
    </w:p>
    <w:p>
      <w:pPr>
        <w:spacing w:before="120" w:after="120" w:line="288" w:lineRule="auto"/>
        <w:ind w:left="0" w:firstLine="420"/>
        <w:jc w:val="left"/>
      </w:pPr>
      <w:r>
        <w:rPr>
          <w:rFonts w:eastAsia="等线" w:ascii="Arial" w:cs="Arial" w:hAnsi="Arial"/>
          <w:sz w:val="22"/>
        </w:rPr>
        <w:t>申诉时效为月度会后4日内，管理员于月度会后5-7日进行除重、关联提示计算的工作，关联提示申诉时间为月度会后8-10日。关联提示申诉时效结束后，全员可在飞书提示系统中自行查看被提示数量和关联提示数量的统计结果。</w:t>
      </w:r>
    </w:p>
    <w:p>
      <w:pPr>
        <w:spacing w:before="120" w:after="120" w:line="288" w:lineRule="auto"/>
        <w:ind w:left="0" w:firstLine="420"/>
        <w:jc w:val="left"/>
      </w:pPr>
      <w:r>
        <w:rPr>
          <w:rFonts w:eastAsia="等线" w:ascii="Arial" w:cs="Arial" w:hAnsi="Arial"/>
          <w:sz w:val="22"/>
        </w:rPr>
        <w:t>（十七）考核打分，对投后的打分，由对应投后小组和董事长打分。</w:t>
      </w:r>
    </w:p>
    <w:p>
      <w:pPr>
        <w:spacing w:before="120" w:after="120" w:line="288" w:lineRule="auto"/>
        <w:ind w:left="0" w:firstLine="420"/>
        <w:jc w:val="left"/>
      </w:pPr>
      <w:r>
        <w:rPr>
          <w:rFonts w:eastAsia="等线" w:ascii="Arial" w:cs="Arial" w:hAnsi="Arial"/>
          <w:sz w:val="22"/>
        </w:rPr>
        <w:t>（十八）若对已投项目进行追加投资，涉及的绩效考核事项，遵循以上规定。</w:t>
      </w:r>
    </w:p>
    <w:p>
      <w:pPr>
        <w:spacing w:before="120" w:after="120" w:line="288" w:lineRule="auto"/>
        <w:ind w:left="0" w:firstLine="420"/>
        <w:jc w:val="left"/>
      </w:pPr>
      <w:r>
        <w:rPr>
          <w:rFonts w:eastAsia="等线" w:ascii="Arial" w:cs="Arial" w:hAnsi="Arial"/>
          <w:sz w:val="22"/>
        </w:rPr>
        <w:t>（十九）因产假等原因导致在单个考核期内连续休假超过3个月的，该考核周期内不参加互评考核，该考核周期绩效分数视为最低分位数。亦不参加单项奖中涉及投票、排名的奖项。</w:t>
      </w:r>
    </w:p>
    <w:p>
      <w:pPr>
        <w:spacing w:before="120" w:after="120" w:line="288" w:lineRule="auto"/>
        <w:ind w:left="0" w:firstLine="420"/>
        <w:jc w:val="left"/>
      </w:pPr>
      <w:r>
        <w:rPr>
          <w:rFonts w:eastAsia="等线" w:ascii="Arial" w:cs="Arial" w:hAnsi="Arial"/>
          <w:sz w:val="22"/>
        </w:rPr>
        <w:t>（二十）考核期内参加TBS黑带培训且计划去企业一线工作超过3个月的员工，可选择本次考核周期绩效分数为中位数。员工如选择，可于考核开始时（1、2月或7、8月）向总经理申请。</w:t>
      </w:r>
    </w:p>
    <w:p>
      <w:pPr>
        <w:spacing w:before="120" w:after="120" w:line="288" w:lineRule="auto"/>
        <w:ind w:left="0" w:firstLine="420"/>
        <w:jc w:val="left"/>
      </w:pPr>
      <w:r>
        <w:rPr>
          <w:rFonts w:eastAsia="等线" w:ascii="Arial" w:cs="Arial" w:hAnsi="Arial"/>
          <w:sz w:val="22"/>
        </w:rPr>
        <w:t>（二十一） 每月迟到、早退、缺卡（含上下班、因公外出、出差等）超过5次的，从第6次起开始计算，每次从“制度执行”中扣0.2分。考勤管理员负责每月统计扣分情况，</w:t>
      </w:r>
      <w:r>
        <w:rPr>
          <w:rFonts w:eastAsia="等线" w:ascii="Arial" w:cs="Arial" w:hAnsi="Arial"/>
          <w:sz w:val="22"/>
        </w:rPr>
        <w:t>并于月度会前将当月扣分情况发送提示系统管理员。</w:t>
      </w:r>
    </w:p>
    <w:p>
      <w:pPr>
        <w:spacing w:before="120" w:after="120" w:line="288" w:lineRule="auto"/>
        <w:ind w:left="453"/>
        <w:jc w:val="left"/>
      </w:pPr>
      <w:r>
        <w:rPr>
          <w:rFonts w:eastAsia="等线" w:ascii="Arial" w:cs="Arial" w:hAnsi="Arial"/>
          <w:sz w:val="22"/>
        </w:rPr>
        <w:t>（二十二）员工未完成海外出差天数要求的，每少1天，制度执行分数扣0.1分</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监督考核</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65"/>
        <w:gridCol w:w="3780"/>
        <w:gridCol w:w="2535"/>
      </w:tblGrid>
      <w:tr>
        <w:tc>
          <w:tcPr>
            <w:tcW w:w="19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监督人</w:t>
            </w:r>
          </w:p>
          <w:p>
            <w:pPr>
              <w:spacing w:before="120" w:after="120" w:line="288" w:lineRule="auto"/>
              <w:ind w:left="0"/>
              <w:jc w:val="left"/>
            </w:pPr>
          </w:p>
        </w:tc>
        <w:tc>
          <w:tcPr>
            <w:tcW w:w="378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监督事项</w:t>
            </w:r>
          </w:p>
          <w:p>
            <w:pPr>
              <w:spacing w:before="120" w:after="120" w:line="288" w:lineRule="auto"/>
              <w:ind w:left="0"/>
              <w:jc w:val="left"/>
            </w:pPr>
          </w:p>
        </w:tc>
        <w:tc>
          <w:tcPr>
            <w:tcW w:w="25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执行人扣分</w:t>
            </w:r>
          </w:p>
        </w:tc>
      </w:tr>
      <w:tr>
        <w:tc>
          <w:tcPr>
            <w:tcW w:w="1965" w:type="dxa"/>
            <w:vMerge w:val="continue"/>
            <w:tcMar>
              <w:top w:type="dxa" w:w="60"/>
              <w:left w:type="dxa" w:w="120"/>
              <w:bottom w:type="dxa" w:w="30"/>
              <w:right w:type="dxa" w:w="120"/>
            </w:tcMar>
          </w:tcPr>
          <w:p>
            <w:pPr>
              <w:spacing w:before="120" w:after="120" w:line="288" w:lineRule="auto"/>
              <w:ind w:left="0"/>
              <w:jc w:val="left"/>
            </w:pPr>
          </w:p>
        </w:tc>
        <w:tc>
          <w:tcPr>
            <w:tcW w:w="3780" w:type="dxa"/>
            <w:vMerge w:val="continue"/>
            <w:tcMar>
              <w:top w:type="dxa" w:w="60"/>
              <w:left w:type="dxa" w:w="120"/>
              <w:bottom w:type="dxa" w:w="30"/>
              <w:right w:type="dxa" w:w="120"/>
            </w:tcMar>
          </w:tcPr>
          <w:p>
            <w:pPr>
              <w:spacing w:before="120" w:after="120" w:line="288" w:lineRule="auto"/>
              <w:ind w:left="0"/>
              <w:jc w:val="left"/>
            </w:pPr>
          </w:p>
        </w:tc>
        <w:tc>
          <w:tcPr>
            <w:tcW w:w="2535" w:type="dxa"/>
            <w:vMerge w:val="continue"/>
            <w:tcMar>
              <w:top w:type="dxa" w:w="60"/>
              <w:left w:type="dxa" w:w="120"/>
              <w:bottom w:type="dxa" w:w="30"/>
              <w:right w:type="dxa" w:w="120"/>
            </w:tcMar>
          </w:tcPr>
          <w:p>
            <w:pPr>
              <w:spacing w:before="120" w:after="120" w:line="288" w:lineRule="auto"/>
              <w:ind w:left="0"/>
              <w:jc w:val="left"/>
            </w:pPr>
          </w:p>
        </w:tc>
      </w:tr>
      <w:tr>
        <w:tc>
          <w:tcPr>
            <w:tcW w:w="19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制度提示人</w:t>
            </w:r>
          </w:p>
        </w:tc>
        <w:tc>
          <w:tcPr>
            <w:tcW w:w="378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重复提示</w:t>
            </w:r>
          </w:p>
        </w:tc>
        <w:tc>
          <w:tcPr>
            <w:tcW w:w="25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0.2</w:t>
            </w:r>
          </w:p>
        </w:tc>
      </w:tr>
      <w:tr>
        <w:tc>
          <w:tcPr>
            <w:tcW w:w="1965" w:type="dxa"/>
            <w:vMerge w:val="continue"/>
            <w:tcMar>
              <w:top w:type="dxa" w:w="60"/>
              <w:left w:type="dxa" w:w="120"/>
              <w:bottom w:type="dxa" w:w="30"/>
              <w:right w:type="dxa" w:w="120"/>
            </w:tcMar>
          </w:tcPr>
          <w:p>
            <w:pPr>
              <w:spacing w:before="120" w:after="120" w:line="288" w:lineRule="auto"/>
              <w:ind w:left="0"/>
              <w:jc w:val="left"/>
            </w:pPr>
          </w:p>
        </w:tc>
        <w:tc>
          <w:tcPr>
            <w:tcW w:w="3780" w:type="dxa"/>
            <w:vMerge w:val="continue"/>
            <w:tcMar>
              <w:top w:type="dxa" w:w="60"/>
              <w:left w:type="dxa" w:w="120"/>
              <w:bottom w:type="dxa" w:w="30"/>
              <w:right w:type="dxa" w:w="120"/>
            </w:tcMar>
          </w:tcPr>
          <w:p>
            <w:pPr>
              <w:spacing w:before="120" w:after="120" w:line="288" w:lineRule="auto"/>
              <w:ind w:left="0"/>
              <w:jc w:val="left"/>
            </w:pPr>
          </w:p>
        </w:tc>
        <w:tc>
          <w:tcPr>
            <w:tcW w:w="2535" w:type="dxa"/>
            <w:vMerge w:val="continue"/>
            <w:tcMar>
              <w:top w:type="dxa" w:w="60"/>
              <w:left w:type="dxa" w:w="120"/>
              <w:bottom w:type="dxa" w:w="30"/>
              <w:right w:type="dxa" w:w="120"/>
            </w:tcMar>
          </w:tcPr>
          <w:p>
            <w:pPr>
              <w:spacing w:before="120" w:after="120" w:line="288" w:lineRule="auto"/>
              <w:ind w:left="0"/>
              <w:jc w:val="left"/>
            </w:pPr>
          </w:p>
        </w:tc>
      </w:tr>
      <w:tr>
        <w:tc>
          <w:tcPr>
            <w:tcW w:w="19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副总经理、财务总监、</w:t>
            </w:r>
          </w:p>
          <w:p>
            <w:pPr>
              <w:spacing w:before="120" w:after="120" w:line="288" w:lineRule="auto"/>
              <w:ind w:left="0"/>
              <w:jc w:val="center"/>
            </w:pPr>
            <w:r>
              <w:rPr>
                <w:rFonts w:eastAsia="等线" w:ascii="Arial" w:cs="Arial" w:hAnsi="Arial"/>
                <w:sz w:val="22"/>
              </w:rPr>
              <w:t>风控总监</w:t>
            </w:r>
          </w:p>
        </w:tc>
        <w:tc>
          <w:tcPr>
            <w:tcW w:w="378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监督交办事项</w:t>
            </w:r>
          </w:p>
        </w:tc>
        <w:tc>
          <w:tcPr>
            <w:tcW w:w="25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0.2</w:t>
            </w:r>
          </w:p>
        </w:tc>
      </w:tr>
      <w:tr>
        <w:tc>
          <w:tcPr>
            <w:tcW w:w="1965" w:type="dxa"/>
            <w:vMerge w:val="continue"/>
            <w:tcMar>
              <w:top w:type="dxa" w:w="60"/>
              <w:left w:type="dxa" w:w="120"/>
              <w:bottom w:type="dxa" w:w="30"/>
              <w:right w:type="dxa" w:w="120"/>
            </w:tcMar>
          </w:tcPr>
          <w:p>
            <w:pPr>
              <w:spacing w:before="120" w:after="120" w:line="288" w:lineRule="auto"/>
              <w:ind w:left="0"/>
              <w:jc w:val="left"/>
            </w:pPr>
          </w:p>
        </w:tc>
        <w:tc>
          <w:tcPr>
            <w:tcW w:w="3780" w:type="dxa"/>
            <w:vMerge w:val="continue"/>
            <w:tcMar>
              <w:top w:type="dxa" w:w="60"/>
              <w:left w:type="dxa" w:w="120"/>
              <w:bottom w:type="dxa" w:w="30"/>
              <w:right w:type="dxa" w:w="120"/>
            </w:tcMar>
          </w:tcPr>
          <w:p>
            <w:pPr>
              <w:spacing w:before="120" w:after="120" w:line="288" w:lineRule="auto"/>
              <w:ind w:left="0"/>
              <w:jc w:val="left"/>
            </w:pPr>
          </w:p>
        </w:tc>
        <w:tc>
          <w:tcPr>
            <w:tcW w:w="2535" w:type="dxa"/>
            <w:vMerge w:val="continue"/>
            <w:tcMar>
              <w:top w:type="dxa" w:w="60"/>
              <w:left w:type="dxa" w:w="120"/>
              <w:bottom w:type="dxa" w:w="30"/>
              <w:right w:type="dxa" w:w="120"/>
            </w:tcMar>
          </w:tcPr>
          <w:p>
            <w:pPr>
              <w:spacing w:before="120" w:after="120" w:line="288" w:lineRule="auto"/>
              <w:ind w:left="0"/>
              <w:jc w:val="left"/>
            </w:pPr>
          </w:p>
        </w:tc>
      </w:tr>
      <w:tr>
        <w:tc>
          <w:tcPr>
            <w:tcW w:w="19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董事长、总经理、</w:t>
            </w:r>
          </w:p>
          <w:p>
            <w:pPr>
              <w:spacing w:before="120" w:after="120" w:line="288" w:lineRule="auto"/>
              <w:ind w:left="0"/>
              <w:jc w:val="center"/>
            </w:pPr>
            <w:r>
              <w:rPr>
                <w:rFonts w:eastAsia="等线" w:ascii="Arial" w:cs="Arial" w:hAnsi="Arial"/>
                <w:sz w:val="22"/>
              </w:rPr>
              <w:t>风控主席、监事会主席</w:t>
            </w:r>
          </w:p>
        </w:tc>
        <w:tc>
          <w:tcPr>
            <w:tcW w:w="378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监督交办事项</w:t>
            </w:r>
          </w:p>
        </w:tc>
        <w:tc>
          <w:tcPr>
            <w:tcW w:w="25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w:t>
            </w:r>
          </w:p>
        </w:tc>
      </w:tr>
      <w:tr>
        <w:tc>
          <w:tcPr>
            <w:tcW w:w="1965" w:type="dxa"/>
            <w:vMerge w:val="continue"/>
            <w:tcMar>
              <w:top w:type="dxa" w:w="60"/>
              <w:left w:type="dxa" w:w="120"/>
              <w:bottom w:type="dxa" w:w="30"/>
              <w:right w:type="dxa" w:w="120"/>
            </w:tcMar>
          </w:tcPr>
          <w:p>
            <w:pPr>
              <w:spacing w:before="120" w:after="120" w:line="288" w:lineRule="auto"/>
              <w:ind w:left="0"/>
              <w:jc w:val="left"/>
            </w:pPr>
          </w:p>
        </w:tc>
        <w:tc>
          <w:tcPr>
            <w:tcW w:w="3780" w:type="dxa"/>
            <w:vMerge w:val="continue"/>
            <w:tcMar>
              <w:top w:type="dxa" w:w="60"/>
              <w:left w:type="dxa" w:w="120"/>
              <w:bottom w:type="dxa" w:w="30"/>
              <w:right w:type="dxa" w:w="120"/>
            </w:tcMar>
          </w:tcPr>
          <w:p>
            <w:pPr>
              <w:spacing w:before="120" w:after="120" w:line="288" w:lineRule="auto"/>
              <w:ind w:left="0"/>
              <w:jc w:val="left"/>
            </w:pPr>
          </w:p>
        </w:tc>
        <w:tc>
          <w:tcPr>
            <w:tcW w:w="253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r>
        <w:rPr>
          <w:rFonts w:eastAsia="等线" w:ascii="Arial" w:cs="Arial" w:hAnsi="Arial"/>
          <w:sz w:val="22"/>
        </w:rPr>
        <w:t>关于交办事项，分为扩大会交办、董事长、总经理、风控主席及监事会主席交办，交办事项未能按时完成的，参照上表扣分；所有交办均应明确具体办理人；董事长交办事项，总经理和风控主席认为需要转交办的，可转交办该事项；若提示为未完成交办事项，提示人应在提示系统的“制度类型”中选择“交办事项”</w:t>
      </w:r>
    </w:p>
    <w:p>
      <w:pPr>
        <w:spacing w:before="120" w:after="120" w:line="288" w:lineRule="auto"/>
        <w:ind w:left="0" w:firstLine="420"/>
        <w:jc w:val="left"/>
      </w:pPr>
      <w:r>
        <w:rPr>
          <w:rFonts w:eastAsia="等线" w:ascii="Arial" w:cs="Arial" w:hAnsi="Arial"/>
          <w:sz w:val="22"/>
        </w:rPr>
        <w:t>关于制度执行事项，同一事项考核期内两次被重复提示的，参照上表扣分；总经理、风控主席、董事长、监事会主席、监事会副主席、全职监事、副总经理、每月的提示任务具体参照《制度建设监督执行管理办法》，完不成提示任务的按比例扣减监督分数。</w:t>
      </w:r>
    </w:p>
    <w:p>
      <w:pPr>
        <w:spacing w:before="120" w:after="120" w:line="288" w:lineRule="auto"/>
        <w:ind w:left="0" w:firstLine="420"/>
        <w:jc w:val="left"/>
      </w:pPr>
      <w:r>
        <w:rPr>
          <w:rFonts w:eastAsia="等线" w:ascii="Arial" w:cs="Arial" w:hAnsi="Arial"/>
          <w:sz w:val="22"/>
        </w:rPr>
        <w:t>提示系统管理员在月度会上展示上个月被扣分的情况。展示内容包括：被提示人，被扣分原因（重复提示、未完成交办</w:t>
      </w:r>
      <w:r>
        <w:rPr>
          <w:rFonts w:eastAsia="等线" w:ascii="Arial" w:cs="Arial" w:hAnsi="Arial"/>
          <w:sz w:val="22"/>
        </w:rPr>
        <w:t>、未完成提示数量、考勤问题</w:t>
      </w:r>
      <w:r>
        <w:rPr>
          <w:rFonts w:eastAsia="等线" w:ascii="Arial" w:cs="Arial" w:hAnsi="Arial"/>
          <w:sz w:val="22"/>
        </w:rPr>
        <w:t>），被扣分数。</w:t>
      </w:r>
    </w:p>
    <w:p>
      <w:pPr>
        <w:spacing w:before="120" w:after="120" w:line="288" w:lineRule="auto"/>
        <w:ind w:left="0" w:firstLine="420"/>
        <w:jc w:val="left"/>
      </w:pPr>
      <w:r>
        <w:rPr>
          <w:rFonts w:eastAsia="等线" w:ascii="Arial" w:cs="Arial" w:hAnsi="Arial"/>
          <w:sz w:val="22"/>
        </w:rPr>
        <w:t>自招聘任务下达起，三个月后仍未完成招聘任务的，相应招聘负责人扣除制度执行主观分部分的6%，有招聘需求的部门其他人员扣除制度执行主观分部分的4%，以后按照每个月进行累计扣除，扣除比例分别为6%和4%，半年内最多扣除30%。特殊岗位招聘按扩大会交办处理。</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监督考核机制</w:t>
      </w:r>
    </w:p>
    <w:p>
      <w:pPr>
        <w:spacing w:before="120" w:after="120" w:line="288" w:lineRule="auto"/>
        <w:ind w:left="0" w:firstLine="420"/>
        <w:jc w:val="left"/>
      </w:pPr>
      <w:r>
        <w:rPr>
          <w:rFonts w:eastAsia="等线" w:ascii="Arial" w:cs="Arial" w:hAnsi="Arial"/>
          <w:sz w:val="22"/>
        </w:rPr>
        <w:t>监督依据：飞书生成的提示汇总表。提示汇总表应按考核要求统计每个员工被提示和关联提示数量。</w:t>
      </w:r>
    </w:p>
    <w:p>
      <w:pPr>
        <w:spacing w:before="120" w:after="120" w:line="288" w:lineRule="auto"/>
        <w:ind w:left="0" w:firstLine="420"/>
        <w:jc w:val="left"/>
      </w:pPr>
      <w:r>
        <w:rPr>
          <w:rFonts w:eastAsia="等线" w:ascii="Arial" w:cs="Arial" w:hAnsi="Arial"/>
          <w:sz w:val="22"/>
        </w:rPr>
        <w:t>管理员根据飞书系统，对上个月未完成提示数量的情况进行提示。</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考核依据及方法</w:t>
      </w:r>
    </w:p>
    <w:p>
      <w:pPr>
        <w:spacing w:before="120" w:after="120" w:line="288" w:lineRule="auto"/>
        <w:ind w:left="0" w:firstLine="420"/>
        <w:jc w:val="left"/>
      </w:pPr>
      <w:r>
        <w:rPr>
          <w:rFonts w:eastAsia="等线" w:ascii="Arial" w:cs="Arial" w:hAnsi="Arial"/>
          <w:sz w:val="22"/>
        </w:rPr>
        <w:t>相关制度管理员须分别于当年7月31日及次年1月31日之前公示相应考核年度所有可量化任务的完成情况、奖惩情况、企业经营管理审查报告，风控委出具风控报告，并将上述信息以适当的方式进行链接。考核人员对照附件4631中的考核标准及前述公示信息，按表列要求进行考核，并将全员的数据发送董事长、监事会主席、风控主席、总经理。</w:t>
      </w:r>
    </w:p>
    <w:p>
      <w:pPr>
        <w:spacing w:before="120" w:after="120" w:line="288" w:lineRule="auto"/>
        <w:ind w:left="0" w:firstLine="420"/>
        <w:jc w:val="left"/>
      </w:pPr>
      <w:r>
        <w:rPr>
          <w:rFonts w:eastAsia="等线" w:ascii="Arial" w:cs="Arial" w:hAnsi="Arial"/>
          <w:sz w:val="22"/>
        </w:rPr>
        <w:t>每次考核后一周内，绩效考核管理员将员工的绩效考核明细分数单独发送至对应个人。</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考核目标</w:t>
      </w:r>
    </w:p>
    <w:p>
      <w:pPr>
        <w:spacing w:before="120" w:after="120" w:line="288" w:lineRule="auto"/>
        <w:ind w:left="0" w:firstLine="420"/>
        <w:jc w:val="left"/>
      </w:pPr>
      <w:r>
        <w:rPr>
          <w:rFonts w:eastAsia="等线" w:ascii="Arial" w:cs="Arial" w:hAnsi="Arial"/>
          <w:sz w:val="22"/>
        </w:rPr>
        <w:t>检查业绩，发现问题。</w:t>
      </w:r>
    </w:p>
    <w:p>
      <w:pPr>
        <w:spacing w:before="120" w:after="120" w:line="288" w:lineRule="auto"/>
        <w:ind w:left="0" w:firstLine="420"/>
        <w:jc w:val="left"/>
      </w:pPr>
      <w:r>
        <w:rPr>
          <w:rFonts w:eastAsia="等线" w:ascii="Arial" w:cs="Arial" w:hAnsi="Arial"/>
          <w:sz w:val="22"/>
        </w:rPr>
        <w:t>依据绩效考核结果对员工利益（绩效奖金、工资等）进行分配，通过对考核结果的应用，实现对员工的激励。</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考核结果的运用</w:t>
      </w:r>
    </w:p>
    <w:p>
      <w:pPr>
        <w:spacing w:before="120" w:after="120" w:line="288" w:lineRule="auto"/>
        <w:ind w:left="0" w:firstLine="420"/>
        <w:jc w:val="left"/>
      </w:pPr>
      <w:r>
        <w:rPr>
          <w:rFonts w:eastAsia="等线" w:ascii="Arial" w:cs="Arial" w:hAnsi="Arial"/>
          <w:sz w:val="22"/>
        </w:rPr>
        <w:t>绩效考核结果作为绩效奖金调整、岗位调整、是否续聘、个人工作计划制定及绩效奖励发放的重要依据。</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管理员和副总有变化的当月，绩效考核管理员根据总经理办公会纪要对飞书提示系统中的内容进行修改。</w:t>
      </w:r>
    </w:p>
    <w:p>
      <w:pPr>
        <w:spacing w:before="120" w:after="120" w:line="288" w:lineRule="auto"/>
        <w:ind w:left="0" w:firstLine="0"/>
        <w:jc w:val="left"/>
      </w:pPr>
      <w:r>
        <w:rPr>
          <w:rFonts w:eastAsia="等线" w:ascii="Arial" w:cs="Arial" w:hAnsi="Arial"/>
          <w:b w:val="true"/>
          <w:sz w:val="22"/>
        </w:rPr>
        <w:t>第十三条</w:t>
      </w:r>
      <w:r>
        <w:rPr>
          <w:rFonts w:eastAsia="等线" w:ascii="Arial" w:cs="Arial" w:hAnsi="Arial"/>
          <w:sz w:val="22"/>
        </w:rPr>
        <w:t xml:space="preserve"> 考核后约谈 </w:t>
      </w:r>
    </w:p>
    <w:p>
      <w:pPr>
        <w:spacing w:before="120" w:after="120" w:line="288" w:lineRule="auto"/>
        <w:ind w:left="0" w:firstLine="420"/>
        <w:jc w:val="left"/>
      </w:pPr>
      <w:r>
        <w:rPr>
          <w:rFonts w:eastAsia="等线" w:ascii="Arial" w:cs="Arial" w:hAnsi="Arial"/>
          <w:sz w:val="22"/>
        </w:rPr>
        <w:t>考核后约谈的目的是公司向员工提出工作中的不足，请有关同事认真对待并尽快改正。考核后，由总经理约谈以下员工：</w:t>
      </w:r>
    </w:p>
    <w:p>
      <w:pPr>
        <w:spacing w:before="120" w:after="120" w:line="288" w:lineRule="auto"/>
        <w:ind w:left="0" w:firstLine="0"/>
        <w:jc w:val="left"/>
      </w:pPr>
      <w:r>
        <w:rPr>
          <w:rFonts w:eastAsia="等线" w:ascii="Arial" w:cs="Arial" w:hAnsi="Arial"/>
          <w:sz w:val="22"/>
        </w:rPr>
        <w:t>（一） 员工的绩效考核表中，投资数量分为0的；</w:t>
      </w:r>
    </w:p>
    <w:p>
      <w:pPr>
        <w:spacing w:before="120" w:after="120" w:line="288" w:lineRule="auto"/>
        <w:ind w:left="0" w:firstLine="0"/>
        <w:jc w:val="left"/>
      </w:pPr>
      <w:r>
        <w:rPr>
          <w:rFonts w:eastAsia="等线" w:ascii="Arial" w:cs="Arial" w:hAnsi="Arial"/>
          <w:sz w:val="22"/>
        </w:rPr>
        <w:t>（二） 制度建设、监督、执行分数后一名的；</w:t>
      </w:r>
    </w:p>
    <w:p>
      <w:pPr>
        <w:spacing w:before="120" w:after="120" w:line="288" w:lineRule="auto"/>
        <w:ind w:left="0" w:firstLine="0"/>
        <w:jc w:val="left"/>
      </w:pPr>
      <w:r>
        <w:rPr>
          <w:rFonts w:eastAsia="等线" w:ascii="Arial" w:cs="Arial" w:hAnsi="Arial"/>
          <w:sz w:val="22"/>
        </w:rPr>
        <w:t>（三） 投后管理成绩后一名的；</w:t>
      </w:r>
    </w:p>
    <w:p>
      <w:pPr>
        <w:spacing w:before="120" w:after="120" w:line="288" w:lineRule="auto"/>
        <w:ind w:left="0" w:firstLine="0"/>
        <w:jc w:val="left"/>
      </w:pPr>
      <w:r>
        <w:rPr>
          <w:rFonts w:eastAsia="等线" w:ascii="Arial" w:cs="Arial" w:hAnsi="Arial"/>
          <w:sz w:val="22"/>
        </w:rPr>
        <w:t>（四） 考核分数后一名的；</w:t>
      </w:r>
    </w:p>
    <w:p>
      <w:pPr>
        <w:spacing w:before="120" w:after="120" w:line="288" w:lineRule="auto"/>
        <w:ind w:left="0" w:firstLine="0"/>
        <w:jc w:val="left"/>
      </w:pPr>
      <w:r>
        <w:rPr>
          <w:rFonts w:eastAsia="等线" w:ascii="Arial" w:cs="Arial" w:hAnsi="Arial"/>
          <w:sz w:val="22"/>
        </w:rPr>
        <w:t>（五） 调研报告和立项分数低于80分的；</w:t>
      </w:r>
    </w:p>
    <w:p>
      <w:pPr>
        <w:spacing w:before="120" w:after="120" w:line="288" w:lineRule="auto"/>
        <w:ind w:left="0" w:firstLine="0"/>
        <w:jc w:val="left"/>
      </w:pPr>
      <w:r>
        <w:rPr>
          <w:rFonts w:eastAsia="等线" w:ascii="Arial" w:cs="Arial" w:hAnsi="Arial"/>
          <w:sz w:val="22"/>
        </w:rPr>
        <w:t>（六） 建设、监督、执行制度分数有一项低于70分的高管。</w:t>
      </w:r>
    </w:p>
    <w:p>
      <w:pPr>
        <w:spacing w:before="120" w:after="120" w:line="288" w:lineRule="auto"/>
        <w:ind w:left="0" w:firstLine="420"/>
        <w:jc w:val="left"/>
      </w:pPr>
      <w:r>
        <w:rPr>
          <w:rFonts w:eastAsia="等线" w:ascii="Arial" w:cs="Arial" w:hAnsi="Arial"/>
          <w:sz w:val="22"/>
        </w:rPr>
        <w:t>考核结束一周内管理员将以上人员名单发送扩大会成员及全职监事、董事长及相关约谈人员。</w:t>
      </w:r>
    </w:p>
    <w:p>
      <w:pPr>
        <w:spacing w:before="120" w:after="120" w:line="288" w:lineRule="auto"/>
        <w:ind w:left="0" w:firstLine="420"/>
        <w:jc w:val="left"/>
      </w:pPr>
      <w:r>
        <w:rPr>
          <w:rFonts w:eastAsia="等线" w:ascii="Arial" w:cs="Arial" w:hAnsi="Arial"/>
          <w:sz w:val="22"/>
        </w:rPr>
        <w:t xml:space="preserve">附件： </w:t>
      </w:r>
    </w:p>
    <w:p>
      <w:pPr>
        <w:spacing w:before="120" w:after="120" w:line="288" w:lineRule="auto"/>
        <w:ind w:left="453"/>
        <w:jc w:val="left"/>
      </w:pPr>
      <w:hyperlink r:id="rId68">
        <w:r>
          <w:rPr>
            <w:rFonts w:eastAsia="等线" w:ascii="Arial" w:cs="Arial" w:hAnsi="Arial"/>
            <w:color w:val="3370ff"/>
            <w:sz w:val="22"/>
          </w:rPr>
          <w:t>附件4621-绩效考核管理规定202508</w:t>
        </w:r>
      </w:hyperlink>
    </w:p>
    <w:p>
      <w:pPr>
        <w:spacing w:before="120" w:after="120" w:line="288" w:lineRule="auto"/>
        <w:ind w:left="453"/>
        <w:jc w:val="left"/>
      </w:pPr>
      <w:hyperlink r:id="rId69">
        <w:r>
          <w:rPr>
            <w:rFonts w:eastAsia="等线" w:ascii="Arial" w:cs="Arial" w:hAnsi="Arial"/>
            <w:color w:val="3370ff"/>
            <w:sz w:val="22"/>
          </w:rPr>
          <w:t>附件4622-项目打分表</w:t>
        </w:r>
      </w:hyperlink>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80" w:id="80"/>
      <w:r>
        <w:rPr>
          <w:rFonts w:eastAsia="等线" w:ascii="Arial" w:cs="Arial" w:hAnsi="Arial"/>
          <w:b w:val="true"/>
          <w:sz w:val="30"/>
        </w:rPr>
        <w:t>第三节 培训管理制度（</w:t>
      </w:r>
      <w:r>
        <w:rPr>
          <w:rFonts w:eastAsia="等线" w:ascii="Arial" w:cs="Arial" w:hAnsi="Arial"/>
          <w:b w:val="true"/>
          <w:color w:val="3370ff"/>
          <w:sz w:val="30"/>
        </w:rPr>
        <w:t>@丁泉惠</w:t>
      </w:r>
      <w:r>
        <w:rPr>
          <w:rFonts w:eastAsia="等线" w:ascii="Arial" w:cs="Arial" w:hAnsi="Arial"/>
          <w:b w:val="true"/>
          <w:sz w:val="30"/>
        </w:rPr>
        <w:t>）（总经办）</w:t>
      </w:r>
      <w:bookmarkEnd w:id="80"/>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为规范公司员工培训工作，强化员工职业素质，促进公司长期、稳定、高效发展，特制定本制度。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本制度适用范围包括新员工入职培训、公司内部培训、公司外部培训、企业实地学习、专业学习考试。新员工入职培训及其他公司内部培训，参加培训人员须在飞书签到，并由培训负责人审批。</w:t>
      </w:r>
    </w:p>
    <w:p>
      <w:pPr>
        <w:spacing w:before="120" w:after="120" w:line="288" w:lineRule="auto"/>
        <w:ind w:left="0" w:firstLine="420"/>
        <w:jc w:val="left"/>
      </w:pPr>
      <w:r>
        <w:rPr>
          <w:rFonts w:eastAsia="等线" w:ascii="Arial" w:cs="Arial" w:hAnsi="Arial"/>
          <w:sz w:val="22"/>
        </w:rPr>
        <w:t>非投资岗岗位员工只参加公司理念培训即可，无需参加公司法务培训和投资流程培训。</w:t>
      </w:r>
    </w:p>
    <w:p>
      <w:pPr>
        <w:spacing w:before="120" w:after="120" w:line="288" w:lineRule="auto"/>
        <w:ind w:left="0" w:firstLine="420"/>
        <w:jc w:val="left"/>
      </w:pPr>
      <w:r>
        <w:rPr>
          <w:rFonts w:eastAsia="等线" w:ascii="Arial" w:cs="Arial" w:hAnsi="Arial"/>
          <w:sz w:val="22"/>
        </w:rPr>
        <w:t>培训需融入跨境投资知识，遵守目标市场法规（如美国SEC），参照美国早期风险投资行业标准（如NVCA培训框架）。</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新员工入职培训</w:t>
      </w:r>
    </w:p>
    <w:p>
      <w:pPr>
        <w:spacing w:before="120" w:after="120" w:line="288" w:lineRule="auto"/>
        <w:ind w:left="0" w:firstLine="420"/>
        <w:jc w:val="left"/>
      </w:pPr>
      <w:r>
        <w:rPr>
          <w:rFonts w:eastAsia="等线" w:ascii="Arial" w:cs="Arial" w:hAnsi="Arial"/>
          <w:sz w:val="22"/>
        </w:rPr>
        <w:t>(一)目的：通过对于新员工的入职培训，加深新员工对于公司的发展理念、治理理念、投资理念与方法论的理解。</w:t>
      </w:r>
    </w:p>
    <w:p>
      <w:pPr>
        <w:spacing w:before="120" w:after="120" w:line="288" w:lineRule="auto"/>
        <w:ind w:left="0" w:firstLine="420"/>
        <w:jc w:val="left"/>
      </w:pPr>
      <w:r>
        <w:rPr>
          <w:rFonts w:eastAsia="等线" w:ascii="Arial" w:cs="Arial" w:hAnsi="Arial"/>
          <w:sz w:val="22"/>
        </w:rPr>
        <w:t>(二)参会人员：新入职员工、董事长/总经理或其指定人员。董事长/总经理或其指定人员主持会议。</w:t>
      </w:r>
    </w:p>
    <w:p>
      <w:pPr>
        <w:spacing w:before="120" w:after="120" w:line="288" w:lineRule="auto"/>
        <w:ind w:left="0" w:firstLine="420"/>
        <w:jc w:val="left"/>
      </w:pPr>
      <w:r>
        <w:rPr>
          <w:rFonts w:eastAsia="等线" w:ascii="Arial" w:cs="Arial" w:hAnsi="Arial"/>
          <w:sz w:val="22"/>
        </w:rPr>
        <w:t>（三）召集人：董事长、总经理或其指定人员。</w:t>
      </w:r>
    </w:p>
    <w:p>
      <w:pPr>
        <w:spacing w:before="120" w:after="120" w:line="288" w:lineRule="auto"/>
        <w:ind w:left="0" w:firstLine="420"/>
        <w:jc w:val="left"/>
      </w:pPr>
      <w:r>
        <w:rPr>
          <w:rFonts w:eastAsia="等线" w:ascii="Arial" w:cs="Arial" w:hAnsi="Arial"/>
          <w:sz w:val="22"/>
        </w:rPr>
        <w:t>（四）召开时间：公司新员工发展和治理理念培训会在员工入职一个月内进行，由相关制度管理员负责组织；新员工入职满三个月进行投资理念、方法论在内的业务培训，包括投资流程、负面清单和调研要点、投资协议和投后管理，由相关制度管理员讲解，总经理参与沟通讲解。</w:t>
      </w:r>
    </w:p>
    <w:p>
      <w:pPr>
        <w:spacing w:before="120" w:after="120" w:line="288" w:lineRule="auto"/>
        <w:ind w:left="0" w:firstLine="420"/>
        <w:jc w:val="left"/>
      </w:pPr>
      <w:r>
        <w:rPr>
          <w:rFonts w:eastAsia="等线" w:ascii="Arial" w:cs="Arial" w:hAnsi="Arial"/>
          <w:sz w:val="22"/>
        </w:rPr>
        <w:t>（五）会议记录：该会议进行飞书签到，不做会议记录。</w:t>
      </w:r>
    </w:p>
    <w:p>
      <w:pPr>
        <w:spacing w:before="120" w:after="120" w:line="288" w:lineRule="auto"/>
        <w:ind w:left="0" w:firstLine="420"/>
        <w:jc w:val="left"/>
      </w:pPr>
      <w:r>
        <w:rPr>
          <w:rFonts w:eastAsia="等线" w:ascii="Arial" w:cs="Arial" w:hAnsi="Arial"/>
          <w:sz w:val="22"/>
        </w:rPr>
        <w:t>（六）新员工理念为非定期会议</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新员工入职培训程序</w:t>
      </w:r>
    </w:p>
    <w:p>
      <w:pPr>
        <w:spacing w:before="120" w:after="120" w:line="288" w:lineRule="auto"/>
        <w:ind w:left="0" w:firstLine="420"/>
        <w:jc w:val="left"/>
      </w:pPr>
      <w:r>
        <w:rPr>
          <w:rFonts w:eastAsia="等线" w:ascii="Arial" w:cs="Arial" w:hAnsi="Arial"/>
          <w:sz w:val="22"/>
        </w:rPr>
        <w:t>（一） 新员工入职当天，由人力资源经理发送《新员工入职须知》；</w:t>
      </w:r>
    </w:p>
    <w:p>
      <w:pPr>
        <w:spacing w:before="120" w:after="120" w:line="288" w:lineRule="auto"/>
        <w:ind w:left="0" w:firstLine="420"/>
        <w:jc w:val="left"/>
      </w:pPr>
      <w:r>
        <w:rPr>
          <w:rFonts w:eastAsia="等线" w:ascii="Arial" w:cs="Arial" w:hAnsi="Arial"/>
          <w:sz w:val="22"/>
        </w:rPr>
        <w:t>（二） 由管理员发送最新版的制度汇编，新入职员工在理念培训前完成企业文化相关制度的通读及熟知，在业务培训前完成投资相关制度的通读及熟知，新员工如有疑问可找相关制度管理员咨询；</w:t>
      </w:r>
    </w:p>
    <w:p>
      <w:pPr>
        <w:spacing w:before="120" w:after="120" w:line="288" w:lineRule="auto"/>
        <w:ind w:left="0" w:firstLine="420"/>
        <w:jc w:val="left"/>
      </w:pPr>
      <w:r>
        <w:rPr>
          <w:rFonts w:eastAsia="等线" w:ascii="Arial" w:cs="Arial" w:hAnsi="Arial"/>
          <w:sz w:val="22"/>
        </w:rPr>
        <w:t>（三） 部门总监负责组织基础业务材料（如过往调研报告、投资协议等）供新员工熟悉；</w:t>
      </w:r>
    </w:p>
    <w:p>
      <w:pPr>
        <w:spacing w:before="120" w:after="120" w:line="288" w:lineRule="auto"/>
        <w:ind w:left="0" w:firstLine="420"/>
        <w:jc w:val="left"/>
      </w:pPr>
      <w:r>
        <w:rPr>
          <w:rFonts w:eastAsia="等线" w:ascii="Arial" w:cs="Arial" w:hAnsi="Arial"/>
          <w:sz w:val="22"/>
        </w:rPr>
        <w:t>（四） 新员工入职1个月内由董事长负责企业文化理念培训；新员工入职三个月内由总经理指定人员（原则上是当时管理员）负责投资方法和投后管理培训。以上培训，董事长和培训人认为有必要参加的其他员工可以通知其参加。</w:t>
      </w:r>
    </w:p>
    <w:p>
      <w:pPr>
        <w:spacing w:before="120" w:after="120" w:line="288" w:lineRule="auto"/>
        <w:ind w:left="0" w:firstLine="420"/>
        <w:jc w:val="left"/>
      </w:pPr>
      <w:r>
        <w:rPr>
          <w:rFonts w:eastAsia="等线" w:ascii="Arial" w:cs="Arial" w:hAnsi="Arial"/>
          <w:sz w:val="22"/>
        </w:rPr>
        <w:t>（五） 风控部新入职员工完成第（四）款中规定的培训后两周内，由风控主席进行风控培训；</w:t>
      </w:r>
    </w:p>
    <w:p>
      <w:pPr>
        <w:spacing w:before="120" w:after="120" w:line="288" w:lineRule="auto"/>
        <w:ind w:left="0" w:firstLine="420"/>
        <w:jc w:val="left"/>
      </w:pPr>
      <w:r>
        <w:rPr>
          <w:rFonts w:eastAsia="等线" w:ascii="Arial" w:cs="Arial" w:hAnsi="Arial"/>
          <w:sz w:val="22"/>
        </w:rPr>
        <w:t>（六） 公司其它管理制度培训，新员工可主动向相关制度管理员提出培训需求，或者由相关制度管理员主动发起培训讲解；</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培训整个流程：</w:t>
      </w:r>
    </w:p>
    <w:p>
      <w:pPr>
        <w:spacing w:before="120" w:after="120" w:line="288" w:lineRule="auto"/>
        <w:ind w:left="453"/>
        <w:jc w:val="left"/>
      </w:pPr>
      <w:r>
        <w:rPr>
          <w:rFonts w:eastAsia="等线" w:ascii="Arial" w:cs="Arial" w:hAnsi="Arial"/>
          <w:sz w:val="22"/>
        </w:rPr>
        <w:t>（一）讲解完毕后，讲解人与新入员工对于讲解内容进行探讨交流；</w:t>
      </w:r>
    </w:p>
    <w:p>
      <w:pPr>
        <w:spacing w:before="120" w:after="120" w:line="288" w:lineRule="auto"/>
        <w:ind w:left="453"/>
        <w:jc w:val="left"/>
      </w:pPr>
      <w:r>
        <w:rPr>
          <w:rFonts w:eastAsia="等线" w:ascii="Arial" w:cs="Arial" w:hAnsi="Arial"/>
          <w:sz w:val="22"/>
        </w:rPr>
        <w:t>（二）自由讨论。</w:t>
      </w:r>
    </w:p>
    <w:p>
      <w:pPr>
        <w:spacing w:before="120" w:after="120" w:line="288" w:lineRule="auto"/>
        <w:ind w:left="453"/>
        <w:jc w:val="left"/>
      </w:pPr>
      <w:r>
        <w:rPr>
          <w:rFonts w:eastAsia="等线" w:ascii="Arial" w:cs="Arial" w:hAnsi="Arial"/>
          <w:sz w:val="22"/>
        </w:rPr>
        <w:t>（三）最后由新入职员工做三分钟总结发言，谈谈自己对培训内容的理解和消化。</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公司内部培训的内容和程序</w:t>
      </w:r>
    </w:p>
    <w:p>
      <w:pPr>
        <w:spacing w:before="120" w:after="120" w:line="288" w:lineRule="auto"/>
        <w:ind w:left="0" w:firstLine="420"/>
        <w:jc w:val="left"/>
      </w:pPr>
      <w:r>
        <w:rPr>
          <w:rFonts w:eastAsia="等线" w:ascii="Arial" w:cs="Arial" w:hAnsi="Arial"/>
          <w:sz w:val="22"/>
        </w:rPr>
        <w:t>公司内部定期或不定期于公司会议上自行组织相关业务知识和岗位技能培训，开展工作经验交流与分享活动，以优化知识结构，满足工作实际需要。</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公司外部培训的内容和程序</w:t>
      </w:r>
    </w:p>
    <w:p>
      <w:pPr>
        <w:spacing w:before="120" w:after="120" w:line="288" w:lineRule="auto"/>
        <w:ind w:left="0" w:firstLine="420"/>
        <w:jc w:val="left"/>
      </w:pPr>
      <w:r>
        <w:rPr>
          <w:rFonts w:eastAsia="等线" w:ascii="Arial" w:cs="Arial" w:hAnsi="Arial"/>
          <w:sz w:val="22"/>
        </w:rPr>
        <w:t>经董事长审批，员工可带薪离岗参加外部培训机构组织的培训（含符合公司战略方向的mba、总裁班等职业培训），培训费用由公司部分报销，报销比例由扩大会讨论确定。扩大会讨论前述事项时参考员工个人支付比例。</w:t>
      </w:r>
    </w:p>
    <w:p>
      <w:pPr>
        <w:spacing w:before="120" w:after="120" w:line="288" w:lineRule="auto"/>
        <w:ind w:left="0" w:firstLine="420"/>
        <w:jc w:val="left"/>
      </w:pPr>
      <w:r>
        <w:rPr>
          <w:rFonts w:eastAsia="等线" w:ascii="Arial" w:cs="Arial" w:hAnsi="Arial"/>
          <w:sz w:val="22"/>
        </w:rPr>
        <w:t>员工学习后须将学习内容和体会进行整理，并在部门例会上进行讲解展示学习成果。</w:t>
      </w:r>
    </w:p>
    <w:p>
      <w:pPr>
        <w:spacing w:before="120" w:after="120" w:line="288" w:lineRule="auto"/>
        <w:ind w:left="0" w:firstLine="420"/>
        <w:jc w:val="left"/>
      </w:pPr>
      <w:r>
        <w:rPr>
          <w:rFonts w:eastAsia="等线" w:ascii="Arial" w:cs="Arial" w:hAnsi="Arial"/>
          <w:sz w:val="22"/>
        </w:rPr>
        <w:t>公司不定期聘请专家、学者到公司进行现场培训、交流。如有录屏可在线重复观看的与公司经营管理相关的专题视频课程，经董事长认可具备价值且费用合理的条件下，可以作为专业培训内容向公司同事发放。</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专业学习考试的内容和程序</w:t>
      </w:r>
    </w:p>
    <w:p>
      <w:pPr>
        <w:spacing w:before="120" w:after="120" w:line="288" w:lineRule="auto"/>
        <w:ind w:left="0" w:firstLine="420"/>
        <w:jc w:val="left"/>
      </w:pPr>
      <w:r>
        <w:rPr>
          <w:rFonts w:eastAsia="等线" w:ascii="Arial" w:cs="Arial" w:hAnsi="Arial"/>
          <w:sz w:val="22"/>
        </w:rPr>
        <w:t>（一） 共性知识学习部分</w:t>
      </w:r>
    </w:p>
    <w:p>
      <w:pPr>
        <w:spacing w:before="120" w:after="120" w:line="288" w:lineRule="auto"/>
        <w:ind w:left="0" w:firstLine="420"/>
        <w:jc w:val="left"/>
      </w:pPr>
      <w:r>
        <w:rPr>
          <w:rFonts w:eastAsia="等线" w:ascii="Arial" w:cs="Arial" w:hAnsi="Arial"/>
          <w:sz w:val="22"/>
        </w:rPr>
        <w:t>员工在入职一年内须通过《基金从业资格考试》（入职一年内基金业协会没有考试安排的可适当延长，具体以官方考试安排为准），未在规定时间内通过考试，由制度管理员进行提示。</w:t>
      </w:r>
    </w:p>
    <w:p>
      <w:pPr>
        <w:spacing w:before="120" w:after="120" w:line="288" w:lineRule="auto"/>
        <w:ind w:left="0" w:firstLine="420"/>
        <w:jc w:val="left"/>
      </w:pPr>
      <w:r>
        <w:rPr>
          <w:rFonts w:eastAsia="等线" w:ascii="Arial" w:cs="Arial" w:hAnsi="Arial"/>
          <w:sz w:val="22"/>
        </w:rPr>
        <w:t>公司在每年1月和7月组织财务和法务培训和考试。具体要求详见“绩效考核制度”。</w:t>
      </w:r>
    </w:p>
    <w:p>
      <w:pPr>
        <w:spacing w:before="120" w:after="120" w:line="288" w:lineRule="auto"/>
        <w:ind w:left="0" w:firstLine="420"/>
        <w:jc w:val="left"/>
      </w:pPr>
      <w:r>
        <w:rPr>
          <w:rFonts w:eastAsia="等线" w:ascii="Arial" w:cs="Arial" w:hAnsi="Arial"/>
          <w:sz w:val="22"/>
        </w:rPr>
        <w:t>公司微信群除了通知之外还有信息共享作用，要尽可能的多发与我们投资领域相关路演信息、科技前沿、最新政策等信息；发布路演信息不限于自己是否参加，别人可能有时间有兴趣参加。</w:t>
      </w:r>
    </w:p>
    <w:p>
      <w:pPr>
        <w:spacing w:before="120" w:after="120" w:line="288" w:lineRule="auto"/>
        <w:ind w:left="0" w:firstLine="420"/>
        <w:jc w:val="left"/>
      </w:pPr>
      <w:r>
        <w:rPr>
          <w:rFonts w:eastAsia="等线" w:ascii="Arial" w:cs="Arial" w:hAnsi="Arial"/>
          <w:sz w:val="22"/>
        </w:rPr>
        <w:t>（二） 专业知识学习部分</w:t>
      </w:r>
    </w:p>
    <w:p>
      <w:pPr>
        <w:spacing w:before="120" w:after="120" w:line="288" w:lineRule="auto"/>
        <w:ind w:left="0" w:firstLine="420"/>
        <w:jc w:val="left"/>
      </w:pPr>
      <w:r>
        <w:rPr>
          <w:rFonts w:eastAsia="等线" w:ascii="Arial" w:cs="Arial" w:hAnsi="Arial"/>
          <w:sz w:val="22"/>
        </w:rPr>
        <w:t>鼓励员工参加学术型会议。</w:t>
      </w:r>
    </w:p>
    <w:p>
      <w:pPr>
        <w:spacing w:before="120" w:after="120" w:line="288" w:lineRule="auto"/>
        <w:ind w:left="0" w:firstLine="420"/>
        <w:jc w:val="left"/>
      </w:pPr>
      <w:r>
        <w:rPr>
          <w:rFonts w:eastAsia="等线" w:ascii="Arial" w:cs="Arial" w:hAnsi="Arial"/>
          <w:sz w:val="22"/>
        </w:rPr>
        <w:t>（三） 考试费用处理及考核</w:t>
      </w:r>
    </w:p>
    <w:p>
      <w:pPr>
        <w:spacing w:before="120" w:after="120" w:line="288" w:lineRule="auto"/>
        <w:ind w:left="0" w:firstLine="420"/>
        <w:jc w:val="left"/>
      </w:pPr>
      <w:r>
        <w:rPr>
          <w:rFonts w:eastAsia="等线" w:ascii="Arial" w:cs="Arial" w:hAnsi="Arial"/>
          <w:sz w:val="22"/>
        </w:rPr>
        <w:t>规定时间内报销两次《基金从业资格考试》费用：一次考试通过的，除报销当次考试费用外，额外发放奖金，奖金额度相当于考试费用；超过两次的考试费用自理。</w:t>
      </w:r>
    </w:p>
    <w:p>
      <w:pPr>
        <w:spacing w:before="120" w:after="120" w:line="288" w:lineRule="auto"/>
        <w:ind w:left="0" w:firstLine="420"/>
        <w:jc w:val="left"/>
      </w:pPr>
      <w:r>
        <w:rPr>
          <w:rFonts w:eastAsia="等线" w:ascii="Arial" w:cs="Arial" w:hAnsi="Arial"/>
          <w:sz w:val="22"/>
        </w:rPr>
        <w:t>本制度施行后，公司可根据实际情况制定年度实施方案，经总经理审批后执行。</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员工在培训中学习到的新知识、新技能或心得体会，应在部门例会上或月度工作目标回顾会上及时与同事分享，并根据实际情况制作电子文档存放于公司网盘中，将培训材料交档案管理员存档。</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总经理年度制度集中修改后一个月内和全体在职人员一对一面对面谈话，总经理和员工均可主动发起，谈话形式包括不限于办公室坐谈、外出散步聊天、吃饭聊天等，谈话内容包括不限于公司经营管理理念与方法、个人学习与提升、社会认知与见解、家庭与社交生活、行业形势分析等。</w:t>
      </w: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81" w:id="81"/>
      <w:r>
        <w:rPr>
          <w:rFonts w:eastAsia="等线" w:ascii="Arial" w:cs="Arial" w:hAnsi="Arial"/>
          <w:b w:val="true"/>
          <w:sz w:val="32"/>
        </w:rPr>
        <w:t>第七章 财务管理制度</w:t>
      </w:r>
      <w:r>
        <w:rPr>
          <w:rFonts w:eastAsia="等线" w:ascii="Arial" w:cs="Arial" w:hAnsi="Arial"/>
          <w:b w:val="true"/>
          <w:sz w:val="32"/>
        </w:rPr>
        <w:t>（</w:t>
      </w:r>
      <w:r>
        <w:rPr>
          <w:rFonts w:eastAsia="等线" w:ascii="Arial" w:cs="Arial" w:hAnsi="Arial"/>
          <w:b w:val="true"/>
          <w:color w:val="3370ff"/>
          <w:sz w:val="32"/>
        </w:rPr>
        <w:t>@余子政</w:t>
      </w:r>
      <w:r>
        <w:rPr>
          <w:rFonts w:eastAsia="等线" w:ascii="Arial" w:cs="Arial" w:hAnsi="Arial"/>
          <w:b w:val="true"/>
          <w:sz w:val="32"/>
        </w:rPr>
        <w:t>）（总经办）</w:t>
      </w:r>
      <w:bookmarkEnd w:id="81"/>
    </w:p>
    <w:p>
      <w:pPr>
        <w:spacing w:before="120" w:after="120" w:line="288" w:lineRule="auto"/>
        <w:ind w:left="0" w:firstLine="420"/>
        <w:jc w:val="left"/>
      </w:pPr>
      <w:r>
        <w:rPr>
          <w:rFonts w:eastAsia="等线" w:ascii="Arial" w:cs="Arial" w:hAnsi="Arial"/>
          <w:sz w:val="22"/>
        </w:rPr>
        <w:t>为加强公司的财务管理,规范公司财务行为,保障公司及股东的合法权益,依据《中华人民共和国会计法》、《中华人民共和国公司法》、《企业会计制度》、《企业会计准则》以及其他相关法规，结合公司的特点和管理要求制定本制度。本制度适用于北京清科同润科技投资有限公司和上海同登九和私募基金管理有限公司。</w:t>
      </w:r>
    </w:p>
    <w:p>
      <w:pPr>
        <w:pStyle w:val="3"/>
        <w:spacing w:before="300" w:after="120" w:line="288" w:lineRule="auto"/>
        <w:ind w:left="0"/>
        <w:jc w:val="center"/>
        <w:outlineLvl w:val="2"/>
      </w:pPr>
      <w:bookmarkStart w:name="heading_82" w:id="82"/>
      <w:r>
        <w:rPr>
          <w:rFonts w:eastAsia="等线" w:ascii="Arial" w:cs="Arial" w:hAnsi="Arial"/>
          <w:b w:val="true"/>
          <w:sz w:val="30"/>
        </w:rPr>
        <w:t>第一节 预决算管理制度</w:t>
      </w:r>
      <w:bookmarkEnd w:id="82"/>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w:t>
      </w:r>
    </w:p>
    <w:p>
      <w:pPr>
        <w:spacing w:before="120" w:after="120" w:line="288" w:lineRule="auto"/>
        <w:ind w:left="0" w:firstLine="420"/>
        <w:jc w:val="left"/>
      </w:pPr>
      <w:r>
        <w:rPr>
          <w:rFonts w:eastAsia="等线" w:ascii="Arial" w:cs="Arial" w:hAnsi="Arial"/>
          <w:sz w:val="22"/>
        </w:rPr>
        <w:t>公司需要建立自己的财务预算管理制度，为提升管理效能与经营效益，通过精准控制成本、优化现金流管理、强化内控体系，支撑战略落地与核心能力建设。动态监控财务数据，实现资产收益核算与风险预警，最终达成降本增效的目的。财务预决算工作由财务总监负责安排和协调，下属财务人员负责落实和操作。</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决算管理</w:t>
      </w:r>
    </w:p>
    <w:p>
      <w:pPr>
        <w:spacing w:before="120" w:after="120" w:line="288" w:lineRule="auto"/>
        <w:ind w:left="0" w:firstLine="420"/>
        <w:jc w:val="left"/>
      </w:pPr>
      <w:r>
        <w:rPr>
          <w:rFonts w:eastAsia="等线" w:ascii="Arial" w:cs="Arial" w:hAnsi="Arial"/>
          <w:sz w:val="22"/>
        </w:rPr>
        <w:t>（一） 各公司需要制定自己的财务决算管理制度，须严格按照公司财务管理制度和预算方案跟踪财务预算执行情况，编制年度决算表和预决算对比表，对决算与预算的差异进行分析;</w:t>
      </w:r>
    </w:p>
    <w:p>
      <w:pPr>
        <w:spacing w:before="120" w:after="120" w:line="288" w:lineRule="auto"/>
        <w:ind w:left="0" w:firstLine="420"/>
        <w:jc w:val="left"/>
      </w:pPr>
      <w:r>
        <w:rPr>
          <w:rFonts w:eastAsia="等线" w:ascii="Arial" w:cs="Arial" w:hAnsi="Arial"/>
          <w:sz w:val="22"/>
        </w:rPr>
        <w:t>（二） 财务人员按照分工应于每月15号之前编制同润、求智和同登公司上月财务报表并以邮件形式发送给财务总监，由财务总监负责将财务报表发送给全体董事、监事；</w:t>
      </w:r>
    </w:p>
    <w:p>
      <w:pPr>
        <w:spacing w:before="120" w:after="120" w:line="288" w:lineRule="auto"/>
        <w:ind w:left="0" w:firstLine="420"/>
        <w:jc w:val="left"/>
      </w:pPr>
      <w:r>
        <w:rPr>
          <w:rFonts w:eastAsia="等线" w:ascii="Arial" w:cs="Arial" w:hAnsi="Arial"/>
          <w:sz w:val="22"/>
        </w:rPr>
        <w:t>（三） 公司财务人员根据公司安排启动全年决算，核对账务数据，确保数字准确、账实相符。全面分析财务状况、经营情况和费用控制情况，并与年初预算方案对比，找出问题并提出建议。</w:t>
      </w:r>
    </w:p>
    <w:p>
      <w:pPr>
        <w:spacing w:before="120" w:after="120" w:line="288" w:lineRule="auto"/>
        <w:ind w:left="453"/>
        <w:jc w:val="left"/>
      </w:pPr>
      <w:r>
        <w:rPr>
          <w:rFonts w:eastAsia="等线" w:ascii="Arial" w:cs="Arial" w:hAnsi="Arial"/>
          <w:sz w:val="22"/>
        </w:rPr>
        <w:t>（四）财务总监根据董事长要求完成决算统计；</w:t>
      </w:r>
    </w:p>
    <w:p>
      <w:pPr>
        <w:spacing w:before="120" w:after="120" w:line="288" w:lineRule="auto"/>
        <w:ind w:left="0" w:firstLine="0"/>
        <w:jc w:val="left"/>
      </w:pPr>
      <w:r>
        <w:rPr>
          <w:rFonts w:eastAsia="等线" w:ascii="Arial" w:cs="Arial" w:hAnsi="Arial"/>
          <w:sz w:val="22"/>
        </w:rPr>
        <w:t xml:space="preserve">    （五） 财务人员对决算报告和财务数据的真实性、完整性负责，向管理者或投资者提供错误的报告和数据的，根据情况予以批评。</w:t>
      </w:r>
    </w:p>
    <w:p>
      <w:pPr>
        <w:spacing w:before="120" w:after="120" w:line="288" w:lineRule="auto"/>
        <w:ind w:left="0" w:firstLine="420"/>
        <w:jc w:val="left"/>
      </w:pPr>
      <w:r>
        <w:rPr>
          <w:rFonts w:eastAsia="等线" w:ascii="Arial" w:cs="Arial" w:hAnsi="Arial"/>
          <w:sz w:val="22"/>
        </w:rPr>
        <w:t>（六） 财务人员分工调整要经过总经办讨论通过。</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预算管理</w:t>
      </w:r>
    </w:p>
    <w:p>
      <w:pPr>
        <w:spacing w:before="120" w:after="120" w:line="288" w:lineRule="auto"/>
        <w:ind w:left="0" w:firstLine="420"/>
        <w:jc w:val="left"/>
      </w:pPr>
      <w:r>
        <w:rPr>
          <w:rFonts w:eastAsia="等线" w:ascii="Arial" w:cs="Arial" w:hAnsi="Arial"/>
          <w:sz w:val="22"/>
        </w:rPr>
        <w:t>（一） 预算年度与会计年度一致，自公历1月1日至12月31日。总经理应组织相关人员于每年1月份开始着手于本年度预算的编制工作；</w:t>
      </w:r>
    </w:p>
    <w:p>
      <w:pPr>
        <w:spacing w:before="120" w:after="120" w:line="288" w:lineRule="auto"/>
        <w:ind w:left="0" w:firstLine="420"/>
        <w:jc w:val="left"/>
      </w:pPr>
      <w:r>
        <w:rPr>
          <w:rFonts w:eastAsia="等线" w:ascii="Arial" w:cs="Arial" w:hAnsi="Arial"/>
          <w:sz w:val="22"/>
        </w:rPr>
        <w:t>（二） 预算方案包含收入和支出项目。费用性支出预算包括管理费用预算、财务费用预算等。与公司所有部门有关的费用支出，财务总监根据扩大会要求做好相关预算工作。</w:t>
      </w:r>
    </w:p>
    <w:p>
      <w:pPr>
        <w:spacing w:before="120" w:after="120" w:line="288" w:lineRule="auto"/>
        <w:ind w:left="0" w:firstLine="420"/>
        <w:jc w:val="left"/>
      </w:pPr>
      <w:r>
        <w:rPr>
          <w:rFonts w:eastAsia="等线" w:ascii="Arial" w:cs="Arial" w:hAnsi="Arial"/>
          <w:sz w:val="22"/>
        </w:rPr>
        <w:t>（三）总经办根据公司实际费用支出和下一年度经营目标，制订公司年度预算方案，报扩大会讨论、董事会审批;</w:t>
      </w:r>
    </w:p>
    <w:p>
      <w:pPr>
        <w:spacing w:before="120" w:after="120" w:line="288" w:lineRule="auto"/>
        <w:ind w:left="0" w:firstLine="420"/>
        <w:jc w:val="left"/>
      </w:pPr>
      <w:r>
        <w:rPr>
          <w:rFonts w:eastAsia="等线" w:ascii="Arial" w:cs="Arial" w:hAnsi="Arial"/>
          <w:sz w:val="22"/>
        </w:rPr>
        <w:t>（四） 年初公司董事会上汇报年度决算情况和预算方案，财务总监根据董事会修改意见，修正公司整体预算草案;</w:t>
      </w:r>
    </w:p>
    <w:p>
      <w:pPr>
        <w:spacing w:before="120" w:after="120" w:line="288" w:lineRule="auto"/>
        <w:ind w:left="0" w:firstLine="420"/>
        <w:jc w:val="left"/>
      </w:pPr>
      <w:r>
        <w:rPr>
          <w:rFonts w:eastAsia="等线" w:ascii="Arial" w:cs="Arial" w:hAnsi="Arial"/>
          <w:sz w:val="22"/>
        </w:rPr>
        <w:t>（五） 财务总监每年7月对公司财务预算的执行情况进行跟踪、统计、分析比较，并向扩大会汇报。</w:t>
      </w:r>
    </w:p>
    <w:p>
      <w:pPr>
        <w:spacing w:before="120" w:after="120" w:line="288" w:lineRule="auto"/>
        <w:ind w:left="0" w:firstLine="420"/>
        <w:jc w:val="left"/>
      </w:pPr>
      <w:r>
        <w:rPr>
          <w:rFonts w:eastAsia="等线" w:ascii="Arial" w:cs="Arial" w:hAnsi="Arial"/>
          <w:sz w:val="22"/>
        </w:rPr>
        <w:t>（六） 自2025年1月1日起开始同登负责自己的年度预算，并提交董事会和股东会审议通过。</w:t>
      </w:r>
    </w:p>
    <w:p>
      <w:pPr>
        <w:spacing w:before="120" w:after="120" w:line="288" w:lineRule="auto"/>
        <w:ind w:left="453"/>
        <w:jc w:val="left"/>
      </w:pPr>
      <w:r>
        <w:rPr>
          <w:rFonts w:eastAsia="等线" w:ascii="Arial" w:cs="Arial" w:hAnsi="Arial"/>
          <w:sz w:val="22"/>
        </w:rPr>
        <w:t xml:space="preserve">  （七）全面预算，包括但不限于人员成本、房租成本、日常运行费用、咨询费用、采购费用等项目，详见附件4711。</w:t>
      </w:r>
    </w:p>
    <w:p>
      <w:pPr>
        <w:spacing w:before="120" w:after="120" w:line="288" w:lineRule="auto"/>
        <w:ind w:left="0" w:firstLine="420"/>
        <w:jc w:val="left"/>
      </w:pPr>
      <w:r>
        <w:rPr>
          <w:rFonts w:eastAsia="等线" w:ascii="Arial" w:cs="Arial" w:hAnsi="Arial"/>
          <w:sz w:val="22"/>
        </w:rPr>
        <w:t>（八） 每半年度同润、同登统计并汇报预算执行情况，对于大幅超出或者不足的项目，分析其中的原因，并向董事会和股东会进行汇报。</w:t>
      </w:r>
    </w:p>
    <w:p>
      <w:pPr>
        <w:spacing w:before="120" w:after="120" w:line="288" w:lineRule="auto"/>
        <w:ind w:left="0" w:firstLine="420"/>
        <w:jc w:val="left"/>
      </w:pPr>
    </w:p>
    <w:p>
      <w:pPr>
        <w:spacing w:before="120" w:after="120" w:line="288" w:lineRule="auto"/>
        <w:ind w:left="0" w:firstLine="0"/>
        <w:jc w:val="left"/>
      </w:pPr>
      <w:hyperlink r:id="rId70">
        <w:r>
          <w:rPr>
            <w:rFonts w:eastAsia="等线" w:ascii="Arial" w:cs="Arial" w:hAnsi="Arial"/>
            <w:color w:val="3370ff"/>
            <w:sz w:val="22"/>
          </w:rPr>
          <w:t>附件4711-《预算决算统计表》</w:t>
        </w:r>
      </w:hyperlink>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83" w:id="83"/>
      <w:r>
        <w:rPr>
          <w:rFonts w:eastAsia="等线" w:ascii="Arial" w:cs="Arial" w:hAnsi="Arial"/>
          <w:b w:val="true"/>
          <w:sz w:val="30"/>
        </w:rPr>
        <w:t>第二节 货币资金管理制度</w:t>
      </w:r>
      <w:bookmarkEnd w:id="83"/>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w:t>
      </w:r>
    </w:p>
    <w:p>
      <w:pPr>
        <w:spacing w:before="120" w:after="120" w:line="288" w:lineRule="auto"/>
        <w:ind w:left="0" w:firstLine="420"/>
        <w:jc w:val="left"/>
      </w:pPr>
      <w:r>
        <w:rPr>
          <w:rFonts w:eastAsia="等线" w:ascii="Arial" w:cs="Arial" w:hAnsi="Arial"/>
          <w:sz w:val="22"/>
        </w:rPr>
        <w:t>为了加强对公司货币资金的内部控制和管理，保证货币资金的安全和使用效率。</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本制度所指的货币资金包括现金、银行存款和其他货币资金。</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职责分离</w:t>
      </w:r>
    </w:p>
    <w:p>
      <w:pPr>
        <w:spacing w:before="120" w:after="120" w:line="288" w:lineRule="auto"/>
        <w:ind w:left="0" w:firstLine="0"/>
        <w:jc w:val="left"/>
      </w:pPr>
      <w:r>
        <w:rPr>
          <w:rFonts w:eastAsia="等线" w:ascii="Arial" w:cs="Arial" w:hAnsi="Arial"/>
          <w:sz w:val="22"/>
        </w:rPr>
        <w:t xml:space="preserve">     （一） 货币资金收付业务经办与审核相分离：出纳人员负责款项收付业务的经办，公司财务人员负责银行存款收付业务的审核；</w:t>
      </w:r>
    </w:p>
    <w:p>
      <w:pPr>
        <w:spacing w:before="120" w:after="120" w:line="288" w:lineRule="auto"/>
        <w:ind w:left="453"/>
        <w:jc w:val="left"/>
      </w:pPr>
      <w:r>
        <w:rPr>
          <w:rFonts w:eastAsia="等线" w:ascii="Arial" w:cs="Arial" w:hAnsi="Arial"/>
          <w:sz w:val="22"/>
        </w:rPr>
        <w:t>（二）所有货币资金收支须经过财务总监审批，监事会对财务工作进行检查监督提示，具体检查监督办法见《监事会议事规则》，总经理按要求对检查出的问题落实纠正并及时回复。</w:t>
      </w:r>
    </w:p>
    <w:p>
      <w:pPr>
        <w:spacing w:before="120" w:after="120" w:line="288" w:lineRule="auto"/>
        <w:ind w:left="453"/>
        <w:jc w:val="left"/>
      </w:pPr>
      <w:r>
        <w:rPr>
          <w:rFonts w:eastAsia="等线" w:ascii="Arial" w:cs="Arial" w:hAnsi="Arial"/>
          <w:sz w:val="22"/>
        </w:rPr>
        <w:t>（三）公司日常经营中的常规支出通过OA中的报销、采购等模块进行提交审批，而日常经营中不属于常规支出的均需通过OA中的非常规支出审批模块进行提交审批。详细明细项见附件4721-《常规支出、非常规支出明细表》。</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库存现金管理</w:t>
      </w:r>
    </w:p>
    <w:p>
      <w:pPr>
        <w:spacing w:before="120" w:after="120" w:line="288" w:lineRule="auto"/>
        <w:ind w:left="0" w:firstLine="420"/>
        <w:jc w:val="left"/>
      </w:pPr>
      <w:r>
        <w:rPr>
          <w:rFonts w:eastAsia="等线" w:ascii="Arial" w:cs="Arial" w:hAnsi="Arial"/>
          <w:sz w:val="22"/>
        </w:rPr>
        <w:t>公司通常情况下不使用现金，如遇特殊情况，上报董事长一事一议。</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银行存款管理</w:t>
      </w:r>
    </w:p>
    <w:p>
      <w:pPr>
        <w:spacing w:before="120" w:after="120" w:line="288" w:lineRule="auto"/>
        <w:ind w:left="0" w:firstLine="420"/>
        <w:jc w:val="left"/>
      </w:pPr>
      <w:r>
        <w:rPr>
          <w:rFonts w:eastAsia="等线" w:ascii="Arial" w:cs="Arial" w:hAnsi="Arial"/>
          <w:sz w:val="22"/>
        </w:rPr>
        <w:t>（一） 财务人员及其他银行存款业务办理人员应严格遵守国家有关规定，不得私自出借银行账户给其他单位或个人使用，不得为外单位或个人代收代支、转账套现;</w:t>
      </w:r>
    </w:p>
    <w:p>
      <w:pPr>
        <w:spacing w:before="120" w:after="120" w:line="288" w:lineRule="auto"/>
        <w:ind w:left="0"/>
        <w:jc w:val="left"/>
      </w:pPr>
      <w:r>
        <w:rPr>
          <w:rFonts w:eastAsia="等线" w:ascii="Arial" w:cs="Arial" w:hAnsi="Arial"/>
          <w:sz w:val="22"/>
        </w:rPr>
        <w:t xml:space="preserve">      （二）公司因业务开展，需要新开立银行账户的，应报经财务总监以及总经理或总经理授权的其他人员审批后方可开始办理相关开户手续;公司的所有网银账户必须有U盾和复核盾，需交给财务和出纳分别管理；公司的U盾和复核盾交接或必要时更换密码，如遇特殊情况将密码告知他人的时候应及时更换密码。若遇到工作交接，应及时提醒后面的员工更换密码。</w:t>
      </w:r>
    </w:p>
    <w:p>
      <w:pPr>
        <w:spacing w:before="120" w:after="120" w:line="288" w:lineRule="auto"/>
        <w:ind w:left="0" w:firstLine="420"/>
        <w:jc w:val="left"/>
      </w:pPr>
      <w:r>
        <w:rPr>
          <w:rFonts w:eastAsia="等线" w:ascii="Arial" w:cs="Arial" w:hAnsi="Arial"/>
          <w:sz w:val="22"/>
        </w:rPr>
        <w:t>（三） 出纳人员应定期保存并打印银行回单和对账单;</w:t>
      </w:r>
    </w:p>
    <w:p>
      <w:pPr>
        <w:spacing w:before="120" w:after="120" w:line="288" w:lineRule="auto"/>
        <w:ind w:left="0" w:firstLine="420"/>
        <w:jc w:val="left"/>
      </w:pPr>
      <w:r>
        <w:rPr>
          <w:rFonts w:eastAsia="等线" w:ascii="Arial" w:cs="Arial" w:hAnsi="Arial"/>
          <w:sz w:val="22"/>
        </w:rPr>
        <w:t>（四） 公司所有收支业务均需先提交OA审批，具体经办人员应向出纳与会计提供相关交易凭证（如有）并明确款项收支事由，出纳与会计人员须认真核对收支金额、付款方名称及收款方账户名、账号等信息；</w:t>
      </w:r>
    </w:p>
    <w:p>
      <w:pPr>
        <w:spacing w:before="120" w:after="120" w:line="288" w:lineRule="auto"/>
        <w:ind w:left="0" w:firstLine="420"/>
        <w:jc w:val="left"/>
      </w:pPr>
      <w:r>
        <w:rPr>
          <w:rFonts w:eastAsia="等线" w:ascii="Arial" w:cs="Arial" w:hAnsi="Arial"/>
          <w:sz w:val="22"/>
        </w:rPr>
        <w:t>（五） 会计人员应当进一步核实银行存款收付凭证的合法性、合理性、真实性，根据核对无误的凭证登记入账;</w:t>
      </w:r>
    </w:p>
    <w:p>
      <w:pPr>
        <w:spacing w:before="120" w:after="120" w:line="288" w:lineRule="auto"/>
        <w:ind w:left="0" w:firstLine="420"/>
        <w:jc w:val="left"/>
      </w:pPr>
      <w:r>
        <w:rPr>
          <w:rFonts w:eastAsia="等线" w:ascii="Arial" w:cs="Arial" w:hAnsi="Arial"/>
          <w:sz w:val="22"/>
        </w:rPr>
        <w:t>（六） 出纳、会计人员应随时掌握公司基本户银行存款余额，为公司决策提供依据，并时刻关注开户行关于公司银行存款的相关政策。</w:t>
      </w:r>
    </w:p>
    <w:p>
      <w:pPr>
        <w:spacing w:before="120" w:after="120" w:line="288" w:lineRule="auto"/>
        <w:ind w:left="0" w:firstLine="420"/>
        <w:jc w:val="left"/>
      </w:pPr>
      <w:r>
        <w:rPr>
          <w:rFonts w:eastAsia="等线" w:ascii="Arial" w:cs="Arial" w:hAnsi="Arial"/>
          <w:sz w:val="22"/>
        </w:rPr>
        <w:t>第六条 非常规支出由各总经理按制度批准，OA设置抄送董事长、副总和财务总监。</w:t>
      </w:r>
    </w:p>
    <w:p>
      <w:pPr>
        <w:spacing w:before="120" w:after="120" w:line="288" w:lineRule="auto"/>
        <w:ind w:left="0"/>
        <w:jc w:val="left"/>
      </w:pPr>
      <w:hyperlink r:id="rId71">
        <w:r>
          <w:rPr>
            <w:rFonts w:eastAsia="等线" w:ascii="Arial" w:cs="Arial" w:hAnsi="Arial"/>
            <w:color w:val="3370ff"/>
            <w:sz w:val="22"/>
          </w:rPr>
          <w:t>附件4721-《常规支出、非常规支出明细表》</w:t>
        </w:r>
      </w:hyperlink>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84" w:id="84"/>
      <w:r>
        <w:rPr>
          <w:rFonts w:eastAsia="等线" w:ascii="Arial" w:cs="Arial" w:hAnsi="Arial"/>
          <w:b w:val="true"/>
          <w:sz w:val="30"/>
        </w:rPr>
        <w:t>第三节 固定资产管理制度</w:t>
      </w:r>
      <w:bookmarkEnd w:id="84"/>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w:t>
      </w:r>
    </w:p>
    <w:p>
      <w:pPr>
        <w:spacing w:before="120" w:after="120" w:line="288" w:lineRule="auto"/>
        <w:ind w:left="0" w:firstLine="420"/>
        <w:jc w:val="left"/>
      </w:pPr>
      <w:r>
        <w:rPr>
          <w:rFonts w:eastAsia="等线" w:ascii="Arial" w:cs="Arial" w:hAnsi="Arial"/>
          <w:sz w:val="22"/>
        </w:rPr>
        <w:t>为加强公司固定资产的管理，防止损坏、短缺、积压和浪费，确保固定资产的完整，正确核算固定资产的数量和价值，监督并促进固定资产的妥善保管和合理使用，充分发挥固定资产的效能，规范固定资产购置。由财务人员负责监督执行。</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本制度所指的固定资产是使用期限超过1个会计年度、具有一定价值的可重复使用及具有一定价值的办公家具、办公设备等。对于金额较小的办公用品（一般低于2000元），不再计入固定资产。</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固定资产的分类、编号、标签</w:t>
      </w:r>
    </w:p>
    <w:p>
      <w:pPr>
        <w:spacing w:before="120" w:after="120" w:line="288" w:lineRule="auto"/>
        <w:ind w:left="0" w:firstLine="420"/>
        <w:jc w:val="left"/>
      </w:pPr>
      <w:r>
        <w:rPr>
          <w:rFonts w:eastAsia="等线" w:ascii="Arial" w:cs="Arial" w:hAnsi="Arial"/>
          <w:sz w:val="22"/>
        </w:rPr>
        <w:t>（一） 固定资产分类</w:t>
      </w:r>
    </w:p>
    <w:p>
      <w:pPr>
        <w:spacing w:before="120" w:after="120" w:line="288" w:lineRule="auto"/>
        <w:ind w:left="0" w:firstLine="420"/>
        <w:jc w:val="left"/>
      </w:pPr>
      <w:r>
        <w:rPr>
          <w:rFonts w:eastAsia="等线" w:ascii="Arial" w:cs="Arial" w:hAnsi="Arial"/>
          <w:sz w:val="22"/>
        </w:rPr>
        <w:t>办公家具类，如办公座椅、茶几、文件柜、椅凳等。</w:t>
      </w:r>
    </w:p>
    <w:p>
      <w:pPr>
        <w:spacing w:before="120" w:after="120" w:line="288" w:lineRule="auto"/>
        <w:ind w:left="0" w:firstLine="420"/>
        <w:jc w:val="left"/>
      </w:pPr>
      <w:r>
        <w:rPr>
          <w:rFonts w:eastAsia="等线" w:ascii="Arial" w:cs="Arial" w:hAnsi="Arial"/>
          <w:sz w:val="22"/>
        </w:rPr>
        <w:t>办公设备类，如电脑、电视、打印机、投影仪等。</w:t>
      </w:r>
    </w:p>
    <w:p>
      <w:pPr>
        <w:spacing w:before="120" w:after="120" w:line="288" w:lineRule="auto"/>
        <w:ind w:left="0" w:firstLine="420"/>
        <w:jc w:val="left"/>
      </w:pPr>
      <w:r>
        <w:rPr>
          <w:rFonts w:eastAsia="等线" w:ascii="Arial" w:cs="Arial" w:hAnsi="Arial"/>
          <w:sz w:val="22"/>
        </w:rPr>
        <w:t>（二） 固定资产编号</w:t>
      </w:r>
    </w:p>
    <w:p>
      <w:pPr>
        <w:spacing w:before="120" w:after="120" w:line="288" w:lineRule="auto"/>
        <w:ind w:left="0" w:firstLine="420"/>
        <w:jc w:val="left"/>
      </w:pPr>
      <w:r>
        <w:rPr>
          <w:rFonts w:eastAsia="等线" w:ascii="Arial" w:cs="Arial" w:hAnsi="Arial"/>
          <w:sz w:val="22"/>
        </w:rPr>
        <w:t>固定资产采用六位编号制，前两位编号按照固定资产的类别分别设置为，办公家具类01，办公设备类02，后四位编号按照固定资产购置顺序依次排列，如0001、0002等。</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行政人员（采购）是固定资产的统筹管理机构，负责本公司固定资产的登记管理工作，每年3月底之前将固定资产档案附件4731-《固定资产登记表》提报财务总监，档案内容包括编号、调拨、报损、维修、数据更新等情况。固定资产盘点工作由行政人员发起，财务人员监盘，对于发现的账实不符的问题，应通报总经理，并作出账务调整。</w:t>
      </w:r>
    </w:p>
    <w:p>
      <w:pPr>
        <w:spacing w:before="120" w:after="120" w:line="288" w:lineRule="auto"/>
        <w:ind w:left="0" w:firstLine="420"/>
        <w:jc w:val="left"/>
      </w:pPr>
      <w:r>
        <w:rPr>
          <w:rFonts w:eastAsia="等线" w:ascii="Arial" w:cs="Arial" w:hAnsi="Arial"/>
          <w:sz w:val="22"/>
        </w:rPr>
        <w:t>行政经理（保管）收到固定资产档案后一个月内在行政经理的配合下做好固定资产的盘点和账务管理工作，使用人员负责固定资产的保管工作。行政经理对于固定资产管理的账务工作包括具体职责如下：</w:t>
      </w:r>
    </w:p>
    <w:p>
      <w:pPr>
        <w:spacing w:before="120" w:after="120" w:line="288" w:lineRule="auto"/>
        <w:ind w:left="0" w:firstLine="420"/>
        <w:jc w:val="left"/>
      </w:pPr>
      <w:r>
        <w:rPr>
          <w:rFonts w:eastAsia="等线" w:ascii="Arial" w:cs="Arial" w:hAnsi="Arial"/>
          <w:sz w:val="22"/>
        </w:rPr>
        <w:t>（一） 对固定资产进行财务核算，设置固定资产总账、明细分类账及管理台账；</w:t>
      </w:r>
    </w:p>
    <w:p>
      <w:pPr>
        <w:spacing w:before="120" w:after="120" w:line="288" w:lineRule="auto"/>
        <w:ind w:left="0" w:firstLine="420"/>
        <w:jc w:val="left"/>
      </w:pPr>
      <w:r>
        <w:rPr>
          <w:rFonts w:eastAsia="等线" w:ascii="Arial" w:cs="Arial" w:hAnsi="Arial"/>
          <w:sz w:val="22"/>
        </w:rPr>
        <w:t>（二） 对固定资产的增减变动及时进行账务处理，按月计提折旧。</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折旧年限</w:t>
      </w:r>
    </w:p>
    <w:p>
      <w:pPr>
        <w:spacing w:before="120" w:after="120" w:line="288" w:lineRule="auto"/>
        <w:ind w:left="0" w:firstLine="420"/>
        <w:jc w:val="left"/>
      </w:pPr>
      <w:r>
        <w:rPr>
          <w:rFonts w:eastAsia="等线" w:ascii="Arial" w:cs="Arial" w:hAnsi="Arial"/>
          <w:sz w:val="22"/>
        </w:rPr>
        <w:t>当月增加的固定资产，当月不提折旧，从下月起计提折旧；当月减少的固定资产，当月照提折旧，从下月起不提折旧。固定资产提足折旧后，不论是否继续使用，均不再提取折旧；提前报废的固定资产，也不再补提折旧。固定资产折旧年限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2685"/>
        <w:gridCol w:w="2640"/>
      </w:tblGrid>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固定资产类别</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折旧计提年限</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净残值率</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电子设备</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6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办公家具</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26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r>
    </w:tbl>
    <w:p>
      <w:pPr>
        <w:spacing w:before="120" w:after="120" w:line="288" w:lineRule="auto"/>
        <w:ind w:left="0"/>
        <w:jc w:val="left"/>
      </w:pPr>
      <w:hyperlink r:id="rId72">
        <w:r>
          <w:rPr>
            <w:rFonts w:eastAsia="等线" w:ascii="Arial" w:cs="Arial" w:hAnsi="Arial"/>
            <w:color w:val="3370ff"/>
            <w:sz w:val="22"/>
          </w:rPr>
          <w:t>附件4731-《固定资产登记表》</w:t>
        </w:r>
      </w:hyperlink>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85" w:id="85"/>
      <w:r>
        <w:rPr>
          <w:rFonts w:eastAsia="等线" w:ascii="Arial" w:cs="Arial" w:hAnsi="Arial"/>
          <w:b w:val="true"/>
          <w:sz w:val="30"/>
        </w:rPr>
        <w:t>第四节 因公借款管理、备用金管理和发票报销制度</w:t>
      </w:r>
      <w:bookmarkEnd w:id="85"/>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w:t>
      </w:r>
    </w:p>
    <w:p>
      <w:pPr>
        <w:spacing w:before="120" w:after="120" w:line="288" w:lineRule="auto"/>
        <w:ind w:left="0" w:firstLine="420"/>
        <w:jc w:val="left"/>
      </w:pPr>
      <w:r>
        <w:rPr>
          <w:rFonts w:eastAsia="等线" w:ascii="Arial" w:cs="Arial" w:hAnsi="Arial"/>
          <w:sz w:val="22"/>
        </w:rPr>
        <w:t>为进一步加强对公司借款、备用金和发票报销的管理工作，保障公司各项经营活动有序地进行，加强对各部门发生费用的有效控制，由财务人员负责监督执行。</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定额备用金管理</w:t>
      </w:r>
    </w:p>
    <w:p>
      <w:pPr>
        <w:spacing w:before="120" w:after="120" w:line="288" w:lineRule="auto"/>
        <w:ind w:left="0" w:firstLine="420"/>
        <w:jc w:val="left"/>
      </w:pPr>
      <w:r>
        <w:rPr>
          <w:rFonts w:eastAsia="等线" w:ascii="Arial" w:cs="Arial" w:hAnsi="Arial"/>
          <w:sz w:val="22"/>
        </w:rPr>
        <w:t>（一） 为保证公司业务的合理需要，设置定额备用金，定额备用金额度为采购：1万元，大活动：20万元，出国出差：5万元；</w:t>
      </w:r>
    </w:p>
    <w:p>
      <w:pPr>
        <w:spacing w:before="120" w:after="120" w:line="288" w:lineRule="auto"/>
        <w:ind w:left="0" w:firstLine="420"/>
        <w:jc w:val="left"/>
      </w:pPr>
      <w:r>
        <w:rPr>
          <w:rFonts w:eastAsia="等线" w:ascii="Arial" w:cs="Arial" w:hAnsi="Arial"/>
          <w:sz w:val="22"/>
        </w:rPr>
        <w:t>（二） 定额备用金管理人须将定额备用金与个人资金分开管理，严禁将定额备用金用于私人事务。</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备用金、采购及费用报销流程</w:t>
      </w:r>
    </w:p>
    <w:p>
      <w:pPr>
        <w:spacing w:before="120" w:after="120" w:line="288" w:lineRule="auto"/>
        <w:ind w:left="0" w:firstLine="420"/>
        <w:jc w:val="left"/>
      </w:pPr>
      <w:r>
        <w:rPr>
          <w:rFonts w:eastAsia="等线" w:ascii="Arial" w:cs="Arial" w:hAnsi="Arial"/>
          <w:sz w:val="22"/>
        </w:rPr>
        <w:t>（一） 采购物品报销</w:t>
      </w:r>
    </w:p>
    <w:p>
      <w:pPr>
        <w:spacing w:before="120" w:after="120" w:line="288" w:lineRule="auto"/>
        <w:ind w:left="0" w:firstLine="420"/>
        <w:jc w:val="left"/>
      </w:pPr>
      <w:r>
        <w:rPr>
          <w:rFonts w:eastAsia="等线" w:ascii="Arial" w:cs="Arial" w:hAnsi="Arial"/>
          <w:sz w:val="22"/>
        </w:rPr>
        <w:t>采购人员在采购前应先在OA中提交申请，经审批后的相关单据不允许进行任何手动修改，如需修改，重新履行审批手续；</w:t>
      </w:r>
    </w:p>
    <w:p>
      <w:pPr>
        <w:spacing w:before="120" w:after="120" w:line="288" w:lineRule="auto"/>
        <w:ind w:left="0" w:firstLine="420"/>
        <w:jc w:val="left"/>
      </w:pPr>
      <w:r>
        <w:rPr>
          <w:rFonts w:eastAsia="等线" w:ascii="Arial" w:cs="Arial" w:hAnsi="Arial"/>
          <w:sz w:val="22"/>
        </w:rPr>
        <w:t>报销时须提供经相关人员签字的物品验收单、购物发票给到财务人员，财务人员核实原始凭证无误后进行报销及账务处理。采购人员根据采购清单登记礼品、办公用品台账；</w:t>
      </w:r>
    </w:p>
    <w:p>
      <w:pPr>
        <w:spacing w:before="120" w:after="120" w:line="288" w:lineRule="auto"/>
        <w:ind w:left="0" w:firstLine="420"/>
        <w:jc w:val="left"/>
      </w:pPr>
      <w:r>
        <w:rPr>
          <w:rFonts w:eastAsia="等线" w:ascii="Arial" w:cs="Arial" w:hAnsi="Arial"/>
          <w:sz w:val="22"/>
        </w:rPr>
        <w:t>（二） 其他费用报销</w:t>
      </w:r>
    </w:p>
    <w:p>
      <w:pPr>
        <w:spacing w:before="120" w:after="120" w:line="288" w:lineRule="auto"/>
        <w:ind w:left="0" w:firstLine="420"/>
        <w:jc w:val="left"/>
      </w:pPr>
      <w:r>
        <w:rPr>
          <w:rFonts w:eastAsia="等线" w:ascii="Arial" w:cs="Arial" w:hAnsi="Arial"/>
          <w:sz w:val="22"/>
        </w:rPr>
        <w:t>其他费用如餐费、邮费、通讯费、会议费用等日常办公费用报销时需先提交OA中的报销流程。北京和上海人员分别在各自所在公司进行报销。其他费用报销时需列明具体事项。资料费按照每个预立项项目一次性标准500元（此处指报销上限金额）；课题和基础学习合计入职半年以上员工每人每年300元（此处指报销上限金额）。行政人员因业务需要接待加班，且公共交通工具停运，需要打车的市内打车费予以报销，走非常规支出流程。</w:t>
      </w:r>
    </w:p>
    <w:p>
      <w:pPr>
        <w:spacing w:before="120" w:after="120" w:line="288" w:lineRule="auto"/>
        <w:ind w:left="453"/>
        <w:jc w:val="left"/>
      </w:pPr>
      <w:r>
        <w:rPr>
          <w:rFonts w:eastAsia="等线" w:ascii="Arial" w:cs="Arial" w:hAnsi="Arial"/>
          <w:sz w:val="22"/>
        </w:rPr>
        <w:t>（三）费用报销要求</w:t>
      </w:r>
    </w:p>
    <w:p>
      <w:pPr>
        <w:spacing w:before="120" w:after="120" w:line="288" w:lineRule="auto"/>
        <w:ind w:left="0" w:firstLine="420"/>
        <w:jc w:val="left"/>
      </w:pPr>
      <w:r>
        <w:rPr>
          <w:rFonts w:eastAsia="等线" w:ascii="Arial" w:cs="Arial" w:hAnsi="Arial"/>
          <w:sz w:val="22"/>
        </w:rPr>
        <w:t>采购报销时需关联采购审批流程，报销的金额和内容与采购审批一致。</w:t>
      </w:r>
    </w:p>
    <w:p>
      <w:pPr>
        <w:spacing w:before="120" w:after="120" w:line="288" w:lineRule="auto"/>
        <w:ind w:left="0" w:firstLine="420"/>
        <w:jc w:val="left"/>
      </w:pPr>
      <w:r>
        <w:rPr>
          <w:rFonts w:eastAsia="等线" w:ascii="Arial" w:cs="Arial" w:hAnsi="Arial"/>
          <w:sz w:val="22"/>
        </w:rPr>
        <w:t>采购物品报销时，采购清单及发票应与审批后的采购申请单列明物品种类数量相一致。采购人员报销时应将固定资产和礼品、办公用品区分出来分别报销；</w:t>
      </w:r>
    </w:p>
    <w:p>
      <w:pPr>
        <w:spacing w:before="120" w:after="120" w:line="288" w:lineRule="auto"/>
        <w:ind w:left="0" w:firstLine="420"/>
        <w:jc w:val="left"/>
      </w:pPr>
      <w:r>
        <w:rPr>
          <w:rFonts w:eastAsia="等线" w:ascii="Arial" w:cs="Arial" w:hAnsi="Arial"/>
          <w:sz w:val="22"/>
        </w:rPr>
        <w:t>其他费用的报销则须将相关单据分类分别粘贴，可以分别报销，也可以对应一张费用报销单报销；</w:t>
      </w:r>
    </w:p>
    <w:p>
      <w:pPr>
        <w:spacing w:before="120" w:after="120" w:line="288" w:lineRule="auto"/>
        <w:ind w:left="0" w:firstLine="420"/>
        <w:jc w:val="left"/>
      </w:pPr>
      <w:r>
        <w:rPr>
          <w:rFonts w:eastAsia="等线" w:ascii="Arial" w:cs="Arial" w:hAnsi="Arial"/>
          <w:sz w:val="22"/>
        </w:rPr>
        <w:t>定额备用金管理人如发生职位变动或离职，须在公司财务总监的监督下向公司出纳人员交接定额备用金，交接完毕后方可办理相关手续；</w:t>
      </w:r>
    </w:p>
    <w:p>
      <w:pPr>
        <w:spacing w:before="120" w:after="120" w:line="288" w:lineRule="auto"/>
        <w:ind w:left="0" w:firstLine="420"/>
        <w:jc w:val="left"/>
      </w:pPr>
      <w:r>
        <w:rPr>
          <w:rFonts w:eastAsia="等线" w:ascii="Arial" w:cs="Arial" w:hAnsi="Arial"/>
          <w:sz w:val="22"/>
        </w:rPr>
        <w:t>定额备用金管理人及相关财务人员如违反以上规定，将酌情予以警告、罚款等处分；</w:t>
      </w:r>
    </w:p>
    <w:p>
      <w:pPr>
        <w:spacing w:before="120" w:after="120" w:line="288" w:lineRule="auto"/>
        <w:ind w:left="0" w:firstLine="420"/>
        <w:jc w:val="left"/>
      </w:pPr>
      <w:r>
        <w:rPr>
          <w:rFonts w:eastAsia="等线" w:ascii="Arial" w:cs="Arial" w:hAnsi="Arial"/>
          <w:sz w:val="22"/>
        </w:rPr>
        <w:t>采购费用报销需提供采购物品明细。</w:t>
      </w:r>
    </w:p>
    <w:p>
      <w:pPr>
        <w:spacing w:before="120" w:after="120" w:line="288" w:lineRule="auto"/>
        <w:ind w:left="453"/>
        <w:jc w:val="left"/>
      </w:pPr>
      <w:r>
        <w:rPr>
          <w:rFonts w:eastAsia="等线" w:ascii="Arial" w:cs="Arial" w:hAnsi="Arial"/>
          <w:sz w:val="22"/>
        </w:rPr>
        <w:t>（四）对于当年度待报销费用，原则上在下一年度的第一个月前完成报销。未完成报销的，实际报销金额打9折。本月制度执行后，给1个月的缓冲期，让相关员工尽快完成报销。（当年度待报销费用，原则上在下一年度的第一个月前完成报销；未完成报销的，实际报销金额打9折）</w:t>
      </w:r>
    </w:p>
    <w:p>
      <w:pPr>
        <w:spacing w:before="120" w:after="120" w:line="288" w:lineRule="auto"/>
        <w:ind w:left="453"/>
        <w:jc w:val="left"/>
      </w:pPr>
      <w:r>
        <w:rPr>
          <w:rFonts w:eastAsia="等线" w:ascii="Arial" w:cs="Arial" w:hAnsi="Arial"/>
          <w:sz w:val="22"/>
        </w:rPr>
        <w:t>（五）备用金的核销走备用金核销流程。按照月度对已取得发票的事项进行核销，按照具体购买内容在核销流程内容栏处分别中写明，具体粘贴要求详见附件4741-《报销粘贴单》。备用金不允许跨年，年末未使用完的备用金交回公司。</w:t>
      </w:r>
    </w:p>
    <w:p>
      <w:pPr>
        <w:spacing w:before="120" w:after="120" w:line="288" w:lineRule="auto"/>
        <w:ind w:left="0" w:firstLine="420"/>
        <w:jc w:val="left"/>
      </w:pPr>
      <w:r>
        <w:rPr>
          <w:rFonts w:eastAsia="等线" w:ascii="Arial" w:cs="Arial" w:hAnsi="Arial"/>
          <w:b w:val="true"/>
          <w:sz w:val="22"/>
        </w:rPr>
        <w:t>第</w:t>
      </w:r>
      <w:r>
        <w:rPr>
          <w:rFonts w:eastAsia="等线" w:ascii="Arial" w:cs="Arial" w:hAnsi="Arial"/>
          <w:b w:val="true"/>
          <w:sz w:val="22"/>
        </w:rPr>
        <w:t>四条</w:t>
      </w:r>
      <w:r>
        <w:rPr>
          <w:rFonts w:eastAsia="等线" w:ascii="Arial" w:cs="Arial" w:hAnsi="Arial"/>
          <w:sz w:val="22"/>
        </w:rPr>
        <w:t xml:space="preserve"> 借款管理</w:t>
      </w:r>
    </w:p>
    <w:p>
      <w:pPr>
        <w:spacing w:before="120" w:after="120" w:line="288" w:lineRule="auto"/>
        <w:ind w:left="0" w:firstLine="420"/>
        <w:jc w:val="left"/>
      </w:pPr>
      <w:r>
        <w:rPr>
          <w:rFonts w:eastAsia="等线" w:ascii="Arial" w:cs="Arial" w:hAnsi="Arial"/>
          <w:sz w:val="22"/>
        </w:rPr>
        <w:t>员工借款须先提交OA审批，业务结束后，员工应按照约定还款时间（大活动最晚不超过一个月）将借款未支用的部分连同有关业务凭证（发票或收据）送交财务人员冲销预借款，不得余款不报，留作他用。借款需要与公司签署借款协议。</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差旅费管理</w:t>
      </w:r>
    </w:p>
    <w:p>
      <w:pPr>
        <w:spacing w:before="120" w:after="120" w:line="288" w:lineRule="auto"/>
        <w:ind w:left="0" w:firstLine="420"/>
        <w:jc w:val="left"/>
      </w:pPr>
      <w:r>
        <w:rPr>
          <w:rFonts w:eastAsia="等线" w:ascii="Arial" w:cs="Arial" w:hAnsi="Arial"/>
          <w:sz w:val="22"/>
        </w:rPr>
        <w:t>（一） 员工借款用于出差事务，须通过公司OA系统申请差旅备用金并提交出差申请，经相关人员审批后，由出纳支付借款款项；</w:t>
      </w:r>
    </w:p>
    <w:p>
      <w:pPr>
        <w:spacing w:before="120" w:after="120" w:line="288" w:lineRule="auto"/>
        <w:ind w:left="0" w:firstLine="420"/>
        <w:jc w:val="left"/>
      </w:pPr>
      <w:r>
        <w:rPr>
          <w:rFonts w:eastAsia="等线" w:ascii="Arial" w:cs="Arial" w:hAnsi="Arial"/>
          <w:sz w:val="22"/>
        </w:rPr>
        <w:t>（二） 差旅费的主要内容有：交通费、住宿费、餐费、其他费用。如有其他费用需单独申请非常规支出。员工应本着效率和成本兼顾原则，选择适当的出行方式和食宿标准，标准如下：如果乘高铁出行，原则上为二等座；如果选择自驾，报销标准按照火车票的标准进行报销；飞机出行，原则上为经济舱；住宿标准原则上为含早餐快捷酒店；餐费标准为中晚餐每餐40元/人左右，最多不超过50元；市内工作外出不报销餐费、交通费、住宿费等费用；重要工作接待等需要的应事先请示董事长批准；市内餐饮、交通等费用不予报销。</w:t>
      </w:r>
    </w:p>
    <w:p>
      <w:pPr>
        <w:spacing w:before="120" w:after="120" w:line="288" w:lineRule="auto"/>
        <w:ind w:left="0" w:firstLine="420"/>
        <w:jc w:val="left"/>
      </w:pPr>
      <w:r>
        <w:rPr>
          <w:rFonts w:eastAsia="等线" w:ascii="Arial" w:cs="Arial" w:hAnsi="Arial"/>
          <w:sz w:val="22"/>
        </w:rPr>
        <w:t>（三） 所有出差费用的报销须在出差人员返回公司后7日内送交财务人员审核办理。</w:t>
      </w:r>
    </w:p>
    <w:p>
      <w:pPr>
        <w:spacing w:before="120" w:after="120" w:line="288" w:lineRule="auto"/>
        <w:ind w:left="0" w:firstLine="420"/>
        <w:jc w:val="left"/>
      </w:pPr>
      <w:r>
        <w:rPr>
          <w:rFonts w:eastAsia="等线" w:ascii="Arial" w:cs="Arial" w:hAnsi="Arial"/>
          <w:sz w:val="22"/>
        </w:rPr>
        <w:t>（四）每次出差应单独报销，不能多次出差走一个报销单。</w:t>
      </w:r>
    </w:p>
    <w:p>
      <w:pPr>
        <w:spacing w:before="120" w:after="120" w:line="288" w:lineRule="auto"/>
        <w:ind w:left="0" w:firstLine="420"/>
        <w:jc w:val="left"/>
      </w:pPr>
      <w:r>
        <w:rPr>
          <w:rFonts w:eastAsia="等线" w:ascii="Arial" w:cs="Arial" w:hAnsi="Arial"/>
          <w:sz w:val="22"/>
        </w:rPr>
        <w:t>（五） 公司员工在外担任评委或需在公开活动进行演讲需获得总经理批准，参加活动的评审费、专家费等费用归员工所有;员工到外地担任评委差旅费用公司不予报销;</w:t>
      </w:r>
    </w:p>
    <w:p>
      <w:pPr>
        <w:spacing w:before="120" w:after="120" w:line="288" w:lineRule="auto"/>
        <w:ind w:left="0" w:firstLine="420"/>
        <w:jc w:val="left"/>
      </w:pPr>
      <w:r>
        <w:rPr>
          <w:rFonts w:eastAsia="等线" w:ascii="Arial" w:cs="Arial" w:hAnsi="Arial"/>
          <w:sz w:val="22"/>
        </w:rPr>
        <w:t>（六） 出差过程中如请假，则公司报销出差地及出发地之间的高铁费用（如从北京去广州出差，出差完后请假回广西，则在正常报销的基础上，公司报销从广州回北京的高铁票的金额）。</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发票报销管理</w:t>
      </w:r>
    </w:p>
    <w:p>
      <w:pPr>
        <w:spacing w:before="120" w:after="120" w:line="288" w:lineRule="auto"/>
        <w:ind w:left="0" w:firstLine="420"/>
        <w:jc w:val="left"/>
      </w:pPr>
      <w:r>
        <w:rPr>
          <w:rFonts w:eastAsia="等线" w:ascii="Arial" w:cs="Arial" w:hAnsi="Arial"/>
          <w:sz w:val="22"/>
        </w:rPr>
        <w:t>（一） 员工须凭税务机关认可的发票或票据报销，发票均应套印全国统一发票监制章，行政事业收费、政府性基金收据套印省票据专用章。发票大小写金额必须相符，付款单位、发票内容应填写正确，符合要求；</w:t>
      </w:r>
    </w:p>
    <w:p>
      <w:pPr>
        <w:spacing w:before="120" w:after="120" w:line="288" w:lineRule="auto"/>
        <w:ind w:left="0" w:firstLine="420"/>
        <w:jc w:val="left"/>
      </w:pPr>
      <w:r>
        <w:rPr>
          <w:rFonts w:eastAsia="等线" w:ascii="Arial" w:cs="Arial" w:hAnsi="Arial"/>
          <w:sz w:val="22"/>
        </w:rPr>
        <w:t>（二） 公司仅对实际发生的费用予以报销，员工报销费用时须以真实取得的发票或票据联作为付款原始凭证。如未能取得合法（被税务机关认可）的票据将不予以报销，费用自行承担。如发现有虚假报销行为或者报销金额大于实际费用金额，公司有权要求员工退回虚报金额并根据情节轻重进行罚款；</w:t>
      </w:r>
    </w:p>
    <w:p>
      <w:pPr>
        <w:spacing w:before="120" w:after="120" w:line="288" w:lineRule="auto"/>
        <w:ind w:left="0" w:firstLine="420"/>
        <w:jc w:val="left"/>
      </w:pPr>
      <w:r>
        <w:rPr>
          <w:rFonts w:eastAsia="等线" w:ascii="Arial" w:cs="Arial" w:hAnsi="Arial"/>
          <w:sz w:val="22"/>
        </w:rPr>
        <w:t>（三） 员工应在自己劳动合同所在主体公司进行报销。员工报销时应提交OA审批单票据等原始凭证及出差申请单，前述相关单据须注明费用支出事由。</w:t>
      </w:r>
    </w:p>
    <w:p>
      <w:pPr>
        <w:spacing w:before="120" w:after="120" w:line="288" w:lineRule="auto"/>
        <w:ind w:left="0" w:firstLine="420"/>
        <w:jc w:val="left"/>
      </w:pPr>
      <w:r>
        <w:rPr>
          <w:rFonts w:eastAsia="等线" w:ascii="Arial" w:cs="Arial" w:hAnsi="Arial"/>
          <w:sz w:val="22"/>
        </w:rPr>
        <w:t>（四） 财务人员须核对相关票据，如发现不符合规定的报销项目或票据，应及时向报销人员说明原因，以便及时更正。财务人员核对无误、交财务总监和董事长审批后予以报销。</w:t>
      </w:r>
    </w:p>
    <w:p>
      <w:pPr>
        <w:spacing w:before="120" w:after="120" w:line="288" w:lineRule="auto"/>
        <w:ind w:left="0" w:firstLine="420"/>
        <w:jc w:val="left"/>
      </w:pPr>
      <w:r>
        <w:rPr>
          <w:rFonts w:eastAsia="等线" w:ascii="Arial" w:cs="Arial" w:hAnsi="Arial"/>
          <w:sz w:val="22"/>
        </w:rPr>
        <w:t>（五） 对外支出填写相关单据由用款人或项目部成员涉及所投项目投资款、借款等）填写，同时相关单据的付款内容中需标明支出账户所归属的公司主体（例如：同润、白羊、求智、润泽同达、双子）</w:t>
      </w:r>
    </w:p>
    <w:p>
      <w:pPr>
        <w:spacing w:before="120" w:after="120" w:line="288" w:lineRule="auto"/>
        <w:ind w:left="0" w:firstLine="420"/>
        <w:jc w:val="left"/>
      </w:pPr>
      <w:r>
        <w:rPr>
          <w:rFonts w:eastAsia="等线" w:ascii="Arial" w:cs="Arial" w:hAnsi="Arial"/>
          <w:sz w:val="22"/>
        </w:rPr>
        <w:t>（六） 财务审批流程由财务总监负责。已线上审核支付的发票，报销人员对发票的金额和报销单的金额核对一致后7日内线下交票，财务人员接收发票再次审核金额。发现审核支付金额与发票金额不一致的情况，由报销人员补齐发票。</w:t>
      </w:r>
    </w:p>
    <w:p>
      <w:pPr>
        <w:spacing w:before="120" w:after="120" w:line="288" w:lineRule="auto"/>
        <w:ind w:left="0" w:firstLine="420"/>
        <w:jc w:val="left"/>
      </w:pPr>
      <w:r>
        <w:rPr>
          <w:rFonts w:eastAsia="等线" w:ascii="Arial" w:cs="Arial" w:hAnsi="Arial"/>
          <w:sz w:val="22"/>
        </w:rPr>
        <w:t>采购等付款流程、团建等备用金流程需要在支付之日起60天内走完入账核销流程；所有的已支付的发票不允许跨年报销，如特殊情况，须经总经理或董事长同意。且报销人需要提前将发票类别、金额等事项12月底前一周告知财务人，财务人员账面计提费用，报销人方可跨年报销。</w:t>
      </w:r>
    </w:p>
    <w:p>
      <w:pPr>
        <w:spacing w:before="120" w:after="120" w:line="288" w:lineRule="auto"/>
        <w:ind w:left="453"/>
        <w:jc w:val="left"/>
      </w:pPr>
      <w:r>
        <w:rPr>
          <w:rFonts w:eastAsia="等线" w:ascii="Arial" w:cs="Arial" w:hAnsi="Arial"/>
          <w:sz w:val="22"/>
        </w:rPr>
        <w:t>公司所有的报销、付款、非常规支出需在OA流程中备注付款主体。</w:t>
      </w:r>
    </w:p>
    <w:p>
      <w:pPr>
        <w:spacing w:before="120" w:after="120" w:line="288" w:lineRule="auto"/>
        <w:ind w:left="0" w:firstLine="420"/>
        <w:jc w:val="left"/>
      </w:pPr>
      <w:r>
        <w:rPr>
          <w:rFonts w:eastAsia="等线" w:ascii="Arial" w:cs="Arial" w:hAnsi="Arial"/>
          <w:sz w:val="22"/>
        </w:rPr>
        <w:t>所有发票按照附件4741-《报销粘贴单》要求打印贴票。</w:t>
      </w:r>
    </w:p>
    <w:p>
      <w:pPr>
        <w:spacing w:before="120" w:after="120" w:line="288" w:lineRule="auto"/>
        <w:ind w:left="0" w:firstLine="420"/>
        <w:jc w:val="left"/>
      </w:pPr>
      <w:r>
        <w:rPr>
          <w:rFonts w:eastAsia="等线" w:ascii="Arial" w:cs="Arial" w:hAnsi="Arial"/>
          <w:sz w:val="22"/>
        </w:rPr>
        <w:t>（七） 如项目部成员已离职，对于投成奖的发放：1）离职员工直接交发票报销；或 2）通过年终奖形式发放，公司代扣代缴所得税；或 3）经未离职的项目部成员同意，可以在不交发票的前提下先支付投成奖，发票后续由未离职的项目部成员负责处理，原则上不得跨年。</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海外事项报销制度</w:t>
      </w:r>
    </w:p>
    <w:p>
      <w:pPr>
        <w:spacing w:before="120" w:after="120" w:line="288" w:lineRule="auto"/>
        <w:ind w:left="453"/>
        <w:jc w:val="left"/>
      </w:pPr>
      <w:r>
        <w:rPr>
          <w:rFonts w:eastAsia="等线" w:ascii="Arial" w:cs="Arial" w:hAnsi="Arial"/>
          <w:sz w:val="22"/>
        </w:rPr>
        <w:t>（一）公司对于出国工作的报销程序一律通过非常规支出流程；</w:t>
      </w:r>
    </w:p>
    <w:p>
      <w:pPr>
        <w:spacing w:before="120" w:after="120" w:line="288" w:lineRule="auto"/>
        <w:ind w:left="453"/>
        <w:jc w:val="left"/>
      </w:pPr>
      <w:r>
        <w:rPr>
          <w:rFonts w:eastAsia="等线" w:ascii="Arial" w:cs="Arial" w:hAnsi="Arial"/>
          <w:sz w:val="22"/>
        </w:rPr>
        <w:t>（二）海外出差时，员工提供收据用于报销。收据需复印1份，并与原始收据以及Excel支出汇总表（内容包括日期、费用类型、美元金额、人民币金额、汇率）一同提供。</w:t>
      </w:r>
    </w:p>
    <w:p>
      <w:pPr>
        <w:spacing w:before="120" w:after="120" w:line="288" w:lineRule="auto"/>
        <w:ind w:left="453"/>
        <w:jc w:val="left"/>
      </w:pPr>
      <w:r>
        <w:rPr>
          <w:rFonts w:eastAsia="等线" w:ascii="Arial" w:cs="Arial" w:hAnsi="Arial"/>
          <w:sz w:val="22"/>
        </w:rPr>
        <w:t>（三）海外出差时，交通实报实销（包括机票、租车（如有）、打车、油费、停车费等），原则上住宿不超过500人民币/人/天（如确需单人单间，住宿原则上不超过1000人民币/人/天）、餐费不超过400人民币/人/天。</w:t>
      </w:r>
    </w:p>
    <w:p>
      <w:pPr>
        <w:spacing w:before="120" w:after="120" w:line="288" w:lineRule="auto"/>
        <w:ind w:left="453"/>
        <w:jc w:val="left"/>
      </w:pPr>
      <w:r>
        <w:rPr>
          <w:rFonts w:eastAsia="等线" w:ascii="Arial" w:cs="Arial" w:hAnsi="Arial"/>
          <w:sz w:val="22"/>
        </w:rPr>
        <w:t>（四）如长期在海外出差（一个月以上），回国之后一个月内将收据、复印件、Excel支出汇总表连同OA审批单一同交给财务人员。</w:t>
      </w:r>
    </w:p>
    <w:p>
      <w:pPr>
        <w:spacing w:before="120" w:after="120" w:line="288" w:lineRule="auto"/>
        <w:ind w:left="453"/>
        <w:jc w:val="left"/>
      </w:pPr>
      <w:r>
        <w:rPr>
          <w:rFonts w:eastAsia="等线" w:ascii="Arial" w:cs="Arial" w:hAnsi="Arial"/>
          <w:sz w:val="22"/>
        </w:rPr>
        <w:t>（五）以上报销适用范围：通过同润、同登两家公司的海外报销。</w:t>
      </w:r>
    </w:p>
    <w:p>
      <w:pPr>
        <w:spacing w:before="120" w:after="120" w:line="288" w:lineRule="auto"/>
        <w:ind w:left="453"/>
        <w:jc w:val="left"/>
      </w:pPr>
      <w:r>
        <w:rPr>
          <w:rFonts w:eastAsia="等线" w:ascii="Arial" w:cs="Arial" w:hAnsi="Arial"/>
          <w:b w:val="true"/>
          <w:sz w:val="22"/>
        </w:rPr>
        <w:t xml:space="preserve">  第八条</w:t>
      </w:r>
      <w:r>
        <w:rPr>
          <w:rFonts w:eastAsia="等线" w:ascii="Arial" w:cs="Arial" w:hAnsi="Arial"/>
          <w:sz w:val="22"/>
        </w:rPr>
        <w:t xml:space="preserve"> 海外出差相关注意事项</w:t>
      </w:r>
    </w:p>
    <w:p>
      <w:pPr>
        <w:spacing w:before="120" w:after="120" w:line="288" w:lineRule="auto"/>
        <w:ind w:left="453"/>
        <w:jc w:val="left"/>
      </w:pPr>
      <w:r>
        <w:rPr>
          <w:rFonts w:eastAsia="等线" w:ascii="Arial" w:cs="Arial" w:hAnsi="Arial"/>
          <w:sz w:val="22"/>
        </w:rPr>
        <w:t>（一）海外出差时间要求：1）若往返机票价格在4000元以内，至少需在出差地待12天；2）若往返机票价格超过4000元，至少需在出差地待30天；</w:t>
      </w:r>
    </w:p>
    <w:p>
      <w:pPr>
        <w:spacing w:before="120" w:after="120" w:line="288" w:lineRule="auto"/>
        <w:ind w:left="453"/>
        <w:jc w:val="left"/>
      </w:pPr>
      <w:r>
        <w:rPr>
          <w:rFonts w:eastAsia="等线" w:ascii="Arial" w:cs="Arial" w:hAnsi="Arial"/>
          <w:sz w:val="22"/>
        </w:rPr>
        <w:t>（二）当地的资源+项目积累数量至少10个以上；</w:t>
      </w:r>
    </w:p>
    <w:p>
      <w:pPr>
        <w:spacing w:before="120" w:after="120" w:line="288" w:lineRule="auto"/>
        <w:ind w:left="453"/>
        <w:jc w:val="left"/>
      </w:pPr>
      <w:r>
        <w:rPr>
          <w:rFonts w:eastAsia="等线" w:ascii="Arial" w:cs="Arial" w:hAnsi="Arial"/>
          <w:sz w:val="22"/>
        </w:rPr>
        <w:t>（三）同一地方海外出差人数不超过两人，最好三部/风控人员+一/二部人员（不局限于同登）。</w:t>
      </w:r>
    </w:p>
    <w:p>
      <w:pPr>
        <w:spacing w:before="120" w:after="120" w:line="288" w:lineRule="auto"/>
        <w:ind w:left="453"/>
        <w:jc w:val="left"/>
      </w:pPr>
      <w:hyperlink r:id="rId73">
        <w:r>
          <w:rPr>
            <w:rFonts w:eastAsia="等线" w:ascii="Arial" w:cs="Arial" w:hAnsi="Arial"/>
            <w:color w:val="3370ff"/>
            <w:sz w:val="22"/>
          </w:rPr>
          <w:t>附件4741-《发票粘贴单模板》.doc</w:t>
        </w:r>
      </w:hyperlink>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86" w:id="86"/>
      <w:r>
        <w:rPr>
          <w:rFonts w:eastAsia="等线" w:ascii="Arial" w:cs="Arial" w:hAnsi="Arial"/>
          <w:b w:val="true"/>
          <w:sz w:val="30"/>
        </w:rPr>
        <w:t>第五节 财务工作交接制度</w:t>
      </w:r>
      <w:bookmarkEnd w:id="86"/>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w:t>
      </w:r>
    </w:p>
    <w:p>
      <w:pPr>
        <w:spacing w:before="120" w:after="120" w:line="288" w:lineRule="auto"/>
        <w:ind w:left="0" w:firstLine="420"/>
        <w:jc w:val="left"/>
      </w:pPr>
      <w:r>
        <w:rPr>
          <w:rFonts w:eastAsia="等线" w:ascii="Arial" w:cs="Arial" w:hAnsi="Arial"/>
          <w:sz w:val="22"/>
        </w:rPr>
        <w:t>保证财务工作的传承有序，有据可查。</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财务工作交接监督</w:t>
      </w:r>
    </w:p>
    <w:p>
      <w:pPr>
        <w:spacing w:before="120" w:after="120" w:line="288" w:lineRule="auto"/>
        <w:ind w:left="0" w:firstLine="420"/>
        <w:jc w:val="left"/>
      </w:pPr>
      <w:r>
        <w:rPr>
          <w:rFonts w:eastAsia="等线" w:ascii="Arial" w:cs="Arial" w:hAnsi="Arial"/>
          <w:sz w:val="22"/>
        </w:rPr>
        <w:t>财务工作交接由财务总监负责监督，财务总监工作交接由总经理负责监督。</w:t>
      </w:r>
    </w:p>
    <w:p>
      <w:pPr>
        <w:spacing w:before="120" w:after="120" w:line="288" w:lineRule="auto"/>
        <w:ind w:left="0" w:firstLine="420"/>
        <w:jc w:val="left"/>
      </w:pPr>
      <w:r>
        <w:rPr>
          <w:rFonts w:eastAsia="等线" w:ascii="Arial" w:cs="Arial" w:hAnsi="Arial"/>
          <w:sz w:val="22"/>
        </w:rPr>
        <w:t>财务总监负责并安排财务工作的分配和交接并规定具体完成时间，财务人员应按照工作分配执行，否则视为未完成交办任务。</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交接前准备工作</w:t>
      </w:r>
    </w:p>
    <w:p>
      <w:pPr>
        <w:spacing w:before="120" w:after="120" w:line="288" w:lineRule="auto"/>
        <w:ind w:left="0" w:firstLine="420"/>
        <w:jc w:val="left"/>
      </w:pPr>
      <w:r>
        <w:rPr>
          <w:rFonts w:eastAsia="等线" w:ascii="Arial" w:cs="Arial" w:hAnsi="Arial"/>
          <w:sz w:val="22"/>
        </w:rPr>
        <w:t>（一） 已经受理的经济业务尚未填制会计凭证的应当填制完毕；</w:t>
      </w:r>
    </w:p>
    <w:p>
      <w:pPr>
        <w:spacing w:before="120" w:after="120" w:line="288" w:lineRule="auto"/>
        <w:ind w:left="0" w:firstLine="420"/>
        <w:jc w:val="left"/>
      </w:pPr>
      <w:r>
        <w:rPr>
          <w:rFonts w:eastAsia="等线" w:ascii="Arial" w:cs="Arial" w:hAnsi="Arial"/>
          <w:sz w:val="22"/>
        </w:rPr>
        <w:t>（二） 整理好应该移交的各项资料，对未了事项和遗留问题要写出书面说明材料；</w:t>
      </w:r>
    </w:p>
    <w:p>
      <w:pPr>
        <w:spacing w:before="120" w:after="120" w:line="288" w:lineRule="auto"/>
        <w:ind w:left="0" w:firstLine="420"/>
        <w:jc w:val="left"/>
      </w:pPr>
      <w:r>
        <w:rPr>
          <w:rFonts w:eastAsia="等线" w:ascii="Arial" w:cs="Arial" w:hAnsi="Arial"/>
          <w:sz w:val="22"/>
        </w:rPr>
        <w:t>（三） 编制会计文档移交清册，列明应该移交的会计凭证、会计账簿、财务报表、现金、支票、纳税申报等资料，并在移交清册上列明记账软件及密码、报税软件及密码;</w:t>
      </w:r>
    </w:p>
    <w:p>
      <w:pPr>
        <w:spacing w:before="120" w:after="120" w:line="288" w:lineRule="auto"/>
        <w:ind w:left="0" w:firstLine="420"/>
        <w:jc w:val="left"/>
      </w:pPr>
      <w:r>
        <w:rPr>
          <w:rFonts w:eastAsia="等线" w:ascii="Arial" w:cs="Arial" w:hAnsi="Arial"/>
          <w:sz w:val="22"/>
        </w:rPr>
        <w:t>（四） 会计人员移交时，应将财务会计工作、重大财务收支问题和出纳人员的情况等向接替人员介绍清楚。</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正式交接</w:t>
      </w:r>
    </w:p>
    <w:p>
      <w:pPr>
        <w:spacing w:before="120" w:after="120" w:line="288" w:lineRule="auto"/>
        <w:ind w:left="453"/>
        <w:jc w:val="left"/>
      </w:pPr>
      <w:r>
        <w:rPr>
          <w:rFonts w:eastAsia="等线" w:ascii="Arial" w:cs="Arial" w:hAnsi="Arial"/>
          <w:sz w:val="22"/>
        </w:rPr>
        <w:t xml:space="preserve"> （一）会计凭证、会计账簿、财务报表和其他会计资料必须完整无缺，不得遗漏。如有短缺，必须查清原因，并在移交清册中加以说明，由移交人负责;</w:t>
      </w:r>
    </w:p>
    <w:p>
      <w:pPr>
        <w:spacing w:before="120" w:after="120" w:line="288" w:lineRule="auto"/>
        <w:ind w:left="0" w:firstLine="420"/>
        <w:jc w:val="left"/>
      </w:pPr>
      <w:r>
        <w:rPr>
          <w:rFonts w:eastAsia="等线" w:ascii="Arial" w:cs="Arial" w:hAnsi="Arial"/>
          <w:sz w:val="22"/>
        </w:rPr>
        <w:t>（二） 银行存款账户余额要与银行对账单核对相符，如有未达账项，应编制银行存款余额调节表调节相符。</w:t>
      </w:r>
    </w:p>
    <w:p>
      <w:pPr>
        <w:spacing w:before="120" w:after="120" w:line="288" w:lineRule="auto"/>
        <w:ind w:left="0" w:firstLine="420"/>
        <w:jc w:val="left"/>
      </w:pPr>
      <w:r>
        <w:rPr>
          <w:rFonts w:eastAsia="等线" w:ascii="Arial" w:cs="Arial" w:hAnsi="Arial"/>
          <w:sz w:val="22"/>
        </w:rPr>
        <w:t>交接日需要进行银行存款账户余额要与银行对账单核对，按照开户数量分别写明银行存款账面余额与账户余额，如有未达账项，应将银行存款余额调节表调节相符，方可交接U盾等资料，因特殊原因已先移交U盾的，需要在移交后一周完成银行存款余额表的编制核对工作。</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交接后的有关事宜</w:t>
      </w:r>
    </w:p>
    <w:p>
      <w:pPr>
        <w:spacing w:before="120" w:after="120" w:line="288" w:lineRule="auto"/>
        <w:ind w:left="0" w:firstLine="0"/>
        <w:jc w:val="left"/>
      </w:pPr>
      <w:r>
        <w:rPr>
          <w:rFonts w:eastAsia="等线" w:ascii="Arial" w:cs="Arial" w:hAnsi="Arial"/>
          <w:sz w:val="22"/>
        </w:rPr>
        <w:t>会计工作交接完毕后，交接双方和监交人在交接单上签名。交接以三方签字为准，否则视为没有完成交接工作，由监交人认定责任；</w:t>
      </w:r>
    </w:p>
    <w:p>
      <w:pPr>
        <w:spacing w:before="120" w:after="120" w:line="288" w:lineRule="auto"/>
        <w:ind w:left="0" w:firstLine="420"/>
        <w:jc w:val="left"/>
      </w:pPr>
      <w:r>
        <w:rPr>
          <w:rFonts w:eastAsia="等线" w:ascii="Arial" w:cs="Arial" w:hAnsi="Arial"/>
          <w:sz w:val="22"/>
        </w:rPr>
        <w:t>（一） 会计工作交接完毕后，交接双方和监交人在交接单上签名;</w:t>
      </w:r>
    </w:p>
    <w:p>
      <w:pPr>
        <w:spacing w:before="120" w:after="120" w:line="288" w:lineRule="auto"/>
        <w:ind w:left="0" w:firstLine="420"/>
        <w:jc w:val="left"/>
      </w:pPr>
      <w:r>
        <w:rPr>
          <w:rFonts w:eastAsia="等线" w:ascii="Arial" w:cs="Arial" w:hAnsi="Arial"/>
          <w:sz w:val="22"/>
        </w:rPr>
        <w:t>（二） 接管人员应继续使用移交前的账簿，不得擅自另立账簿，以保证会计记录前后衔接，内容完整;</w:t>
      </w:r>
    </w:p>
    <w:p>
      <w:pPr>
        <w:spacing w:before="120" w:after="120" w:line="288" w:lineRule="auto"/>
        <w:ind w:left="0" w:firstLine="420"/>
        <w:jc w:val="left"/>
      </w:pPr>
      <w:r>
        <w:rPr>
          <w:rFonts w:eastAsia="等线" w:ascii="Arial" w:cs="Arial" w:hAnsi="Arial"/>
          <w:sz w:val="22"/>
        </w:rPr>
        <w:t>（三</w:t>
      </w:r>
      <w:r>
        <w:rPr>
          <w:rFonts w:eastAsia="Consolas" w:ascii="Consolas" w:cs="Consolas" w:hAnsi="Consolas"/>
          <w:sz w:val="22"/>
          <w:shd w:fill="EFF0F1"/>
        </w:rPr>
        <w:t>） 交接单一般应填制一式三份，交接双方各执一份，存档一份。</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87" w:id="87"/>
      <w:r>
        <w:rPr>
          <w:rFonts w:eastAsia="等线" w:ascii="Arial" w:cs="Arial" w:hAnsi="Arial"/>
          <w:b w:val="true"/>
          <w:sz w:val="30"/>
        </w:rPr>
        <w:t>第六节 税务管理制度</w:t>
      </w:r>
      <w:bookmarkEnd w:id="87"/>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w:t>
      </w:r>
    </w:p>
    <w:p>
      <w:pPr>
        <w:spacing w:before="120" w:after="120" w:line="288" w:lineRule="auto"/>
        <w:ind w:left="0" w:firstLine="420"/>
        <w:jc w:val="left"/>
      </w:pPr>
      <w:r>
        <w:rPr>
          <w:rFonts w:eastAsia="等线" w:ascii="Arial" w:cs="Arial" w:hAnsi="Arial"/>
          <w:sz w:val="22"/>
        </w:rPr>
        <w:t>为规范税务管理流程，降低税务风险，根据国家有关税法规定和公司业务发展的需要。</w:t>
      </w:r>
    </w:p>
    <w:p>
      <w:pPr>
        <w:spacing w:before="120" w:after="120" w:line="288" w:lineRule="auto"/>
        <w:ind w:left="0" w:firstLine="420"/>
        <w:jc w:val="left"/>
      </w:pPr>
      <w:r>
        <w:rPr>
          <w:rFonts w:eastAsia="等线" w:ascii="Arial" w:cs="Arial" w:hAnsi="Arial"/>
          <w:sz w:val="22"/>
        </w:rPr>
        <w:t>公司指定财务人员履行纳税申报职责，负责建立公司税务管理制度，并处理涉税事宜。</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税务登记管理</w:t>
      </w:r>
    </w:p>
    <w:p>
      <w:pPr>
        <w:spacing w:before="120" w:after="120" w:line="288" w:lineRule="auto"/>
        <w:ind w:left="0" w:firstLine="420"/>
        <w:jc w:val="left"/>
      </w:pPr>
      <w:r>
        <w:rPr>
          <w:rFonts w:eastAsia="等线" w:ascii="Arial" w:cs="Arial" w:hAnsi="Arial"/>
          <w:sz w:val="22"/>
        </w:rPr>
        <w:t>公司因以下税务登记内容发生变化，应在规定的时间内向税务部门提出申请，办理税务变更登记：</w:t>
      </w:r>
    </w:p>
    <w:p>
      <w:pPr>
        <w:spacing w:before="120" w:after="120" w:line="288" w:lineRule="auto"/>
        <w:ind w:left="0" w:firstLine="420"/>
        <w:jc w:val="left"/>
      </w:pPr>
      <w:r>
        <w:rPr>
          <w:rFonts w:eastAsia="等线" w:ascii="Arial" w:cs="Arial" w:hAnsi="Arial"/>
          <w:sz w:val="22"/>
        </w:rPr>
        <w:t>公司名称；法人代表或股东；变更注册登记类型；注册地或经营地址；经营范围或经营方式；其他要求税务变更登记的情形。公司因业务规模要求需要由小规模纳税人变更为一般纳税人时，由报税人员负责提交扩大会建议，由扩大会同意后，由报税人员变更。</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纳税申报与税款缴纳</w:t>
      </w:r>
    </w:p>
    <w:p>
      <w:pPr>
        <w:spacing w:before="120" w:after="120" w:line="288" w:lineRule="auto"/>
        <w:ind w:left="0" w:firstLine="420"/>
        <w:jc w:val="left"/>
      </w:pPr>
      <w:r>
        <w:rPr>
          <w:rFonts w:eastAsia="等线" w:ascii="Arial" w:cs="Arial" w:hAnsi="Arial"/>
          <w:sz w:val="22"/>
        </w:rPr>
        <w:t>（一） 财务人员依据各项税收法律法规，正确计算各类税费及基金应纳金额，严格按照税法规定的时限报送纳税申报表并缴纳税款;</w:t>
      </w:r>
    </w:p>
    <w:p>
      <w:pPr>
        <w:spacing w:before="120" w:after="120" w:line="288" w:lineRule="auto"/>
        <w:ind w:left="0" w:firstLine="420"/>
        <w:jc w:val="left"/>
      </w:pPr>
      <w:r>
        <w:rPr>
          <w:rFonts w:eastAsia="等线" w:ascii="Arial" w:cs="Arial" w:hAnsi="Arial"/>
          <w:sz w:val="22"/>
        </w:rPr>
        <w:t>（二）财务人员根据分工负责所管主体月度申报、季度申报、半年度申报及年度申报等各项涉税申报工作，确保申报信息完整、真实、准确。财务总监整体管理公司日常财税执行情况。</w:t>
      </w:r>
    </w:p>
    <w:p>
      <w:pPr>
        <w:spacing w:before="120" w:after="120" w:line="288" w:lineRule="auto"/>
        <w:ind w:left="0" w:firstLine="420"/>
        <w:jc w:val="left"/>
      </w:pPr>
      <w:r>
        <w:rPr>
          <w:rFonts w:eastAsia="等线" w:ascii="Arial" w:cs="Arial" w:hAnsi="Arial"/>
          <w:sz w:val="22"/>
        </w:rPr>
        <w:t>（三）每个月自然月申报期结束前，财务人员需检查所负责公司是否存在逾期缴纳税款、欠税、非正常户情形。如有须第一时间向财务总监进行报备，并尽快处理，避免相关税务风险。</w:t>
      </w:r>
    </w:p>
    <w:p>
      <w:pPr>
        <w:spacing w:before="120" w:after="120" w:line="288" w:lineRule="auto"/>
        <w:ind w:left="0" w:firstLine="420"/>
        <w:jc w:val="left"/>
      </w:pPr>
      <w:r>
        <w:rPr>
          <w:rFonts w:eastAsia="等线" w:ascii="Arial" w:cs="Arial" w:hAnsi="Arial"/>
          <w:sz w:val="22"/>
        </w:rPr>
        <w:t>（四）根据国家税务总局公告2025年第12号文《纳税缴费信用管理办法》的规定，企业若纳税信用评级出现D级，对公司信用影响较大且影响后续正常开票，由此每年4月财务人员须关注主管税务机关纳税信用评价的情况，提前做好沟通，不允许出现纳税信用评级为D的情形，如有须第一时间向财务总监进行报备，并尽快联系税务机关，了解具体原因，发起复评申请。</w:t>
      </w:r>
    </w:p>
    <w:p>
      <w:pPr>
        <w:spacing w:before="120" w:after="120" w:line="288" w:lineRule="auto"/>
        <w:ind w:left="0" w:firstLine="420"/>
        <w:jc w:val="left"/>
      </w:pPr>
      <w:r>
        <w:rPr>
          <w:rFonts w:eastAsia="等线" w:ascii="Arial" w:cs="Arial" w:hAnsi="Arial"/>
          <w:sz w:val="22"/>
        </w:rPr>
        <w:t>（五） 公司注册地若存在税收优惠政策或财政返还政策，应及时申报相关资料，积极争取获得享受税收优惠政策或财政返还政策。</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税务风险管理</w:t>
      </w:r>
    </w:p>
    <w:p>
      <w:pPr>
        <w:spacing w:before="120" w:after="120" w:line="288" w:lineRule="auto"/>
        <w:ind w:left="0" w:firstLine="420"/>
        <w:jc w:val="left"/>
      </w:pPr>
      <w:r>
        <w:rPr>
          <w:rFonts w:eastAsia="等线" w:ascii="Arial" w:cs="Arial" w:hAnsi="Arial"/>
          <w:sz w:val="22"/>
        </w:rPr>
        <w:t>（一） 财务人员参与战略规划和重大经营决策的税收影响分析，提供税收筹划建议；对税收风险实行动态管理，定期进行税收风险评估，针对发生频率较高的税收风险建立监控机制，评估其影响，并采取相应的应对措施;</w:t>
      </w:r>
    </w:p>
    <w:p>
      <w:pPr>
        <w:spacing w:before="120" w:after="120" w:line="288" w:lineRule="auto"/>
        <w:ind w:left="0" w:firstLine="420"/>
        <w:jc w:val="left"/>
      </w:pPr>
      <w:r>
        <w:rPr>
          <w:rFonts w:eastAsia="等线" w:ascii="Arial" w:cs="Arial" w:hAnsi="Arial"/>
          <w:sz w:val="22"/>
        </w:rPr>
        <w:t>（二） 财务人员定期对纳税义务履行情况进行全面自查，包括应缴纳的税种是否全面完整，适用的税目、税率是否正确，计税依据的确定和税额计算是否准确等;</w:t>
      </w:r>
    </w:p>
    <w:p>
      <w:pPr>
        <w:spacing w:before="120" w:after="120" w:line="288" w:lineRule="auto"/>
        <w:ind w:left="0" w:firstLine="420"/>
        <w:jc w:val="left"/>
      </w:pPr>
      <w:r>
        <w:rPr>
          <w:rFonts w:eastAsia="等线" w:ascii="Arial" w:cs="Arial" w:hAnsi="Arial"/>
          <w:sz w:val="22"/>
        </w:rPr>
        <w:t>（三） 财务人员应通过自学或外出培训学习，不断增加税务知识、掌握税收政策、进行税务研究，规避税务风险，合理合法纳税。</w:t>
      </w:r>
    </w:p>
    <w:p>
      <w:pPr>
        <w:spacing w:before="120" w:after="120" w:line="288" w:lineRule="auto"/>
        <w:ind w:left="0" w:firstLine="420"/>
        <w:jc w:val="left"/>
      </w:pPr>
      <w:r>
        <w:rPr>
          <w:rFonts w:eastAsia="等线" w:ascii="Arial" w:cs="Arial" w:hAnsi="Arial"/>
          <w:sz w:val="22"/>
        </w:rPr>
        <w:t>（四） 明确各个岗位需要做的报税项目，以确保按时完成报税工作。</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88" w:id="88"/>
      <w:r>
        <w:rPr>
          <w:rFonts w:eastAsia="等线" w:ascii="Arial" w:cs="Arial" w:hAnsi="Arial"/>
          <w:b w:val="true"/>
          <w:sz w:val="30"/>
        </w:rPr>
        <w:t>第七节 资金借贷和担保管理办法</w:t>
      </w:r>
      <w:bookmarkEnd w:id="88"/>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公司所有资金借出借入以及资金额度、利息等事项均由董事会或股东会召开专门会议讨论确定。</w:t>
      </w:r>
    </w:p>
    <w:p>
      <w:pPr>
        <w:spacing w:before="120" w:after="120" w:line="288" w:lineRule="auto"/>
        <w:ind w:left="0" w:firstLine="420"/>
        <w:jc w:val="left"/>
      </w:pPr>
      <w:r>
        <w:rPr>
          <w:rFonts w:eastAsia="等线" w:ascii="Arial" w:cs="Arial" w:hAnsi="Arial"/>
          <w:sz w:val="22"/>
        </w:rPr>
        <w:t>债转股的情形由投委会做出投资决策。</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原则上不对所投企业提供借款，特殊情况须经董事会或股东会审议批准;对已经发生的借款，须提供还款计划。</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股东借款仅限于自然人股东，对于自然人股东提出的借款请求由董事会审议批准后形成董事会决议，借款事项由董事长、总经理逐级审批，财务人员在审批后按照董事会决议经办。</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借款需签署书面附件4771-《借款协议》，并明确以下事项：</w:t>
      </w:r>
    </w:p>
    <w:p>
      <w:pPr>
        <w:spacing w:before="120" w:after="120" w:line="288" w:lineRule="auto"/>
        <w:ind w:left="0" w:firstLine="0"/>
        <w:jc w:val="left"/>
      </w:pPr>
      <w:r>
        <w:rPr>
          <w:rFonts w:eastAsia="等线" w:ascii="Arial" w:cs="Arial" w:hAnsi="Arial"/>
          <w:sz w:val="22"/>
        </w:rPr>
        <w:t xml:space="preserve">    借款金额：借款金额原则上不超过股东实缴出资总额的50%；</w:t>
      </w:r>
    </w:p>
    <w:p>
      <w:pPr>
        <w:spacing w:before="120" w:after="120" w:line="288" w:lineRule="auto"/>
        <w:ind w:left="0" w:firstLine="420"/>
        <w:jc w:val="left"/>
      </w:pPr>
      <w:r>
        <w:rPr>
          <w:rFonts w:eastAsia="等线" w:ascii="Arial" w:cs="Arial" w:hAnsi="Arial"/>
          <w:sz w:val="22"/>
        </w:rPr>
        <w:t>担保方式：股东借款必须提供担保，借款金额未超过股东实缴出资总额50%的，借款方须同时以其在北京清科同润科技投资有限公司的股权及公司认可的其他资产作为担保或抵（质）押；</w:t>
      </w:r>
    </w:p>
    <w:p>
      <w:pPr>
        <w:spacing w:before="120" w:after="120" w:line="288" w:lineRule="auto"/>
        <w:ind w:left="0" w:firstLine="420"/>
        <w:jc w:val="left"/>
      </w:pPr>
      <w:r>
        <w:rPr>
          <w:rFonts w:eastAsia="等线" w:ascii="Arial" w:cs="Arial" w:hAnsi="Arial"/>
          <w:sz w:val="22"/>
        </w:rPr>
        <w:t>借款期限：原则上不超过一年；</w:t>
      </w:r>
    </w:p>
    <w:p>
      <w:pPr>
        <w:spacing w:before="120" w:after="120" w:line="288" w:lineRule="auto"/>
        <w:ind w:left="0" w:firstLine="420"/>
        <w:jc w:val="left"/>
      </w:pPr>
      <w:r>
        <w:rPr>
          <w:rFonts w:eastAsia="等线" w:ascii="Arial" w:cs="Arial" w:hAnsi="Arial"/>
          <w:sz w:val="22"/>
        </w:rPr>
        <w:t>借款利率：原则上不低于基本户银行一年期贷款利率，同时参考市场个人之间的借款利率，但不得高于同期LPR（一年期贷款市场报价利率）的四倍；</w:t>
      </w:r>
    </w:p>
    <w:p>
      <w:pPr>
        <w:spacing w:before="120" w:after="120" w:line="288" w:lineRule="auto"/>
        <w:ind w:left="0" w:firstLine="420"/>
        <w:jc w:val="left"/>
      </w:pPr>
      <w:r>
        <w:rPr>
          <w:rFonts w:eastAsia="等线" w:ascii="Arial" w:cs="Arial" w:hAnsi="Arial"/>
          <w:sz w:val="22"/>
        </w:rPr>
        <w:t>违约金：逾期还款利率原则上不得低于借款利率的一倍，但不得高于合同成立时LPR（一年期贷款市场报价利率）的4倍。</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经董事会同意公司闲置资金按一定比例做长、中、短期配比，购买银行货币基金或利率适中的理财产品。</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公司不得对外提供担保；</w:t>
      </w:r>
    </w:p>
    <w:p>
      <w:pPr>
        <w:spacing w:before="120" w:after="120" w:line="288" w:lineRule="auto"/>
        <w:ind w:left="0"/>
        <w:jc w:val="left"/>
      </w:pPr>
    </w:p>
    <w:p>
      <w:pPr>
        <w:spacing w:before="120" w:after="120" w:line="288" w:lineRule="auto"/>
        <w:ind w:left="0" w:firstLine="0"/>
        <w:jc w:val="left"/>
      </w:pPr>
      <w:hyperlink r:id="rId74">
        <w:r>
          <w:rPr>
            <w:rFonts w:eastAsia="等线" w:ascii="Arial" w:cs="Arial" w:hAnsi="Arial"/>
            <w:color w:val="3370ff"/>
            <w:sz w:val="22"/>
          </w:rPr>
          <w:t>附件4771-《借款协议》</w:t>
        </w:r>
      </w:hyperlink>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89" w:id="89"/>
      <w:r>
        <w:rPr>
          <w:rFonts w:eastAsia="等线" w:ascii="Arial" w:cs="Arial" w:hAnsi="Arial"/>
          <w:b w:val="true"/>
          <w:sz w:val="30"/>
        </w:rPr>
        <w:t>第八节 财务档案管理制度</w:t>
      </w:r>
      <w:bookmarkEnd w:id="89"/>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为了加强会计档案管理，统一会计档案管理制度，更好地为公司发展服务，根据《中华人民共和国会计法》和《中华人民共和国档案法》的规定，制定本办法。</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本办法所规定的会计档案包括会计凭证、会计帐簿和财务报告等会计核算专业材料，是记录和反映单位经济业务的重要史料和证据具体包括：</w:t>
        <w:br/>
      </w:r>
      <w:r>
        <w:rPr>
          <w:rFonts w:eastAsia="等线" w:ascii="Arial" w:cs="Arial" w:hAnsi="Arial"/>
          <w:sz w:val="22"/>
        </w:rPr>
        <w:t xml:space="preserve">    （一） 会计凭证类：原始凭证、记帐凭证、汇总凭证、其它会计凭证;</w:t>
      </w:r>
    </w:p>
    <w:p>
      <w:pPr>
        <w:spacing w:before="120" w:after="120" w:line="288" w:lineRule="auto"/>
        <w:ind w:left="0" w:firstLine="420"/>
        <w:jc w:val="left"/>
      </w:pPr>
      <w:r>
        <w:rPr>
          <w:rFonts w:eastAsia="等线" w:ascii="Arial" w:cs="Arial" w:hAnsi="Arial"/>
          <w:sz w:val="22"/>
        </w:rPr>
        <w:t>（二） 会计账簿类：总账、明细帐、日记帐、固定资产卡片、辅助帐簿，其它会计帐簿;</w:t>
      </w:r>
    </w:p>
    <w:p>
      <w:pPr>
        <w:spacing w:before="120" w:after="120" w:line="288" w:lineRule="auto"/>
        <w:ind w:left="0" w:firstLine="420"/>
        <w:jc w:val="left"/>
      </w:pPr>
      <w:r>
        <w:rPr>
          <w:rFonts w:eastAsia="等线" w:ascii="Arial" w:cs="Arial" w:hAnsi="Arial"/>
          <w:sz w:val="22"/>
        </w:rPr>
        <w:t>（三） 财务报告类：月度、季度、年度财务报告，包括会计报表、附表、附注及文字说明，其它财务报告;</w:t>
      </w:r>
    </w:p>
    <w:p>
      <w:pPr>
        <w:spacing w:before="120" w:after="120" w:line="288" w:lineRule="auto"/>
        <w:ind w:left="0" w:firstLine="420"/>
        <w:jc w:val="left"/>
      </w:pPr>
      <w:r>
        <w:rPr>
          <w:rFonts w:eastAsia="等线" w:ascii="Arial" w:cs="Arial" w:hAnsi="Arial"/>
          <w:sz w:val="22"/>
        </w:rPr>
        <w:t>（四） 合同签订申请人将盖完章的购销合同复印件提交给财务人员进行保管。</w:t>
      </w:r>
    </w:p>
    <w:p>
      <w:pPr>
        <w:spacing w:before="120" w:after="120" w:line="288" w:lineRule="auto"/>
        <w:ind w:left="0" w:firstLine="420"/>
        <w:jc w:val="left"/>
      </w:pPr>
      <w:r>
        <w:rPr>
          <w:rFonts w:eastAsia="等线" w:ascii="Arial" w:cs="Arial" w:hAnsi="Arial"/>
          <w:sz w:val="22"/>
        </w:rPr>
        <w:t>（五） 其它类：银行存款余额调节表，银行对帐单，其它应当保存的会计核算专业资料，会计档案移交清册，会计档案保管清册，会计档案销毁清册。</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会计档案归档时间</w:t>
      </w:r>
    </w:p>
    <w:p>
      <w:pPr>
        <w:spacing w:before="120" w:after="120" w:line="288" w:lineRule="auto"/>
        <w:ind w:left="0" w:firstLine="420"/>
        <w:jc w:val="left"/>
      </w:pPr>
      <w:r>
        <w:rPr>
          <w:rFonts w:eastAsia="等线" w:ascii="Arial" w:cs="Arial" w:hAnsi="Arial"/>
          <w:sz w:val="22"/>
        </w:rPr>
        <w:t>会计凭证、会计报表等会计相关资料每月结束后10天内完成装订，年终终了2个月内完成归档工作。</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20478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5"/>
                          <a:stretch>
                            <a:fillRect/>
                          </a:stretch>
                        </pic:blipFill>
                        <pic:spPr>
                          <a:xfrm>
                            <a:off x="0" y="0"/>
                            <a:ext cx="2476500" cy="204787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会计档案具体保存时间</w:t>
            </w:r>
          </w:p>
          <w:p>
            <w:pPr>
              <w:spacing w:before="120" w:after="120" w:line="288" w:lineRule="auto"/>
              <w:ind w:left="0"/>
              <w:jc w:val="left"/>
            </w:pPr>
          </w:p>
        </w:tc>
      </w:tr>
    </w:tbl>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财务资料的调用及归档应由专门的财务人员负责，其他人员如需查阅需经过负责人员的审核，并在使用完后及时归还。</w:t>
      </w:r>
    </w:p>
    <w:p>
      <w:pPr>
        <w:spacing w:before="120" w:after="120" w:line="288" w:lineRule="auto"/>
        <w:ind w:left="0" w:firstLine="420"/>
        <w:jc w:val="left"/>
      </w:pPr>
    </w:p>
    <w:p>
      <w:pPr>
        <w:spacing w:before="120" w:after="120" w:line="288" w:lineRule="auto"/>
        <w:ind w:left="0" w:firstLine="42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90" w:id="90"/>
      <w:r>
        <w:rPr>
          <w:rFonts w:eastAsia="等线" w:ascii="Arial" w:cs="Arial" w:hAnsi="Arial"/>
          <w:b w:val="true"/>
          <w:sz w:val="30"/>
        </w:rPr>
        <w:t>第九节 财务凭证管理制度</w:t>
      </w:r>
      <w:bookmarkEnd w:id="90"/>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财务凭证的形式应为：凭证首页加凭证后附。凭证首页按照财务系统格式打印。凭证后附包括不限于银行回单、合同复印件、审批单、发票、火车票、交通票等等。</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财务凭证每月进行归档。</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每个财务凭证记录一件财务事项，不得将多个财务事项放入一个财务凭证中。</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同一事项要统一计入一个凭证中，例如大活动的费用，应计入一个凭证中，方便查阅。</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会计记账分录应按照银行流水制作，原则上不合并记账，同一事项的多笔金额和同类事项且都为小金额的（例如：银行手续费）除外。</w:t>
      </w:r>
    </w:p>
    <w:p>
      <w:pPr>
        <w:spacing w:before="120" w:after="120" w:line="288" w:lineRule="auto"/>
        <w:ind w:left="0" w:firstLine="420"/>
        <w:jc w:val="left"/>
      </w:pPr>
      <w:r>
        <w:rPr>
          <w:rFonts w:eastAsia="等线" w:ascii="Arial" w:cs="Arial" w:hAnsi="Arial"/>
          <w:sz w:val="22"/>
        </w:rPr>
        <w:t>监事会要起到监督提示作用。今年审计机构针对审计结果，对公司财务制度相关制度和问题提出建议。明年审计机构由监事会建议聘请。</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91" w:id="91"/>
      <w:r>
        <w:rPr>
          <w:rFonts w:eastAsia="等线" w:ascii="Arial" w:cs="Arial" w:hAnsi="Arial"/>
          <w:b w:val="true"/>
          <w:sz w:val="30"/>
        </w:rPr>
        <w:t>第十节 审计管理制度</w:t>
      </w:r>
      <w:bookmarkEnd w:id="91"/>
    </w:p>
    <w:p>
      <w:pPr>
        <w:spacing w:before="120" w:after="120" w:line="288" w:lineRule="auto"/>
        <w:ind w:left="0" w:firstLine="0"/>
        <w:jc w:val="left"/>
      </w:pPr>
      <w:r>
        <w:rPr>
          <w:rFonts w:eastAsia="等线" w:ascii="Arial" w:cs="Arial" w:hAnsi="Arial"/>
          <w:sz w:val="22"/>
        </w:rPr>
        <w:t>第一条  为了加强基金管理公司内部控制的规范性，确保公司各项业务合规、稳健运作，根据《中华人民共和国审计法》、《证券投资基金法》、《基金管理公司内部控制指导意见》等法律法规，特制定本制度。</w:t>
      </w:r>
    </w:p>
    <w:p>
      <w:pPr>
        <w:spacing w:before="120" w:after="120" w:line="288" w:lineRule="auto"/>
        <w:ind w:left="0" w:firstLine="0"/>
        <w:jc w:val="left"/>
      </w:pPr>
      <w:r>
        <w:rPr>
          <w:rFonts w:eastAsia="等线" w:ascii="Arial" w:cs="Arial" w:hAnsi="Arial"/>
          <w:sz w:val="22"/>
        </w:rPr>
        <w:t>第二条  审计工作应遵循独立性、客观性、公正性、有效性的原则，确保审计结果的真实、准确和完整。</w:t>
      </w:r>
    </w:p>
    <w:p>
      <w:pPr>
        <w:spacing w:before="120" w:after="120" w:line="288" w:lineRule="auto"/>
        <w:ind w:left="0" w:firstLine="0"/>
        <w:jc w:val="left"/>
      </w:pPr>
      <w:r>
        <w:rPr>
          <w:rFonts w:eastAsia="等线" w:ascii="Arial" w:cs="Arial" w:hAnsi="Arial"/>
          <w:sz w:val="22"/>
        </w:rPr>
        <w:t>第三条  审计范围包括公司、关联企业及所管理基金，审计工作由公司财务部牵头，包括审计单位选聘、审计计划落实、审计报告复核等，财务部应聘请具有相应资质的审计单位开展审计工作。</w:t>
      </w:r>
    </w:p>
    <w:p>
      <w:pPr>
        <w:spacing w:before="120" w:after="120" w:line="288" w:lineRule="auto"/>
        <w:ind w:left="0" w:firstLine="0"/>
        <w:jc w:val="left"/>
      </w:pPr>
      <w:r>
        <w:rPr>
          <w:rFonts w:eastAsia="等线" w:ascii="Arial" w:cs="Arial" w:hAnsi="Arial"/>
          <w:sz w:val="22"/>
        </w:rPr>
        <w:t>第四条  基金管理公司及基金的年度审计工作应在次年3月30日前完成，如果有专项审计任务，具体安排由公司总经理办公会讨论确定。</w:t>
      </w:r>
    </w:p>
    <w:p>
      <w:pPr>
        <w:spacing w:before="120" w:after="120" w:line="288" w:lineRule="auto"/>
        <w:ind w:left="0" w:firstLine="0"/>
        <w:jc w:val="left"/>
      </w:pPr>
      <w:r>
        <w:rPr>
          <w:rFonts w:eastAsia="等线" w:ascii="Arial" w:cs="Arial" w:hAnsi="Arial"/>
          <w:sz w:val="22"/>
        </w:rPr>
        <w:t>第五条  公司财务部应对审计单位出具的报告进行复核确认，财务总监对审计报告的质量负责，确保审计结果客观、准确、完整。</w:t>
      </w:r>
    </w:p>
    <w:p>
      <w:pPr>
        <w:spacing w:before="120" w:after="120" w:line="288" w:lineRule="auto"/>
        <w:ind w:left="0" w:firstLine="0"/>
        <w:jc w:val="left"/>
      </w:pPr>
      <w:r>
        <w:rPr>
          <w:rFonts w:eastAsia="等线" w:ascii="Arial" w:cs="Arial" w:hAnsi="Arial"/>
          <w:sz w:val="22"/>
        </w:rPr>
        <w:t>第六条  审计完成后由财务部将最终的电子版审计报告发送风控合规部，风控合规部按照中基协的规定按时进行信息披露工作，审计报告及相关资料由财务部按照档案管理制度进行归档保存。</w:t>
      </w:r>
    </w:p>
    <w:p>
      <w:pPr>
        <w:spacing w:before="120" w:after="120" w:line="288" w:lineRule="auto"/>
        <w:ind w:left="0" w:firstLine="420"/>
        <w:jc w:val="left"/>
      </w:pPr>
    </w:p>
    <w:p>
      <w:pPr>
        <w:spacing w:before="120" w:after="120" w:line="288" w:lineRule="auto"/>
        <w:ind w:left="0" w:firstLine="0"/>
        <w:jc w:val="left"/>
      </w:pPr>
    </w:p>
    <w:sectPr>
      <w:footerReference w:type="default" r:id="rId3"/>
      <w:headerReference w:type="default" r:id="rId7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09044">
    <w:lvl>
      <w:start w:val="1"/>
      <w:numFmt w:val="decimal"/>
      <w:suff w:val="tab"/>
      <w:lvlText w:val="%1."/>
      <w:rPr>
        <w:color w:val="3370ff"/>
      </w:rPr>
    </w:lvl>
  </w:abstractNum>
  <w:abstractNum w:abstractNumId="209045">
    <w:lvl>
      <w:start w:val="2"/>
      <w:numFmt w:val="decimal"/>
      <w:suff w:val="tab"/>
      <w:lvlText w:val="%1."/>
      <w:rPr>
        <w:color w:val="3370ff"/>
      </w:rPr>
    </w:lvl>
  </w:abstractNum>
  <w:abstractNum w:abstractNumId="209046">
    <w:lvl>
      <w:start w:val="3"/>
      <w:numFmt w:val="decimal"/>
      <w:suff w:val="tab"/>
      <w:lvlText w:val="%1."/>
      <w:rPr>
        <w:color w:val="3370ff"/>
      </w:rPr>
    </w:lvl>
  </w:abstractNum>
  <w:abstractNum w:abstractNumId="209047">
    <w:lvl>
      <w:start w:val="4"/>
      <w:numFmt w:val="decimal"/>
      <w:suff w:val="tab"/>
      <w:lvlText w:val="%1."/>
      <w:rPr>
        <w:color w:val="3370ff"/>
      </w:rPr>
    </w:lvl>
  </w:abstractNum>
  <w:abstractNum w:abstractNumId="209048">
    <w:lvl>
      <w:start w:val="5"/>
      <w:numFmt w:val="decimal"/>
      <w:suff w:val="tab"/>
      <w:lvlText w:val="%1."/>
      <w:rPr>
        <w:color w:val="3370ff"/>
      </w:rPr>
    </w:lvl>
  </w:abstractNum>
  <w:abstractNum w:abstractNumId="209049">
    <w:lvl>
      <w:start w:val="6"/>
      <w:numFmt w:val="decimal"/>
      <w:suff w:val="tab"/>
      <w:lvlText w:val="%1."/>
      <w:rPr>
        <w:color w:val="3370ff"/>
      </w:rPr>
    </w:lvl>
  </w:abstractNum>
  <w:abstractNum w:abstractNumId="209050">
    <w:lvl>
      <w:start w:val="1"/>
      <w:numFmt w:val="lowerLetter"/>
      <w:suff w:val="tab"/>
      <w:lvlText w:val="%1."/>
      <w:rPr>
        <w:color w:val="3370ff"/>
      </w:rPr>
    </w:lvl>
  </w:abstractNum>
  <w:abstractNum w:abstractNumId="209051">
    <w:lvl>
      <w:start w:val="2"/>
      <w:numFmt w:val="lowerLetter"/>
      <w:suff w:val="tab"/>
      <w:lvlText w:val="%1."/>
      <w:rPr>
        <w:color w:val="3370ff"/>
      </w:rPr>
    </w:lvl>
  </w:abstractNum>
  <w:abstractNum w:abstractNumId="209052">
    <w:lvl>
      <w:start w:val="3"/>
      <w:numFmt w:val="lowerLetter"/>
      <w:suff w:val="tab"/>
      <w:lvlText w:val="%1."/>
      <w:rPr>
        <w:color w:val="3370ff"/>
      </w:rPr>
    </w:lvl>
  </w:abstractNum>
  <w:abstractNum w:abstractNumId="209053">
    <w:lvl>
      <w:start w:val="4"/>
      <w:numFmt w:val="lowerLetter"/>
      <w:suff w:val="tab"/>
      <w:lvlText w:val="%1."/>
      <w:rPr>
        <w:color w:val="3370ff"/>
      </w:rPr>
    </w:lvl>
  </w:abstractNum>
  <w:abstractNum w:abstractNumId="209054">
    <w:lvl>
      <w:start w:val="5"/>
      <w:numFmt w:val="lowerLetter"/>
      <w:suff w:val="tab"/>
      <w:lvlText w:val="%1."/>
      <w:rPr>
        <w:color w:val="3370ff"/>
      </w:rPr>
    </w:lvl>
  </w:abstractNum>
  <w:abstractNum w:abstractNumId="209055">
    <w:lvl>
      <w:start w:val="6"/>
      <w:numFmt w:val="lowerLetter"/>
      <w:suff w:val="tab"/>
      <w:lvlText w:val="%1."/>
      <w:rPr>
        <w:color w:val="3370ff"/>
      </w:rPr>
    </w:lvl>
  </w:abstractNum>
  <w:abstractNum w:abstractNumId="209056">
    <w:lvl>
      <w:start w:val="7"/>
      <w:numFmt w:val="lowerLetter"/>
      <w:suff w:val="tab"/>
      <w:lvlText w:val="%1."/>
      <w:rPr>
        <w:color w:val="3370ff"/>
      </w:rPr>
    </w:lvl>
  </w:abstractNum>
  <w:abstractNum w:abstractNumId="209057">
    <w:lvl>
      <w:start w:val="8"/>
      <w:numFmt w:val="lowerLetter"/>
      <w:suff w:val="tab"/>
      <w:lvlText w:val="%1."/>
      <w:rPr>
        <w:color w:val="3370ff"/>
      </w:rPr>
    </w:lvl>
  </w:abstractNum>
  <w:abstractNum w:abstractNumId="209058">
    <w:lvl>
      <w:start w:val="9"/>
      <w:numFmt w:val="lowerLetter"/>
      <w:suff w:val="tab"/>
      <w:lvlText w:val="%1."/>
      <w:rPr>
        <w:color w:val="3370ff"/>
      </w:rPr>
    </w:lvl>
  </w:abstractNum>
  <w:abstractNum w:abstractNumId="209059">
    <w:lvl>
      <w:start w:val="10"/>
      <w:numFmt w:val="lowerLetter"/>
      <w:suff w:val="tab"/>
      <w:lvlText w:val="%1."/>
      <w:rPr>
        <w:color w:val="3370ff"/>
      </w:rPr>
    </w:lvl>
  </w:abstractNum>
  <w:abstractNum w:abstractNumId="209060">
    <w:lvl>
      <w:start w:val="11"/>
      <w:numFmt w:val="lowerLetter"/>
      <w:suff w:val="tab"/>
      <w:lvlText w:val="%1."/>
      <w:rPr>
        <w:color w:val="3370ff"/>
      </w:rPr>
    </w:lvl>
  </w:abstractNum>
  <w:abstractNum w:abstractNumId="209061">
    <w:lvl>
      <w:start w:val="12"/>
      <w:numFmt w:val="lowerLetter"/>
      <w:suff w:val="tab"/>
      <w:lvlText w:val="%1."/>
      <w:rPr>
        <w:color w:val="3370ff"/>
      </w:rPr>
    </w:lvl>
  </w:abstractNum>
  <w:abstractNum w:abstractNumId="209062">
    <w:lvl>
      <w:start w:val="13"/>
      <w:numFmt w:val="lowerLetter"/>
      <w:suff w:val="tab"/>
      <w:lvlText w:val="%1."/>
      <w:rPr>
        <w:color w:val="3370ff"/>
      </w:rPr>
    </w:lvl>
  </w:abstractNum>
  <w:abstractNum w:abstractNumId="209063">
    <w:lvl>
      <w:start w:val="14"/>
      <w:numFmt w:val="lowerLetter"/>
      <w:suff w:val="tab"/>
      <w:lvlText w:val="%1."/>
      <w:rPr>
        <w:color w:val="3370ff"/>
      </w:rPr>
    </w:lvl>
  </w:abstractNum>
  <w:abstractNum w:abstractNumId="209064">
    <w:lvl>
      <w:start w:val="15"/>
      <w:numFmt w:val="lowerLetter"/>
      <w:suff w:val="tab"/>
      <w:lvlText w:val="%1."/>
      <w:rPr>
        <w:color w:val="3370ff"/>
      </w:rPr>
    </w:lvl>
  </w:abstractNum>
  <w:abstractNum w:abstractNumId="209065">
    <w:lvl>
      <w:start w:val="1"/>
      <w:numFmt w:val="lowerLetter"/>
      <w:suff w:val="tab"/>
      <w:lvlText w:val="%1."/>
      <w:rPr>
        <w:color w:val="3370ff"/>
      </w:rPr>
    </w:lvl>
  </w:abstractNum>
  <w:abstractNum w:abstractNumId="209066">
    <w:lvl>
      <w:start w:val="2"/>
      <w:numFmt w:val="lowerLetter"/>
      <w:suff w:val="tab"/>
      <w:lvlText w:val="%1."/>
      <w:rPr>
        <w:color w:val="3370ff"/>
      </w:rPr>
    </w:lvl>
  </w:abstractNum>
  <w:abstractNum w:abstractNumId="209067">
    <w:lvl>
      <w:start w:val="3"/>
      <w:numFmt w:val="lowerLetter"/>
      <w:suff w:val="tab"/>
      <w:lvlText w:val="%1."/>
      <w:rPr>
        <w:color w:val="3370ff"/>
      </w:rPr>
    </w:lvl>
  </w:abstractNum>
  <w:abstractNum w:abstractNumId="209068">
    <w:lvl>
      <w:start w:val="4"/>
      <w:numFmt w:val="lowerLetter"/>
      <w:suff w:val="tab"/>
      <w:lvlText w:val="%1."/>
      <w:rPr>
        <w:color w:val="3370ff"/>
      </w:rPr>
    </w:lvl>
  </w:abstractNum>
  <w:abstractNum w:abstractNumId="209069">
    <w:lvl>
      <w:start w:val="5"/>
      <w:numFmt w:val="lowerLetter"/>
      <w:suff w:val="tab"/>
      <w:lvlText w:val="%1."/>
      <w:rPr>
        <w:color w:val="3370ff"/>
      </w:rPr>
    </w:lvl>
  </w:abstractNum>
  <w:abstractNum w:abstractNumId="209070">
    <w:lvl>
      <w:start w:val="6"/>
      <w:numFmt w:val="lowerLetter"/>
      <w:suff w:val="tab"/>
      <w:lvlText w:val="%1."/>
      <w:rPr>
        <w:color w:val="3370ff"/>
      </w:rPr>
    </w:lvl>
  </w:abstractNum>
  <w:abstractNum w:abstractNumId="209071">
    <w:lvl>
      <w:start w:val="7"/>
      <w:numFmt w:val="lowerLetter"/>
      <w:suff w:val="tab"/>
      <w:lvlText w:val="%1."/>
      <w:rPr>
        <w:color w:val="3370ff"/>
      </w:rPr>
    </w:lvl>
  </w:abstractNum>
  <w:abstractNum w:abstractNumId="209072">
    <w:lvl>
      <w:start w:val="8"/>
      <w:numFmt w:val="lowerLetter"/>
      <w:suff w:val="tab"/>
      <w:lvlText w:val="%1."/>
      <w:rPr>
        <w:color w:val="3370ff"/>
      </w:rPr>
    </w:lvl>
  </w:abstractNum>
  <w:abstractNum w:abstractNumId="209073">
    <w:lvl>
      <w:start w:val="9"/>
      <w:numFmt w:val="lowerLetter"/>
      <w:suff w:val="tab"/>
      <w:lvlText w:val="%1."/>
      <w:rPr>
        <w:color w:val="3370ff"/>
      </w:rPr>
    </w:lvl>
  </w:abstractNum>
  <w:abstractNum w:abstractNumId="209074">
    <w:lvl>
      <w:start w:val="10"/>
      <w:numFmt w:val="lowerLetter"/>
      <w:suff w:val="tab"/>
      <w:lvlText w:val="%1."/>
      <w:rPr>
        <w:color w:val="3370ff"/>
      </w:rPr>
    </w:lvl>
  </w:abstractNum>
  <w:abstractNum w:abstractNumId="209075">
    <w:lvl>
      <w:start w:val="11"/>
      <w:numFmt w:val="lowerLetter"/>
      <w:suff w:val="tab"/>
      <w:lvlText w:val="%1."/>
      <w:rPr>
        <w:color w:val="3370ff"/>
      </w:rPr>
    </w:lvl>
  </w:abstractNum>
  <w:abstractNum w:abstractNumId="209076">
    <w:lvl>
      <w:start w:val="12"/>
      <w:numFmt w:val="lowerLetter"/>
      <w:suff w:val="tab"/>
      <w:lvlText w:val="%1."/>
      <w:rPr>
        <w:color w:val="3370ff"/>
      </w:rPr>
    </w:lvl>
  </w:abstractNum>
  <w:abstractNum w:abstractNumId="209077">
    <w:lvl>
      <w:start w:val="1"/>
      <w:numFmt w:val="lowerLetter"/>
      <w:suff w:val="tab"/>
      <w:lvlText w:val="%1."/>
      <w:rPr>
        <w:color w:val="3370ff"/>
      </w:rPr>
    </w:lvl>
  </w:abstractNum>
  <w:abstractNum w:abstractNumId="209078">
    <w:lvl>
      <w:start w:val="2"/>
      <w:numFmt w:val="lowerLetter"/>
      <w:suff w:val="tab"/>
      <w:lvlText w:val="%1."/>
      <w:rPr>
        <w:color w:val="3370ff"/>
      </w:rPr>
    </w:lvl>
  </w:abstractNum>
  <w:abstractNum w:abstractNumId="209079">
    <w:lvl>
      <w:start w:val="3"/>
      <w:numFmt w:val="lowerLetter"/>
      <w:suff w:val="tab"/>
      <w:lvlText w:val="%1."/>
      <w:rPr>
        <w:color w:val="3370ff"/>
      </w:rPr>
    </w:lvl>
  </w:abstractNum>
  <w:abstractNum w:abstractNumId="209080">
    <w:lvl>
      <w:start w:val="4"/>
      <w:numFmt w:val="lowerLetter"/>
      <w:suff w:val="tab"/>
      <w:lvlText w:val="%1."/>
      <w:rPr>
        <w:color w:val="3370ff"/>
      </w:rPr>
    </w:lvl>
  </w:abstractNum>
  <w:abstractNum w:abstractNumId="209081">
    <w:lvl>
      <w:start w:val="5"/>
      <w:numFmt w:val="lowerLetter"/>
      <w:suff w:val="tab"/>
      <w:lvlText w:val="%1."/>
      <w:rPr>
        <w:color w:val="3370ff"/>
      </w:rPr>
    </w:lvl>
  </w:abstractNum>
  <w:abstractNum w:abstractNumId="209082">
    <w:lvl>
      <w:start w:val="6"/>
      <w:numFmt w:val="lowerLetter"/>
      <w:suff w:val="tab"/>
      <w:lvlText w:val="%1."/>
      <w:rPr>
        <w:color w:val="3370ff"/>
      </w:rPr>
    </w:lvl>
  </w:abstractNum>
  <w:abstractNum w:abstractNumId="209083">
    <w:lvl>
      <w:start w:val="7"/>
      <w:numFmt w:val="lowerLetter"/>
      <w:suff w:val="tab"/>
      <w:lvlText w:val="%1."/>
      <w:rPr>
        <w:color w:val="3370ff"/>
      </w:rPr>
    </w:lvl>
  </w:abstractNum>
  <w:abstractNum w:abstractNumId="209084">
    <w:lvl>
      <w:start w:val="8"/>
      <w:numFmt w:val="lowerLetter"/>
      <w:suff w:val="tab"/>
      <w:lvlText w:val="%1."/>
      <w:rPr>
        <w:color w:val="3370ff"/>
      </w:rPr>
    </w:lvl>
  </w:abstractNum>
  <w:abstractNum w:abstractNumId="209085">
    <w:lvl>
      <w:start w:val="9"/>
      <w:numFmt w:val="lowerLetter"/>
      <w:suff w:val="tab"/>
      <w:lvlText w:val="%1."/>
      <w:rPr>
        <w:color w:val="3370ff"/>
      </w:rPr>
    </w:lvl>
  </w:abstractNum>
  <w:abstractNum w:abstractNumId="209086">
    <w:lvl>
      <w:start w:val="1"/>
      <w:numFmt w:val="lowerLetter"/>
      <w:suff w:val="tab"/>
      <w:lvlText w:val="%1."/>
      <w:rPr>
        <w:color w:val="3370ff"/>
      </w:rPr>
    </w:lvl>
  </w:abstractNum>
  <w:abstractNum w:abstractNumId="209087">
    <w:lvl>
      <w:start w:val="2"/>
      <w:numFmt w:val="lowerLetter"/>
      <w:suff w:val="tab"/>
      <w:lvlText w:val="%1."/>
      <w:rPr>
        <w:color w:val="3370ff"/>
      </w:rPr>
    </w:lvl>
  </w:abstractNum>
  <w:abstractNum w:abstractNumId="209088">
    <w:lvl>
      <w:start w:val="3"/>
      <w:numFmt w:val="lowerLetter"/>
      <w:suff w:val="tab"/>
      <w:lvlText w:val="%1."/>
      <w:rPr>
        <w:color w:val="3370ff"/>
      </w:rPr>
    </w:lvl>
  </w:abstractNum>
  <w:abstractNum w:abstractNumId="209089">
    <w:lvl>
      <w:start w:val="1"/>
      <w:numFmt w:val="lowerLetter"/>
      <w:suff w:val="tab"/>
      <w:lvlText w:val="%1."/>
      <w:rPr>
        <w:color w:val="3370ff"/>
      </w:rPr>
    </w:lvl>
  </w:abstractNum>
  <w:abstractNum w:abstractNumId="209090">
    <w:lvl>
      <w:start w:val="2"/>
      <w:numFmt w:val="lowerLetter"/>
      <w:suff w:val="tab"/>
      <w:lvlText w:val="%1."/>
      <w:rPr>
        <w:color w:val="3370ff"/>
      </w:rPr>
    </w:lvl>
  </w:abstractNum>
  <w:abstractNum w:abstractNumId="209091">
    <w:lvl>
      <w:start w:val="1"/>
      <w:numFmt w:val="lowerLetter"/>
      <w:suff w:val="tab"/>
      <w:lvlText w:val="%1."/>
      <w:rPr>
        <w:color w:val="3370ff"/>
      </w:rPr>
    </w:lvl>
  </w:abstractNum>
  <w:abstractNum w:abstractNumId="209092">
    <w:lvl>
      <w:start w:val="2"/>
      <w:numFmt w:val="lowerLetter"/>
      <w:suff w:val="tab"/>
      <w:lvlText w:val="%1."/>
      <w:rPr>
        <w:color w:val="3370ff"/>
      </w:rPr>
    </w:lvl>
  </w:abstractNum>
  <w:abstractNum w:abstractNumId="209093">
    <w:lvl>
      <w:start w:val="1"/>
      <w:numFmt w:val="lowerLetter"/>
      <w:suff w:val="tab"/>
      <w:lvlText w:val="%1."/>
      <w:rPr>
        <w:color w:val="3370ff"/>
      </w:rPr>
    </w:lvl>
  </w:abstractNum>
  <w:abstractNum w:abstractNumId="209094">
    <w:lvl>
      <w:start w:val="2"/>
      <w:numFmt w:val="lowerLetter"/>
      <w:suff w:val="tab"/>
      <w:lvlText w:val="%1."/>
      <w:rPr>
        <w:color w:val="3370ff"/>
      </w:rPr>
    </w:lvl>
  </w:abstractNum>
  <w:abstractNum w:abstractNumId="209095">
    <w:lvl>
      <w:start w:val="3"/>
      <w:numFmt w:val="lowerLetter"/>
      <w:suff w:val="tab"/>
      <w:lvlText w:val="%1."/>
      <w:rPr>
        <w:color w:val="3370ff"/>
      </w:rPr>
    </w:lvl>
  </w:abstractNum>
  <w:abstractNum w:abstractNumId="209096">
    <w:lvl>
      <w:start w:val="4"/>
      <w:numFmt w:val="lowerLetter"/>
      <w:suff w:val="tab"/>
      <w:lvlText w:val="%1."/>
      <w:rPr>
        <w:color w:val="3370ff"/>
      </w:rPr>
    </w:lvl>
  </w:abstractNum>
  <w:abstractNum w:abstractNumId="209097">
    <w:lvl>
      <w:start w:val="5"/>
      <w:numFmt w:val="lowerLetter"/>
      <w:suff w:val="tab"/>
      <w:lvlText w:val="%1."/>
      <w:rPr>
        <w:color w:val="3370ff"/>
      </w:rPr>
    </w:lvl>
  </w:abstractNum>
  <w:abstractNum w:abstractNumId="209098">
    <w:lvl>
      <w:start w:val="6"/>
      <w:numFmt w:val="lowerLetter"/>
      <w:suff w:val="tab"/>
      <w:lvlText w:val="%1."/>
      <w:rPr>
        <w:color w:val="3370ff"/>
      </w:rPr>
    </w:lvl>
  </w:abstractNum>
  <w:abstractNum w:abstractNumId="209099">
    <w:lvl>
      <w:start w:val="7"/>
      <w:numFmt w:val="lowerLetter"/>
      <w:suff w:val="tab"/>
      <w:lvlText w:val="%1."/>
      <w:rPr>
        <w:color w:val="3370ff"/>
      </w:rPr>
    </w:lvl>
  </w:abstractNum>
  <w:abstractNum w:abstractNumId="209100">
    <w:lvl>
      <w:start w:val="8"/>
      <w:numFmt w:val="lowerLetter"/>
      <w:suff w:val="tab"/>
      <w:lvlText w:val="%1."/>
      <w:rPr>
        <w:color w:val="3370ff"/>
      </w:rPr>
    </w:lvl>
  </w:abstractNum>
  <w:abstractNum w:abstractNumId="209101">
    <w:lvl>
      <w:start w:val="1"/>
      <w:numFmt w:val="lowerLetter"/>
      <w:suff w:val="tab"/>
      <w:lvlText w:val="%1."/>
      <w:rPr>
        <w:color w:val="3370ff"/>
      </w:rPr>
    </w:lvl>
  </w:abstractNum>
  <w:abstractNum w:abstractNumId="209102">
    <w:lvl>
      <w:start w:val="2"/>
      <w:numFmt w:val="lowerLetter"/>
      <w:suff w:val="tab"/>
      <w:lvlText w:val="%1."/>
      <w:rPr>
        <w:color w:val="3370ff"/>
      </w:rPr>
    </w:lvl>
  </w:abstractNum>
  <w:abstractNum w:abstractNumId="209103">
    <w:lvl>
      <w:start w:val="3"/>
      <w:numFmt w:val="lowerLetter"/>
      <w:suff w:val="tab"/>
      <w:lvlText w:val="%1."/>
      <w:rPr>
        <w:color w:val="3370ff"/>
      </w:rPr>
    </w:lvl>
  </w:abstractNum>
  <w:abstractNum w:abstractNumId="209104">
    <w:lvl>
      <w:start w:val="4"/>
      <w:numFmt w:val="lowerLetter"/>
      <w:suff w:val="tab"/>
      <w:lvlText w:val="%1."/>
      <w:rPr>
        <w:color w:val="3370ff"/>
      </w:rPr>
    </w:lvl>
  </w:abstractNum>
  <w:abstractNum w:abstractNumId="209105">
    <w:lvl>
      <w:start w:val="5"/>
      <w:numFmt w:val="lowerLetter"/>
      <w:suff w:val="tab"/>
      <w:lvlText w:val="%1."/>
      <w:rPr>
        <w:color w:val="3370ff"/>
      </w:rPr>
    </w:lvl>
  </w:abstractNum>
  <w:abstractNum w:abstractNumId="209106">
    <w:lvl>
      <w:start w:val="1"/>
      <w:numFmt w:val="lowerLetter"/>
      <w:suff w:val="tab"/>
      <w:lvlText w:val="%1."/>
      <w:rPr>
        <w:color w:val="3370ff"/>
      </w:rPr>
    </w:lvl>
  </w:abstractNum>
  <w:abstractNum w:abstractNumId="209107">
    <w:lvl>
      <w:start w:val="1"/>
      <w:numFmt w:val="lowerLetter"/>
      <w:suff w:val="tab"/>
      <w:lvlText w:val="%1."/>
      <w:rPr>
        <w:color w:val="3370ff"/>
      </w:rPr>
    </w:lvl>
  </w:abstractNum>
  <w:abstractNum w:abstractNumId="209108">
    <w:lvl>
      <w:start w:val="2"/>
      <w:numFmt w:val="lowerLetter"/>
      <w:suff w:val="tab"/>
      <w:lvlText w:val="%1."/>
      <w:rPr>
        <w:color w:val="3370ff"/>
      </w:rPr>
    </w:lvl>
  </w:abstractNum>
  <w:abstractNum w:abstractNumId="209109">
    <w:lvl>
      <w:start w:val="2"/>
      <w:numFmt w:val="lowerLetter"/>
      <w:suff w:val="tab"/>
      <w:lvlText w:val="%1."/>
      <w:rPr>
        <w:color w:val="3370ff"/>
      </w:rPr>
    </w:lvl>
  </w:abstractNum>
  <w:abstractNum w:abstractNumId="209110">
    <w:lvl>
      <w:start w:val="1"/>
      <w:numFmt w:val="lowerLetter"/>
      <w:suff w:val="tab"/>
      <w:lvlText w:val="%1."/>
      <w:rPr>
        <w:color w:val="3370ff"/>
      </w:rPr>
    </w:lvl>
  </w:abstractNum>
  <w:abstractNum w:abstractNumId="209111">
    <w:lvl>
      <w:start w:val="2"/>
      <w:numFmt w:val="lowerLetter"/>
      <w:suff w:val="tab"/>
      <w:lvlText w:val="%1."/>
      <w:rPr>
        <w:color w:val="3370ff"/>
      </w:rPr>
    </w:lvl>
  </w:abstractNum>
  <w:abstractNum w:abstractNumId="209112">
    <w:lvl>
      <w:start w:val="3"/>
      <w:numFmt w:val="lowerLetter"/>
      <w:suff w:val="tab"/>
      <w:lvlText w:val="%1."/>
      <w:rPr>
        <w:color w:val="3370ff"/>
      </w:rPr>
    </w:lvl>
  </w:abstractNum>
  <w:abstractNum w:abstractNumId="209113">
    <w:lvl>
      <w:start w:val="4"/>
      <w:numFmt w:val="lowerLetter"/>
      <w:suff w:val="tab"/>
      <w:lvlText w:val="%1."/>
      <w:rPr>
        <w:color w:val="3370ff"/>
      </w:rPr>
    </w:lvl>
  </w:abstractNum>
  <w:abstractNum w:abstractNumId="209114">
    <w:lvl>
      <w:start w:val="3"/>
      <w:numFmt w:val="lowerLetter"/>
      <w:suff w:val="tab"/>
      <w:lvlText w:val="%1."/>
      <w:rPr>
        <w:color w:val="3370ff"/>
      </w:rPr>
    </w:lvl>
  </w:abstractNum>
  <w:abstractNum w:abstractNumId="209115">
    <w:lvl>
      <w:start w:val="4"/>
      <w:numFmt w:val="lowerLetter"/>
      <w:suff w:val="tab"/>
      <w:lvlText w:val="%1."/>
      <w:rPr>
        <w:color w:val="3370ff"/>
      </w:rPr>
    </w:lvl>
  </w:abstractNum>
  <w:abstractNum w:abstractNumId="209116">
    <w:lvl>
      <w:start w:val="5"/>
      <w:numFmt w:val="lowerLetter"/>
      <w:suff w:val="tab"/>
      <w:lvlText w:val="%1."/>
      <w:rPr>
        <w:color w:val="3370ff"/>
      </w:rPr>
    </w:lvl>
  </w:abstractNum>
  <w:abstractNum w:abstractNumId="209117">
    <w:lvl>
      <w:start w:val="6"/>
      <w:numFmt w:val="lowerLetter"/>
      <w:suff w:val="tab"/>
      <w:lvlText w:val="%1."/>
      <w:rPr>
        <w:color w:val="3370ff"/>
      </w:rPr>
    </w:lvl>
  </w:abstractNum>
  <w:abstractNum w:abstractNumId="209118">
    <w:lvl>
      <w:start w:val="7"/>
      <w:numFmt w:val="lowerLetter"/>
      <w:suff w:val="tab"/>
      <w:lvlText w:val="%1."/>
      <w:rPr>
        <w:color w:val="3370ff"/>
      </w:rPr>
    </w:lvl>
  </w:abstractNum>
  <w:abstractNum w:abstractNumId="209119">
    <w:lvl>
      <w:start w:val="1"/>
      <w:numFmt w:val="decimal"/>
      <w:suff w:val="tab"/>
      <w:lvlText w:val="%1."/>
      <w:rPr>
        <w:color w:val="3370ff"/>
      </w:rPr>
    </w:lvl>
  </w:abstractNum>
  <w:abstractNum w:abstractNumId="209120">
    <w:lvl>
      <w:start w:val="1"/>
      <w:numFmt w:val="lowerLetter"/>
      <w:suff w:val="tab"/>
      <w:lvlText w:val="%1."/>
      <w:rPr>
        <w:color w:val="3370ff"/>
      </w:rPr>
    </w:lvl>
  </w:abstractNum>
  <w:abstractNum w:abstractNumId="209121">
    <w:lvl>
      <w:start w:val="2"/>
      <w:numFmt w:val="lowerLetter"/>
      <w:suff w:val="tab"/>
      <w:lvlText w:val="%1."/>
      <w:rPr>
        <w:color w:val="3370ff"/>
      </w:rPr>
    </w:lvl>
  </w:abstractNum>
  <w:abstractNum w:abstractNumId="209122">
    <w:lvl>
      <w:start w:val="3"/>
      <w:numFmt w:val="lowerLetter"/>
      <w:suff w:val="tab"/>
      <w:lvlText w:val="%1."/>
      <w:rPr>
        <w:color w:val="3370ff"/>
      </w:rPr>
    </w:lvl>
  </w:abstractNum>
  <w:abstractNum w:abstractNumId="209123">
    <w:lvl>
      <w:start w:val="4"/>
      <w:numFmt w:val="lowerLetter"/>
      <w:suff w:val="tab"/>
      <w:lvlText w:val="%1."/>
      <w:rPr>
        <w:color w:val="3370ff"/>
      </w:rPr>
    </w:lvl>
  </w:abstractNum>
  <w:abstractNum w:abstractNumId="209124">
    <w:lvl>
      <w:start w:val="5"/>
      <w:numFmt w:val="lowerLetter"/>
      <w:suff w:val="tab"/>
      <w:lvlText w:val="%1."/>
      <w:rPr>
        <w:color w:val="3370ff"/>
      </w:rPr>
    </w:lvl>
  </w:abstractNum>
  <w:abstractNum w:abstractNumId="209125">
    <w:lvl>
      <w:start w:val="2"/>
      <w:numFmt w:val="decimal"/>
      <w:suff w:val="tab"/>
      <w:lvlText w:val="%1."/>
      <w:rPr>
        <w:color w:val="3370ff"/>
      </w:rPr>
    </w:lvl>
  </w:abstractNum>
  <w:abstractNum w:abstractNumId="209126">
    <w:lvl>
      <w:start w:val="6"/>
      <w:numFmt w:val="lowerLetter"/>
      <w:suff w:val="tab"/>
      <w:lvlText w:val="%1."/>
      <w:rPr>
        <w:color w:val="3370ff"/>
      </w:rPr>
    </w:lvl>
  </w:abstractNum>
  <w:abstractNum w:abstractNumId="209127">
    <w:lvl>
      <w:start w:val="7"/>
      <w:numFmt w:val="lowerLetter"/>
      <w:suff w:val="tab"/>
      <w:lvlText w:val="%1."/>
      <w:rPr>
        <w:color w:val="3370ff"/>
      </w:rPr>
    </w:lvl>
  </w:abstractNum>
  <w:abstractNum w:abstractNumId="209128">
    <w:lvl>
      <w:start w:val="1"/>
      <w:numFmt w:val="lowerLetter"/>
      <w:suff w:val="tab"/>
      <w:lvlText w:val="%1."/>
      <w:rPr>
        <w:color w:val="3370ff"/>
      </w:rPr>
    </w:lvl>
  </w:abstractNum>
  <w:abstractNum w:abstractNumId="209129">
    <w:lvl>
      <w:start w:val="2"/>
      <w:numFmt w:val="lowerLetter"/>
      <w:suff w:val="tab"/>
      <w:lvlText w:val="%1."/>
      <w:rPr>
        <w:color w:val="3370ff"/>
      </w:rPr>
    </w:lvl>
  </w:abstractNum>
  <w:abstractNum w:abstractNumId="209130">
    <w:lvl>
      <w:start w:val="3"/>
      <w:numFmt w:val="lowerLetter"/>
      <w:suff w:val="tab"/>
      <w:lvlText w:val="%1."/>
      <w:rPr>
        <w:color w:val="3370ff"/>
      </w:rPr>
    </w:lvl>
  </w:abstractNum>
  <w:abstractNum w:abstractNumId="209131">
    <w:lvl>
      <w:start w:val="1"/>
      <w:numFmt w:val="lowerLetter"/>
      <w:suff w:val="tab"/>
      <w:lvlText w:val="%1."/>
      <w:rPr>
        <w:color w:val="3370ff"/>
      </w:rPr>
    </w:lvl>
  </w:abstractNum>
  <w:abstractNum w:abstractNumId="209132">
    <w:lvl>
      <w:start w:val="2"/>
      <w:numFmt w:val="lowerLetter"/>
      <w:suff w:val="tab"/>
      <w:lvlText w:val="%1."/>
      <w:rPr>
        <w:color w:val="3370ff"/>
      </w:rPr>
    </w:lvl>
  </w:abstractNum>
  <w:abstractNum w:abstractNumId="209133">
    <w:lvl>
      <w:start w:val="3"/>
      <w:numFmt w:val="lowerLetter"/>
      <w:suff w:val="tab"/>
      <w:lvlText w:val="%1."/>
      <w:rPr>
        <w:color w:val="3370ff"/>
      </w:rPr>
    </w:lvl>
  </w:abstractNum>
  <w:abstractNum w:abstractNumId="209134">
    <w:lvl>
      <w:start w:val="4"/>
      <w:numFmt w:val="lowerLetter"/>
      <w:suff w:val="tab"/>
      <w:lvlText w:val="%1."/>
      <w:rPr>
        <w:color w:val="3370ff"/>
      </w:rPr>
    </w:lvl>
  </w:abstractNum>
  <w:abstractNum w:abstractNumId="209135">
    <w:lvl>
      <w:start w:val="5"/>
      <w:numFmt w:val="lowerLetter"/>
      <w:suff w:val="tab"/>
      <w:lvlText w:val="%1."/>
      <w:rPr>
        <w:color w:val="3370ff"/>
      </w:rPr>
    </w:lvl>
  </w:abstractNum>
  <w:abstractNum w:abstractNumId="209136">
    <w:lvl>
      <w:start w:val="6"/>
      <w:numFmt w:val="lowerLetter"/>
      <w:suff w:val="tab"/>
      <w:lvlText w:val="%1."/>
      <w:rPr>
        <w:color w:val="3370ff"/>
      </w:rPr>
    </w:lvl>
  </w:abstractNum>
  <w:abstractNum w:abstractNumId="209137">
    <w:lvl>
      <w:start w:val="7"/>
      <w:numFmt w:val="lowerLetter"/>
      <w:suff w:val="tab"/>
      <w:lvlText w:val="%1."/>
      <w:rPr>
        <w:color w:val="3370ff"/>
      </w:rPr>
    </w:lvl>
  </w:abstractNum>
  <w:abstractNum w:abstractNumId="209138">
    <w:lvl>
      <w:start w:val="8"/>
      <w:numFmt w:val="lowerLetter"/>
      <w:suff w:val="tab"/>
      <w:lvlText w:val="%1."/>
      <w:rPr>
        <w:color w:val="3370ff"/>
      </w:rPr>
    </w:lvl>
  </w:abstractNum>
  <w:abstractNum w:abstractNumId="209139">
    <w:lvl>
      <w:start w:val="1"/>
      <w:numFmt w:val="lowerLetter"/>
      <w:suff w:val="tab"/>
      <w:lvlText w:val="%1."/>
      <w:rPr>
        <w:color w:val="3370ff"/>
      </w:rPr>
    </w:lvl>
  </w:abstractNum>
  <w:abstractNum w:abstractNumId="209140">
    <w:lvl>
      <w:start w:val="2"/>
      <w:numFmt w:val="lowerLetter"/>
      <w:suff w:val="tab"/>
      <w:lvlText w:val="%1."/>
      <w:rPr>
        <w:color w:val="3370ff"/>
      </w:rPr>
    </w:lvl>
  </w:abstractNum>
  <w:abstractNum w:abstractNumId="209141">
    <w:lvl>
      <w:start w:val="3"/>
      <w:numFmt w:val="lowerLetter"/>
      <w:suff w:val="tab"/>
      <w:lvlText w:val="%1."/>
      <w:rPr>
        <w:color w:val="3370ff"/>
      </w:rPr>
    </w:lvl>
  </w:abstractNum>
  <w:abstractNum w:abstractNumId="209142">
    <w:lvl>
      <w:start w:val="9"/>
      <w:numFmt w:val="lowerLetter"/>
      <w:suff w:val="tab"/>
      <w:lvlText w:val="%1."/>
      <w:rPr>
        <w:color w:val="3370ff"/>
      </w:rPr>
    </w:lvl>
  </w:abstractNum>
  <w:abstractNum w:abstractNumId="209143">
    <w:lvl>
      <w:start w:val="1"/>
      <w:numFmt w:val="lowerLetter"/>
      <w:suff w:val="tab"/>
      <w:lvlText w:val="%1."/>
      <w:rPr>
        <w:color w:val="3370ff"/>
      </w:rPr>
    </w:lvl>
  </w:abstractNum>
  <w:abstractNum w:abstractNumId="209144">
    <w:lvl>
      <w:start w:val="2"/>
      <w:numFmt w:val="lowerLetter"/>
      <w:suff w:val="tab"/>
      <w:lvlText w:val="%1."/>
      <w:rPr>
        <w:color w:val="3370ff"/>
      </w:rPr>
    </w:lvl>
  </w:abstractNum>
  <w:abstractNum w:abstractNumId="209145">
    <w:lvl>
      <w:start w:val="3"/>
      <w:numFmt w:val="lowerLetter"/>
      <w:suff w:val="tab"/>
      <w:lvlText w:val="%1."/>
      <w:rPr>
        <w:color w:val="3370ff"/>
      </w:rPr>
    </w:lvl>
  </w:abstractNum>
  <w:abstractNum w:abstractNumId="209146">
    <w:lvl>
      <w:start w:val="4"/>
      <w:numFmt w:val="lowerLetter"/>
      <w:suff w:val="tab"/>
      <w:lvlText w:val="%1."/>
      <w:rPr>
        <w:color w:val="3370ff"/>
      </w:rPr>
    </w:lvl>
  </w:abstractNum>
  <w:abstractNum w:abstractNumId="209147">
    <w:lvl>
      <w:start w:val="5"/>
      <w:numFmt w:val="lowerLetter"/>
      <w:suff w:val="tab"/>
      <w:lvlText w:val="%1."/>
      <w:rPr>
        <w:color w:val="3370ff"/>
      </w:rPr>
    </w:lvl>
  </w:abstractNum>
  <w:abstractNum w:abstractNumId="209148">
    <w:lvl>
      <w:start w:val="6"/>
      <w:numFmt w:val="lowerLetter"/>
      <w:suff w:val="tab"/>
      <w:lvlText w:val="%1."/>
      <w:rPr>
        <w:color w:val="3370ff"/>
      </w:rPr>
    </w:lvl>
  </w:abstractNum>
  <w:abstractNum w:abstractNumId="209149">
    <w:lvl>
      <w:start w:val="10"/>
      <w:numFmt w:val="lowerLetter"/>
      <w:suff w:val="tab"/>
      <w:lvlText w:val="%1."/>
      <w:rPr>
        <w:color w:val="3370ff"/>
      </w:rPr>
    </w:lvl>
  </w:abstractNum>
  <w:abstractNum w:abstractNumId="209150">
    <w:lvl>
      <w:start w:val="1"/>
      <w:numFmt w:val="lowerLetter"/>
      <w:suff w:val="tab"/>
      <w:lvlText w:val="%1."/>
      <w:rPr>
        <w:color w:val="3370ff"/>
      </w:rPr>
    </w:lvl>
  </w:abstractNum>
  <w:abstractNum w:abstractNumId="209151">
    <w:lvl>
      <w:start w:val="2"/>
      <w:numFmt w:val="lowerLetter"/>
      <w:suff w:val="tab"/>
      <w:lvlText w:val="%1."/>
      <w:rPr>
        <w:color w:val="3370ff"/>
      </w:rPr>
    </w:lvl>
  </w:abstractNum>
  <w:abstractNum w:abstractNumId="209152">
    <w:lvl>
      <w:start w:val="11"/>
      <w:numFmt w:val="lowerLetter"/>
      <w:suff w:val="tab"/>
      <w:lvlText w:val="%1."/>
      <w:rPr>
        <w:color w:val="3370ff"/>
      </w:rPr>
    </w:lvl>
  </w:abstractNum>
  <w:abstractNum w:abstractNumId="209153">
    <w:lvl>
      <w:start w:val="1"/>
      <w:numFmt w:val="lowerLetter"/>
      <w:suff w:val="tab"/>
      <w:lvlText w:val="%1."/>
      <w:rPr>
        <w:color w:val="3370ff"/>
      </w:rPr>
    </w:lvl>
  </w:abstractNum>
  <w:abstractNum w:abstractNumId="209154">
    <w:lvl>
      <w:start w:val="2"/>
      <w:numFmt w:val="lowerLetter"/>
      <w:suff w:val="tab"/>
      <w:lvlText w:val="%1."/>
      <w:rPr>
        <w:color w:val="3370ff"/>
      </w:rPr>
    </w:lvl>
  </w:abstractNum>
  <w:abstractNum w:abstractNumId="209155">
    <w:lvl>
      <w:start w:val="3"/>
      <w:numFmt w:val="lowerLetter"/>
      <w:suff w:val="tab"/>
      <w:lvlText w:val="%1."/>
      <w:rPr>
        <w:color w:val="3370ff"/>
      </w:rPr>
    </w:lvl>
  </w:abstractNum>
  <w:abstractNum w:abstractNumId="209156">
    <w:lvl>
      <w:start w:val="12"/>
      <w:numFmt w:val="lowerLetter"/>
      <w:suff w:val="tab"/>
      <w:lvlText w:val="%1."/>
      <w:rPr>
        <w:color w:val="3370ff"/>
      </w:rPr>
    </w:lvl>
  </w:abstractNum>
  <w:abstractNum w:abstractNumId="209157">
    <w:lvl>
      <w:start w:val="13"/>
      <w:numFmt w:val="lowerLetter"/>
      <w:suff w:val="tab"/>
      <w:lvlText w:val="%1."/>
      <w:rPr>
        <w:color w:val="3370ff"/>
      </w:rPr>
    </w:lvl>
  </w:abstractNum>
  <w:abstractNum w:abstractNumId="209158">
    <w:lvl>
      <w:start w:val="1"/>
      <w:numFmt w:val="lowerLetter"/>
      <w:suff w:val="tab"/>
      <w:lvlText w:val="%1."/>
      <w:rPr>
        <w:color w:val="3370ff"/>
      </w:rPr>
    </w:lvl>
  </w:abstractNum>
  <w:abstractNum w:abstractNumId="209159">
    <w:lvl>
      <w:start w:val="2"/>
      <w:numFmt w:val="lowerLetter"/>
      <w:suff w:val="tab"/>
      <w:lvlText w:val="%1."/>
      <w:rPr>
        <w:color w:val="3370ff"/>
      </w:rPr>
    </w:lvl>
  </w:abstractNum>
  <w:abstractNum w:abstractNumId="209160">
    <w:lvl>
      <w:start w:val="3"/>
      <w:numFmt w:val="lowerLetter"/>
      <w:suff w:val="tab"/>
      <w:lvlText w:val="%1."/>
      <w:rPr>
        <w:color w:val="3370ff"/>
      </w:rPr>
    </w:lvl>
  </w:abstractNum>
  <w:abstractNum w:abstractNumId="209161">
    <w:lvl>
      <w:start w:val="14"/>
      <w:numFmt w:val="lowerLetter"/>
      <w:suff w:val="tab"/>
      <w:lvlText w:val="%1."/>
      <w:rPr>
        <w:color w:val="3370ff"/>
      </w:rPr>
    </w:lvl>
  </w:abstractNum>
  <w:abstractNum w:abstractNumId="209162">
    <w:lvl>
      <w:start w:val="1"/>
      <w:numFmt w:val="lowerLetter"/>
      <w:suff w:val="tab"/>
      <w:lvlText w:val="%1."/>
      <w:rPr>
        <w:color w:val="3370ff"/>
      </w:rPr>
    </w:lvl>
  </w:abstractNum>
  <w:abstractNum w:abstractNumId="209163">
    <w:lvl>
      <w:start w:val="2"/>
      <w:numFmt w:val="lowerLetter"/>
      <w:suff w:val="tab"/>
      <w:lvlText w:val="%1."/>
      <w:rPr>
        <w:color w:val="3370ff"/>
      </w:rPr>
    </w:lvl>
  </w:abstractNum>
  <w:abstractNum w:abstractNumId="209164">
    <w:lvl>
      <w:start w:val="3"/>
      <w:numFmt w:val="lowerLetter"/>
      <w:suff w:val="tab"/>
      <w:lvlText w:val="%1."/>
      <w:rPr>
        <w:color w:val="3370ff"/>
      </w:rPr>
    </w:lvl>
  </w:abstractNum>
  <w:abstractNum w:abstractNumId="209165">
    <w:lvl>
      <w:start w:val="15"/>
      <w:numFmt w:val="lowerLetter"/>
      <w:suff w:val="tab"/>
      <w:lvlText w:val="%1."/>
      <w:rPr>
        <w:color w:val="3370ff"/>
      </w:rPr>
    </w:lvl>
  </w:abstractNum>
  <w:abstractNum w:abstractNumId="209166">
    <w:lvl>
      <w:start w:val="16"/>
      <w:numFmt w:val="lowerLetter"/>
      <w:suff w:val="tab"/>
      <w:lvlText w:val="%1."/>
      <w:rPr>
        <w:color w:val="3370ff"/>
      </w:rPr>
    </w:lvl>
  </w:abstractNum>
  <w:abstractNum w:abstractNumId="209167">
    <w:lvl>
      <w:start w:val="17"/>
      <w:numFmt w:val="lowerLetter"/>
      <w:suff w:val="tab"/>
      <w:lvlText w:val="%1."/>
      <w:rPr>
        <w:color w:val="3370ff"/>
      </w:rPr>
    </w:lvl>
  </w:abstractNum>
  <w:abstractNum w:abstractNumId="209168">
    <w:lvl>
      <w:start w:val="18"/>
      <w:numFmt w:val="lowerLetter"/>
      <w:suff w:val="tab"/>
      <w:lvlText w:val="%1."/>
      <w:rPr>
        <w:color w:val="3370ff"/>
      </w:rPr>
    </w:lvl>
  </w:abstractNum>
  <w:abstractNum w:abstractNumId="209169">
    <w:lvl>
      <w:start w:val="1"/>
      <w:numFmt w:val="lowerLetter"/>
      <w:suff w:val="tab"/>
      <w:lvlText w:val="%1."/>
      <w:rPr>
        <w:color w:val="3370ff"/>
      </w:rPr>
    </w:lvl>
  </w:abstractNum>
  <w:abstractNum w:abstractNumId="209170">
    <w:lvl>
      <w:start w:val="2"/>
      <w:numFmt w:val="lowerLetter"/>
      <w:suff w:val="tab"/>
      <w:lvlText w:val="%1."/>
      <w:rPr>
        <w:color w:val="3370ff"/>
      </w:rPr>
    </w:lvl>
  </w:abstractNum>
  <w:abstractNum w:abstractNumId="209171">
    <w:lvl>
      <w:start w:val="3"/>
      <w:numFmt w:val="lowerLetter"/>
      <w:suff w:val="tab"/>
      <w:lvlText w:val="%1."/>
      <w:rPr>
        <w:color w:val="3370ff"/>
      </w:rPr>
    </w:lvl>
  </w:abstractNum>
  <w:abstractNum w:abstractNumId="209172">
    <w:lvl>
      <w:start w:val="4"/>
      <w:numFmt w:val="lowerLetter"/>
      <w:suff w:val="tab"/>
      <w:lvlText w:val="%1."/>
      <w:rPr>
        <w:color w:val="3370ff"/>
      </w:rPr>
    </w:lvl>
  </w:abstractNum>
  <w:abstractNum w:abstractNumId="209173">
    <w:lvl>
      <w:start w:val="5"/>
      <w:numFmt w:val="lowerLetter"/>
      <w:suff w:val="tab"/>
      <w:lvlText w:val="%1."/>
      <w:rPr>
        <w:color w:val="3370ff"/>
      </w:rPr>
    </w:lvl>
  </w:abstractNum>
  <w:abstractNum w:abstractNumId="209174">
    <w:lvl>
      <w:start w:val="6"/>
      <w:numFmt w:val="lowerLetter"/>
      <w:suff w:val="tab"/>
      <w:lvlText w:val="%1."/>
      <w:rPr>
        <w:color w:val="3370ff"/>
      </w:rPr>
    </w:lvl>
  </w:abstractNum>
  <w:abstractNum w:abstractNumId="209175">
    <w:lvl>
      <w:start w:val="19"/>
      <w:numFmt w:val="lowerLetter"/>
      <w:suff w:val="tab"/>
      <w:lvlText w:val="%1."/>
      <w:rPr>
        <w:color w:val="3370ff"/>
      </w:rPr>
    </w:lvl>
  </w:abstractNum>
  <w:abstractNum w:abstractNumId="209176">
    <w:lvl>
      <w:start w:val="20"/>
      <w:numFmt w:val="lowerLetter"/>
      <w:suff w:val="tab"/>
      <w:lvlText w:val="%1."/>
      <w:rPr>
        <w:color w:val="3370ff"/>
      </w:rPr>
    </w:lvl>
  </w:abstractNum>
  <w:abstractNum w:abstractNumId="209177">
    <w:lvl>
      <w:start w:val="21"/>
      <w:numFmt w:val="lowerLetter"/>
      <w:suff w:val="tab"/>
      <w:lvlText w:val="%1."/>
      <w:rPr>
        <w:color w:val="3370ff"/>
      </w:rPr>
    </w:lvl>
  </w:abstractNum>
  <w:abstractNum w:abstractNumId="209178">
    <w:lvl>
      <w:start w:val="22"/>
      <w:numFmt w:val="lowerLetter"/>
      <w:suff w:val="tab"/>
      <w:lvlText w:val="%1."/>
      <w:rPr>
        <w:color w:val="3370ff"/>
      </w:rPr>
    </w:lvl>
  </w:abstractNum>
  <w:abstractNum w:abstractNumId="209179">
    <w:lvl>
      <w:start w:val="23"/>
      <w:numFmt w:val="lowerLetter"/>
      <w:suff w:val="tab"/>
      <w:lvlText w:val="%1."/>
      <w:rPr>
        <w:color w:val="3370ff"/>
      </w:rPr>
    </w:lvl>
  </w:abstractNum>
  <w:abstractNum w:abstractNumId="209180">
    <w:lvl>
      <w:start w:val="24"/>
      <w:numFmt w:val="lowerLetter"/>
      <w:suff w:val="tab"/>
      <w:lvlText w:val="%1."/>
      <w:rPr>
        <w:color w:val="3370ff"/>
      </w:rPr>
    </w:lvl>
  </w:abstractNum>
  <w:abstractNum w:abstractNumId="209181">
    <w:lvl>
      <w:start w:val="1"/>
      <w:numFmt w:val="lowerLetter"/>
      <w:suff w:val="tab"/>
      <w:lvlText w:val="%1."/>
      <w:rPr>
        <w:color w:val="3370ff"/>
      </w:rPr>
    </w:lvl>
  </w:abstractNum>
  <w:abstractNum w:abstractNumId="209182">
    <w:lvl>
      <w:start w:val="2"/>
      <w:numFmt w:val="lowerLetter"/>
      <w:suff w:val="tab"/>
      <w:lvlText w:val="%1."/>
      <w:rPr>
        <w:color w:val="3370ff"/>
      </w:rPr>
    </w:lvl>
  </w:abstractNum>
  <w:abstractNum w:abstractNumId="209183">
    <w:lvl>
      <w:start w:val="3"/>
      <w:numFmt w:val="lowerLetter"/>
      <w:suff w:val="tab"/>
      <w:lvlText w:val="%1."/>
      <w:rPr>
        <w:color w:val="3370ff"/>
      </w:rPr>
    </w:lvl>
  </w:abstractNum>
  <w:abstractNum w:abstractNumId="209184">
    <w:lvl>
      <w:start w:val="4"/>
      <w:numFmt w:val="lowerLetter"/>
      <w:suff w:val="tab"/>
      <w:lvlText w:val="%1."/>
      <w:rPr>
        <w:color w:val="3370ff"/>
      </w:rPr>
    </w:lvl>
  </w:abstractNum>
  <w:abstractNum w:abstractNumId="209185">
    <w:lvl>
      <w:start w:val="25"/>
      <w:numFmt w:val="lowerLetter"/>
      <w:suff w:val="tab"/>
      <w:lvlText w:val="%1."/>
      <w:rPr>
        <w:color w:val="3370ff"/>
      </w:rPr>
    </w:lvl>
  </w:abstractNum>
  <w:abstractNum w:abstractNumId="209186">
    <w:lvl>
      <w:start w:val="26"/>
      <w:numFmt w:val="lowerLetter"/>
      <w:suff w:val="tab"/>
      <w:lvlText w:val="%1."/>
      <w:rPr>
        <w:color w:val="3370ff"/>
      </w:rPr>
    </w:lvl>
  </w:abstractNum>
  <w:abstractNum w:abstractNumId="209187">
    <w:lvl>
      <w:start w:val="1"/>
      <w:numFmt w:val="lowerLetter"/>
      <w:suff w:val="tab"/>
      <w:lvlText w:val="%1."/>
      <w:rPr>
        <w:color w:val="3370ff"/>
      </w:rPr>
    </w:lvl>
  </w:abstractNum>
  <w:abstractNum w:abstractNumId="209188">
    <w:lvl>
      <w:start w:val="2"/>
      <w:numFmt w:val="lowerLetter"/>
      <w:suff w:val="tab"/>
      <w:lvlText w:val="%1."/>
      <w:rPr>
        <w:color w:val="3370ff"/>
      </w:rPr>
    </w:lvl>
  </w:abstractNum>
  <w:abstractNum w:abstractNumId="209189">
    <w:lvl>
      <w:start w:val="3"/>
      <w:numFmt w:val="lowerLetter"/>
      <w:suff w:val="tab"/>
      <w:lvlText w:val="%1."/>
      <w:rPr>
        <w:color w:val="3370ff"/>
      </w:rPr>
    </w:lvl>
  </w:abstractNum>
  <w:abstractNum w:abstractNumId="209190">
    <w:lvl>
      <w:start w:val="1"/>
      <w:numFmt w:val="lowerLetter"/>
      <w:suff w:val="tab"/>
      <w:lvlText w:val="%1."/>
      <w:rPr>
        <w:color w:val="3370ff"/>
      </w:rPr>
    </w:lvl>
  </w:abstractNum>
  <w:abstractNum w:abstractNumId="209191">
    <w:lvl>
      <w:start w:val="2"/>
      <w:numFmt w:val="lowerLetter"/>
      <w:suff w:val="tab"/>
      <w:lvlText w:val="%1."/>
      <w:rPr>
        <w:color w:val="3370ff"/>
      </w:rPr>
    </w:lvl>
  </w:abstractNum>
  <w:abstractNum w:abstractNumId="209192">
    <w:lvl>
      <w:start w:val="3"/>
      <w:numFmt w:val="lowerLetter"/>
      <w:suff w:val="tab"/>
      <w:lvlText w:val="%1."/>
      <w:rPr>
        <w:color w:val="3370ff"/>
      </w:rPr>
    </w:lvl>
  </w:abstractNum>
  <w:abstractNum w:abstractNumId="209193">
    <w:lvl>
      <w:start w:val="4"/>
      <w:numFmt w:val="lowerLetter"/>
      <w:suff w:val="tab"/>
      <w:lvlText w:val="%1."/>
      <w:rPr>
        <w:color w:val="3370ff"/>
      </w:rPr>
    </w:lvl>
  </w:abstractNum>
  <w:abstractNum w:abstractNumId="209194">
    <w:lvl>
      <w:start w:val="5"/>
      <w:numFmt w:val="lowerLetter"/>
      <w:suff w:val="tab"/>
      <w:lvlText w:val="%1."/>
      <w:rPr>
        <w:color w:val="3370ff"/>
      </w:rPr>
    </w:lvl>
  </w:abstractNum>
  <w:abstractNum w:abstractNumId="209195">
    <w:lvl>
      <w:start w:val="6"/>
      <w:numFmt w:val="lowerLetter"/>
      <w:suff w:val="tab"/>
      <w:lvlText w:val="%1."/>
      <w:rPr>
        <w:color w:val="3370ff"/>
      </w:rPr>
    </w:lvl>
  </w:abstractNum>
  <w:abstractNum w:abstractNumId="209196">
    <w:lvl>
      <w:start w:val="7"/>
      <w:numFmt w:val="lowerLetter"/>
      <w:suff w:val="tab"/>
      <w:lvlText w:val="%1."/>
      <w:rPr>
        <w:color w:val="3370ff"/>
      </w:rPr>
    </w:lvl>
  </w:abstractNum>
  <w:abstractNum w:abstractNumId="209197">
    <w:lvl>
      <w:start w:val="8"/>
      <w:numFmt w:val="lowerLetter"/>
      <w:suff w:val="tab"/>
      <w:lvlText w:val="%1."/>
      <w:rPr>
        <w:color w:val="3370ff"/>
      </w:rPr>
    </w:lvl>
  </w:abstractNum>
  <w:abstractNum w:abstractNumId="209198">
    <w:lvl>
      <w:start w:val="1"/>
      <w:numFmt w:val="lowerLetter"/>
      <w:suff w:val="tab"/>
      <w:lvlText w:val="%1."/>
      <w:rPr>
        <w:color w:val="3370ff"/>
      </w:rPr>
    </w:lvl>
  </w:abstractNum>
  <w:abstractNum w:abstractNumId="209199">
    <w:lvl>
      <w:start w:val="2"/>
      <w:numFmt w:val="lowerLetter"/>
      <w:suff w:val="tab"/>
      <w:lvlText w:val="%1."/>
      <w:rPr>
        <w:color w:val="3370ff"/>
      </w:rPr>
    </w:lvl>
  </w:abstractNum>
  <w:abstractNum w:abstractNumId="209200">
    <w:lvl>
      <w:start w:val="3"/>
      <w:numFmt w:val="lowerLetter"/>
      <w:suff w:val="tab"/>
      <w:lvlText w:val="%1."/>
      <w:rPr>
        <w:color w:val="3370ff"/>
      </w:rPr>
    </w:lvl>
  </w:abstractNum>
  <w:abstractNum w:abstractNumId="209201">
    <w:lvl>
      <w:start w:val="1"/>
      <w:numFmt w:val="lowerLetter"/>
      <w:suff w:val="tab"/>
      <w:lvlText w:val="%1."/>
      <w:rPr>
        <w:color w:val="3370ff"/>
      </w:rPr>
    </w:lvl>
  </w:abstractNum>
  <w:abstractNum w:abstractNumId="209202">
    <w:lvl>
      <w:start w:val="2"/>
      <w:numFmt w:val="lowerLetter"/>
      <w:suff w:val="tab"/>
      <w:lvlText w:val="%1."/>
      <w:rPr>
        <w:color w:val="3370ff"/>
      </w:rPr>
    </w:lvl>
  </w:abstractNum>
  <w:abstractNum w:abstractNumId="209203">
    <w:lvl>
      <w:start w:val="3"/>
      <w:numFmt w:val="lowerLetter"/>
      <w:suff w:val="tab"/>
      <w:lvlText w:val="%1."/>
      <w:rPr>
        <w:color w:val="3370ff"/>
      </w:rPr>
    </w:lvl>
  </w:abstractNum>
  <w:abstractNum w:abstractNumId="209204">
    <w:lvl>
      <w:start w:val="4"/>
      <w:numFmt w:val="lowerLetter"/>
      <w:suff w:val="tab"/>
      <w:lvlText w:val="%1."/>
      <w:rPr>
        <w:color w:val="3370ff"/>
      </w:rPr>
    </w:lvl>
  </w:abstractNum>
  <w:abstractNum w:abstractNumId="209205">
    <w:lvl>
      <w:start w:val="1"/>
      <w:numFmt w:val="lowerLetter"/>
      <w:suff w:val="tab"/>
      <w:lvlText w:val="%1."/>
      <w:rPr>
        <w:color w:val="3370ff"/>
      </w:rPr>
    </w:lvl>
  </w:abstractNum>
  <w:abstractNum w:abstractNumId="209206">
    <w:lvl>
      <w:start w:val="2"/>
      <w:numFmt w:val="lowerLetter"/>
      <w:suff w:val="tab"/>
      <w:lvlText w:val="%1."/>
      <w:rPr>
        <w:color w:val="3370ff"/>
      </w:rPr>
    </w:lvl>
  </w:abstractNum>
  <w:abstractNum w:abstractNumId="209207">
    <w:lvl>
      <w:start w:val="3"/>
      <w:numFmt w:val="lowerLetter"/>
      <w:suff w:val="tab"/>
      <w:lvlText w:val="%1."/>
      <w:rPr>
        <w:color w:val="3370ff"/>
      </w:rPr>
    </w:lvl>
  </w:abstractNum>
  <w:abstractNum w:abstractNumId="209208">
    <w:lvl>
      <w:start w:val="4"/>
      <w:numFmt w:val="lowerLetter"/>
      <w:suff w:val="tab"/>
      <w:lvlText w:val="%1."/>
      <w:rPr>
        <w:color w:val="3370ff"/>
      </w:rPr>
    </w:lvl>
  </w:abstractNum>
  <w:abstractNum w:abstractNumId="209209">
    <w:lvl>
      <w:start w:val="5"/>
      <w:numFmt w:val="lowerLetter"/>
      <w:suff w:val="tab"/>
      <w:lvlText w:val="%1."/>
      <w:rPr>
        <w:color w:val="3370ff"/>
      </w:rPr>
    </w:lvl>
  </w:abstractNum>
  <w:abstractNum w:abstractNumId="209210">
    <w:lvl>
      <w:start w:val="6"/>
      <w:numFmt w:val="lowerLetter"/>
      <w:suff w:val="tab"/>
      <w:lvlText w:val="%1."/>
      <w:rPr>
        <w:color w:val="3370ff"/>
      </w:rPr>
    </w:lvl>
  </w:abstractNum>
  <w:abstractNum w:abstractNumId="209211">
    <w:lvl>
      <w:start w:val="1"/>
      <w:numFmt w:val="lowerLetter"/>
      <w:suff w:val="tab"/>
      <w:lvlText w:val="%1."/>
      <w:rPr>
        <w:color w:val="3370ff"/>
      </w:rPr>
    </w:lvl>
  </w:abstractNum>
  <w:abstractNum w:abstractNumId="209212">
    <w:lvl>
      <w:start w:val="2"/>
      <w:numFmt w:val="lowerLetter"/>
      <w:suff w:val="tab"/>
      <w:lvlText w:val="%1."/>
      <w:rPr>
        <w:color w:val="3370ff"/>
      </w:rPr>
    </w:lvl>
  </w:abstractNum>
  <w:abstractNum w:abstractNumId="209213">
    <w:lvl>
      <w:start w:val="3"/>
      <w:numFmt w:val="lowerLetter"/>
      <w:suff w:val="tab"/>
      <w:lvlText w:val="%1."/>
      <w:rPr>
        <w:color w:val="3370ff"/>
      </w:rPr>
    </w:lvl>
  </w:abstractNum>
  <w:abstractNum w:abstractNumId="209214">
    <w:lvl>
      <w:start w:val="4"/>
      <w:numFmt w:val="lowerLetter"/>
      <w:suff w:val="tab"/>
      <w:lvlText w:val="%1."/>
      <w:rPr>
        <w:color w:val="3370ff"/>
      </w:rPr>
    </w:lvl>
  </w:abstractNum>
  <w:abstractNum w:abstractNumId="209215">
    <w:lvl>
      <w:start w:val="5"/>
      <w:numFmt w:val="lowerLetter"/>
      <w:suff w:val="tab"/>
      <w:lvlText w:val="%1."/>
      <w:rPr>
        <w:color w:val="3370ff"/>
      </w:rPr>
    </w:lvl>
  </w:abstractNum>
  <w:abstractNum w:abstractNumId="209216">
    <w:lvl>
      <w:start w:val="6"/>
      <w:numFmt w:val="lowerLetter"/>
      <w:suff w:val="tab"/>
      <w:lvlText w:val="%1."/>
      <w:rPr>
        <w:color w:val="3370ff"/>
      </w:rPr>
    </w:lvl>
  </w:abstractNum>
  <w:abstractNum w:abstractNumId="209217">
    <w:lvl>
      <w:start w:val="1"/>
      <w:numFmt w:val="lowerLetter"/>
      <w:suff w:val="tab"/>
      <w:lvlText w:val="%1."/>
      <w:rPr>
        <w:color w:val="3370ff"/>
      </w:rPr>
    </w:lvl>
  </w:abstractNum>
  <w:abstractNum w:abstractNumId="209218">
    <w:lvl>
      <w:start w:val="7"/>
      <w:numFmt w:val="lowerLetter"/>
      <w:suff w:val="tab"/>
      <w:lvlText w:val="%1."/>
      <w:rPr>
        <w:color w:val="3370ff"/>
      </w:rPr>
    </w:lvl>
  </w:abstractNum>
  <w:abstractNum w:abstractNumId="209219">
    <w:lvl>
      <w:start w:val="8"/>
      <w:numFmt w:val="lowerLetter"/>
      <w:suff w:val="tab"/>
      <w:lvlText w:val="%1."/>
      <w:rPr>
        <w:color w:val="3370ff"/>
      </w:rPr>
    </w:lvl>
  </w:abstractNum>
  <w:abstractNum w:abstractNumId="209220">
    <w:lvl>
      <w:start w:val="9"/>
      <w:numFmt w:val="lowerLetter"/>
      <w:suff w:val="tab"/>
      <w:lvlText w:val="%1."/>
      <w:rPr>
        <w:color w:val="3370ff"/>
      </w:rPr>
    </w:lvl>
  </w:abstractNum>
  <w:abstractNum w:abstractNumId="209221">
    <w:lvl>
      <w:start w:val="10"/>
      <w:numFmt w:val="lowerLetter"/>
      <w:suff w:val="tab"/>
      <w:lvlText w:val="%1."/>
      <w:rPr>
        <w:color w:val="3370ff"/>
      </w:rPr>
    </w:lvl>
  </w:abstractNum>
  <w:abstractNum w:abstractNumId="209222">
    <w:lvl>
      <w:start w:val="1"/>
      <w:numFmt w:val="decimal"/>
      <w:suff w:val="tab"/>
      <w:lvlText w:val="%1."/>
      <w:rPr>
        <w:color w:val="3370ff"/>
      </w:rPr>
    </w:lvl>
  </w:abstractNum>
  <w:abstractNum w:abstractNumId="209223">
    <w:lvl>
      <w:start w:val="3"/>
      <w:numFmt w:val="lowerLetter"/>
      <w:suff w:val="tab"/>
      <w:lvlText w:val="%1."/>
      <w:rPr>
        <w:color w:val="3370ff"/>
      </w:rPr>
    </w:lvl>
  </w:abstractNum>
  <w:abstractNum w:abstractNumId="209224">
    <w:lvl>
      <w:start w:val="2"/>
      <w:numFmt w:val="decimal"/>
      <w:suff w:val="tab"/>
      <w:lvlText w:val="%1."/>
      <w:rPr>
        <w:color w:val="3370ff"/>
      </w:rPr>
    </w:lvl>
  </w:abstractNum>
  <w:abstractNum w:abstractNumId="209225">
    <w:lvl>
      <w:start w:val="3"/>
      <w:numFmt w:val="decimal"/>
      <w:suff w:val="tab"/>
      <w:lvlText w:val="%1."/>
      <w:rPr>
        <w:color w:val="3370ff"/>
      </w:rPr>
    </w:lvl>
  </w:abstractNum>
  <w:abstractNum w:abstractNumId="209226">
    <w:lvl>
      <w:start w:val="4"/>
      <w:numFmt w:val="decimal"/>
      <w:suff w:val="tab"/>
      <w:lvlText w:val="%1."/>
      <w:rPr>
        <w:color w:val="3370ff"/>
      </w:rPr>
    </w:lvl>
  </w:abstractNum>
  <w:abstractNum w:abstractNumId="209227">
    <w:lvl>
      <w:start w:val="5"/>
      <w:numFmt w:val="decimal"/>
      <w:suff w:val="tab"/>
      <w:lvlText w:val="%1."/>
      <w:rPr>
        <w:color w:val="3370ff"/>
      </w:rPr>
    </w:lvl>
  </w:abstractNum>
  <w:abstractNum w:abstractNumId="209228">
    <w:lvl>
      <w:start w:val="1"/>
      <w:numFmt w:val="lowerLetter"/>
      <w:suff w:val="tab"/>
      <w:lvlText w:val="%1."/>
      <w:rPr>
        <w:color w:val="3370ff"/>
      </w:rPr>
    </w:lvl>
  </w:abstractNum>
  <w:abstractNum w:abstractNumId="209229">
    <w:lvl>
      <w:start w:val="2"/>
      <w:numFmt w:val="lowerLetter"/>
      <w:suff w:val="tab"/>
      <w:lvlText w:val="%1."/>
      <w:rPr>
        <w:color w:val="3370ff"/>
      </w:rPr>
    </w:lvl>
  </w:abstractNum>
  <w:abstractNum w:abstractNumId="209230">
    <w:lvl>
      <w:start w:val="3"/>
      <w:numFmt w:val="lowerLetter"/>
      <w:suff w:val="tab"/>
      <w:lvlText w:val="%1."/>
      <w:rPr>
        <w:color w:val="3370ff"/>
      </w:rPr>
    </w:lvl>
  </w:abstractNum>
  <w:abstractNum w:abstractNumId="209231">
    <w:lvl>
      <w:start w:val="4"/>
      <w:numFmt w:val="lowerLetter"/>
      <w:suff w:val="tab"/>
      <w:lvlText w:val="%1."/>
      <w:rPr>
        <w:color w:val="3370ff"/>
      </w:rPr>
    </w:lvl>
  </w:abstractNum>
  <w:abstractNum w:abstractNumId="209232">
    <w:lvl>
      <w:start w:val="12"/>
      <w:numFmt w:val="lowerLetter"/>
      <w:suff w:val="tab"/>
      <w:lvlText w:val="%1."/>
      <w:rPr>
        <w:color w:val="3370ff"/>
      </w:rPr>
    </w:lvl>
  </w:abstractNum>
  <w:abstractNum w:abstractNumId="209233">
    <w:lvl>
      <w:start w:val="1"/>
      <w:numFmt w:val="lowerLetter"/>
      <w:suff w:val="tab"/>
      <w:lvlText w:val="%1."/>
      <w:rPr>
        <w:color w:val="3370ff"/>
      </w:rPr>
    </w:lvl>
  </w:abstractNum>
  <w:abstractNum w:abstractNumId="209234">
    <w:lvl>
      <w:start w:val="3"/>
      <w:numFmt w:val="lowerLetter"/>
      <w:suff w:val="tab"/>
      <w:lvlText w:val="%1."/>
      <w:rPr>
        <w:color w:val="3370ff"/>
      </w:rPr>
    </w:lvl>
  </w:abstractNum>
  <w:abstractNum w:abstractNumId="209235">
    <w:lvl>
      <w:start w:val="4"/>
      <w:numFmt w:val="lowerLetter"/>
      <w:suff w:val="tab"/>
      <w:lvlText w:val="%1."/>
      <w:rPr>
        <w:color w:val="3370ff"/>
      </w:rPr>
    </w:lvl>
  </w:abstractNum>
  <w:abstractNum w:abstractNumId="209236">
    <w:lvl>
      <w:start w:val="5"/>
      <w:numFmt w:val="lowerLetter"/>
      <w:suff w:val="tab"/>
      <w:lvlText w:val="%1."/>
      <w:rPr>
        <w:color w:val="3370ff"/>
      </w:rPr>
    </w:lvl>
  </w:abstractNum>
  <w:abstractNum w:abstractNumId="209237">
    <w:lvl>
      <w:start w:val="6"/>
      <w:numFmt w:val="lowerLetter"/>
      <w:suff w:val="tab"/>
      <w:lvlText w:val="%1."/>
      <w:rPr>
        <w:color w:val="3370ff"/>
      </w:rPr>
    </w:lvl>
  </w:abstractNum>
  <w:abstractNum w:abstractNumId="209238">
    <w:lvl>
      <w:start w:val="3"/>
      <w:numFmt w:val="lowerLetter"/>
      <w:suff w:val="tab"/>
      <w:lvlText w:val="%1."/>
      <w:rPr>
        <w:color w:val="3370ff"/>
      </w:rPr>
    </w:lvl>
  </w:abstractNum>
  <w:abstractNum w:abstractNumId="209239">
    <w:lvl>
      <w:start w:val="2"/>
      <w:numFmt w:val="lowerLetter"/>
      <w:suff w:val="tab"/>
      <w:lvlText w:val="%1."/>
      <w:rPr>
        <w:color w:val="3370ff"/>
      </w:rPr>
    </w:lvl>
  </w:abstractNum>
  <w:abstractNum w:abstractNumId="209240">
    <w:lvl>
      <w:start w:val="2"/>
      <w:numFmt w:val="lowerLetter"/>
      <w:suff w:val="tab"/>
      <w:lvlText w:val="%1."/>
      <w:rPr>
        <w:color w:val="3370ff"/>
      </w:rPr>
    </w:lvl>
  </w:abstractNum>
  <w:abstractNum w:abstractNumId="209241">
    <w:lvl>
      <w:start w:val="1"/>
      <w:numFmt w:val="lowerLetter"/>
      <w:suff w:val="tab"/>
      <w:lvlText w:val="%1."/>
      <w:rPr>
        <w:color w:val="3370ff"/>
      </w:rPr>
    </w:lvl>
  </w:abstractNum>
  <w:abstractNum w:abstractNumId="209242">
    <w:lvl>
      <w:start w:val="2"/>
      <w:numFmt w:val="lowerLetter"/>
      <w:suff w:val="tab"/>
      <w:lvlText w:val="%1."/>
      <w:rPr>
        <w:color w:val="3370ff"/>
      </w:rPr>
    </w:lvl>
  </w:abstractNum>
  <w:abstractNum w:abstractNumId="209243">
    <w:lvl>
      <w:start w:val="3"/>
      <w:numFmt w:val="lowerLetter"/>
      <w:suff w:val="tab"/>
      <w:lvlText w:val="%1."/>
      <w:rPr>
        <w:color w:val="3370ff"/>
      </w:rPr>
    </w:lvl>
  </w:abstractNum>
  <w:abstractNum w:abstractNumId="209244">
    <w:lvl>
      <w:start w:val="1"/>
      <w:numFmt w:val="lowerLetter"/>
      <w:suff w:val="tab"/>
      <w:lvlText w:val="%1."/>
      <w:rPr>
        <w:color w:val="3370ff"/>
      </w:rPr>
    </w:lvl>
  </w:abstractNum>
  <w:abstractNum w:abstractNumId="209245">
    <w:lvl>
      <w:start w:val="2"/>
      <w:numFmt w:val="lowerLetter"/>
      <w:suff w:val="tab"/>
      <w:lvlText w:val="%1."/>
      <w:rPr>
        <w:color w:val="3370ff"/>
      </w:rPr>
    </w:lvl>
  </w:abstractNum>
  <w:abstractNum w:abstractNumId="209246">
    <w:lvl>
      <w:start w:val="3"/>
      <w:numFmt w:val="lowerLetter"/>
      <w:suff w:val="tab"/>
      <w:lvlText w:val="%1."/>
      <w:rPr>
        <w:color w:val="3370ff"/>
      </w:rPr>
    </w:lvl>
  </w:abstractNum>
  <w:abstractNum w:abstractNumId="209247">
    <w:lvl>
      <w:start w:val="4"/>
      <w:numFmt w:val="lowerLetter"/>
      <w:suff w:val="tab"/>
      <w:lvlText w:val="%1."/>
      <w:rPr>
        <w:color w:val="3370ff"/>
      </w:rPr>
    </w:lvl>
  </w:abstractNum>
  <w:abstractNum w:abstractNumId="209248">
    <w:lvl>
      <w:start w:val="1"/>
      <w:numFmt w:val="lowerLetter"/>
      <w:suff w:val="tab"/>
      <w:lvlText w:val="%1."/>
      <w:rPr>
        <w:color w:val="3370ff"/>
      </w:rPr>
    </w:lvl>
  </w:abstractNum>
  <w:abstractNum w:abstractNumId="209249">
    <w:lvl>
      <w:start w:val="2"/>
      <w:numFmt w:val="lowerLetter"/>
      <w:suff w:val="tab"/>
      <w:lvlText w:val="%1."/>
      <w:rPr>
        <w:color w:val="3370ff"/>
      </w:rPr>
    </w:lvl>
  </w:abstractNum>
  <w:abstractNum w:abstractNumId="209250">
    <w:lvl>
      <w:start w:val="5"/>
      <w:numFmt w:val="lowerLetter"/>
      <w:suff w:val="tab"/>
      <w:lvlText w:val="%1."/>
      <w:rPr>
        <w:color w:val="3370ff"/>
      </w:rPr>
    </w:lvl>
  </w:abstractNum>
  <w:abstractNum w:abstractNumId="209251">
    <w:lvl>
      <w:start w:val="1"/>
      <w:numFmt w:val="lowerLetter"/>
      <w:suff w:val="tab"/>
      <w:lvlText w:val="%1."/>
      <w:rPr>
        <w:color w:val="3370ff"/>
      </w:rPr>
    </w:lvl>
  </w:abstractNum>
  <w:abstractNum w:abstractNumId="209252">
    <w:lvl>
      <w:start w:val="2"/>
      <w:numFmt w:val="lowerLetter"/>
      <w:suff w:val="tab"/>
      <w:lvlText w:val="%1."/>
      <w:rPr>
        <w:color w:val="3370ff"/>
      </w:rPr>
    </w:lvl>
  </w:abstractNum>
  <w:abstractNum w:abstractNumId="209253">
    <w:lvl>
      <w:start w:val="3"/>
      <w:numFmt w:val="lowerLetter"/>
      <w:suff w:val="tab"/>
      <w:lvlText w:val="%1."/>
      <w:rPr>
        <w:color w:val="3370ff"/>
      </w:rPr>
    </w:lvl>
  </w:abstractNum>
  <w:abstractNum w:abstractNumId="209254">
    <w:lvl>
      <w:start w:val="4"/>
      <w:numFmt w:val="lowerLetter"/>
      <w:suff w:val="tab"/>
      <w:lvlText w:val="%1."/>
      <w:rPr>
        <w:color w:val="3370ff"/>
      </w:rPr>
    </w:lvl>
  </w:abstractNum>
  <w:abstractNum w:abstractNumId="209255">
    <w:lvl>
      <w:start w:val="5"/>
      <w:numFmt w:val="lowerLetter"/>
      <w:suff w:val="tab"/>
      <w:lvlText w:val="%1."/>
      <w:rPr>
        <w:color w:val="3370ff"/>
      </w:rPr>
    </w:lvl>
  </w:abstractNum>
  <w:abstractNum w:abstractNumId="209256">
    <w:lvl>
      <w:start w:val="6"/>
      <w:numFmt w:val="lowerLetter"/>
      <w:suff w:val="tab"/>
      <w:lvlText w:val="%1."/>
      <w:rPr>
        <w:color w:val="3370ff"/>
      </w:rPr>
    </w:lvl>
  </w:abstractNum>
  <w:abstractNum w:abstractNumId="209257">
    <w:lvl>
      <w:start w:val="7"/>
      <w:numFmt w:val="lowerLetter"/>
      <w:suff w:val="tab"/>
      <w:lvlText w:val="%1."/>
      <w:rPr>
        <w:color w:val="3370ff"/>
      </w:rPr>
    </w:lvl>
  </w:abstractNum>
  <w:abstractNum w:abstractNumId="209258">
    <w:lvl>
      <w:start w:val="8"/>
      <w:numFmt w:val="lowerLetter"/>
      <w:suff w:val="tab"/>
      <w:lvlText w:val="%1."/>
      <w:rPr>
        <w:color w:val="3370ff"/>
      </w:rPr>
    </w:lvl>
  </w:abstractNum>
  <w:abstractNum w:abstractNumId="209259">
    <w:lvl>
      <w:start w:val="9"/>
      <w:numFmt w:val="lowerLetter"/>
      <w:suff w:val="tab"/>
      <w:lvlText w:val="%1."/>
      <w:rPr>
        <w:color w:val="3370ff"/>
      </w:rPr>
    </w:lvl>
  </w:abstractNum>
  <w:abstractNum w:abstractNumId="209260">
    <w:lvl>
      <w:start w:val="10"/>
      <w:numFmt w:val="lowerLetter"/>
      <w:suff w:val="tab"/>
      <w:lvlText w:val="%1."/>
      <w:rPr>
        <w:color w:val="3370ff"/>
      </w:rPr>
    </w:lvl>
  </w:abstractNum>
  <w:abstractNum w:abstractNumId="209261">
    <w:lvl>
      <w:start w:val="1"/>
      <w:numFmt w:val="lowerLetter"/>
      <w:suff w:val="tab"/>
      <w:lvlText w:val="%1."/>
      <w:rPr>
        <w:color w:val="3370ff"/>
      </w:rPr>
    </w:lvl>
  </w:abstractNum>
  <w:abstractNum w:abstractNumId="209262">
    <w:lvl>
      <w:start w:val="2"/>
      <w:numFmt w:val="lowerLetter"/>
      <w:suff w:val="tab"/>
      <w:lvlText w:val="%1."/>
      <w:rPr>
        <w:color w:val="3370ff"/>
      </w:rPr>
    </w:lvl>
  </w:abstractNum>
  <w:abstractNum w:abstractNumId="209263">
    <w:lvl>
      <w:start w:val="1"/>
      <w:numFmt w:val="lowerLetter"/>
      <w:suff w:val="tab"/>
      <w:lvlText w:val="%1."/>
      <w:rPr>
        <w:color w:val="3370ff"/>
      </w:rPr>
    </w:lvl>
  </w:abstractNum>
  <w:abstractNum w:abstractNumId="209264">
    <w:lvl>
      <w:start w:val="2"/>
      <w:numFmt w:val="lowerLetter"/>
      <w:suff w:val="tab"/>
      <w:lvlText w:val="%1."/>
      <w:rPr>
        <w:color w:val="3370ff"/>
      </w:rPr>
    </w:lvl>
  </w:abstractNum>
  <w:abstractNum w:abstractNumId="209265">
    <w:lvl>
      <w:start w:val="3"/>
      <w:numFmt w:val="lowerLetter"/>
      <w:suff w:val="tab"/>
      <w:lvlText w:val="%1."/>
      <w:rPr>
        <w:color w:val="3370ff"/>
      </w:rPr>
    </w:lvl>
  </w:abstractNum>
  <w:abstractNum w:abstractNumId="209266">
    <w:lvl>
      <w:start w:val="1"/>
      <w:numFmt w:val="decimal"/>
      <w:suff w:val="tab"/>
      <w:lvlText w:val="%1."/>
      <w:rPr>
        <w:color w:val="3370ff"/>
      </w:rPr>
    </w:lvl>
  </w:abstractNum>
  <w:abstractNum w:abstractNumId="209267">
    <w:lvl>
      <w:start w:val="2"/>
      <w:numFmt w:val="decimal"/>
      <w:suff w:val="tab"/>
      <w:lvlText w:val="%1."/>
      <w:rPr>
        <w:color w:val="3370ff"/>
      </w:rPr>
    </w:lvl>
  </w:abstractNum>
  <w:abstractNum w:abstractNumId="209268">
    <w:lvl>
      <w:start w:val="1"/>
      <w:numFmt w:val="lowerLetter"/>
      <w:suff w:val="tab"/>
      <w:lvlText w:val="%1."/>
      <w:rPr>
        <w:color w:val="3370ff"/>
      </w:rPr>
    </w:lvl>
  </w:abstractNum>
  <w:num w:numId="1">
    <w:abstractNumId w:val="209044"/>
  </w:num>
  <w:num w:numId="2">
    <w:abstractNumId w:val="209045"/>
  </w:num>
  <w:num w:numId="3">
    <w:abstractNumId w:val="209046"/>
  </w:num>
  <w:num w:numId="4">
    <w:abstractNumId w:val="209047"/>
  </w:num>
  <w:num w:numId="5">
    <w:abstractNumId w:val="209048"/>
  </w:num>
  <w:num w:numId="6">
    <w:abstractNumId w:val="209049"/>
  </w:num>
  <w:num w:numId="7">
    <w:abstractNumId w:val="209050"/>
  </w:num>
  <w:num w:numId="8">
    <w:abstractNumId w:val="209051"/>
  </w:num>
  <w:num w:numId="9">
    <w:abstractNumId w:val="209052"/>
  </w:num>
  <w:num w:numId="10">
    <w:abstractNumId w:val="209053"/>
  </w:num>
  <w:num w:numId="11">
    <w:abstractNumId w:val="209054"/>
  </w:num>
  <w:num w:numId="12">
    <w:abstractNumId w:val="209055"/>
  </w:num>
  <w:num w:numId="13">
    <w:abstractNumId w:val="209056"/>
  </w:num>
  <w:num w:numId="14">
    <w:abstractNumId w:val="209057"/>
  </w:num>
  <w:num w:numId="15">
    <w:abstractNumId w:val="209058"/>
  </w:num>
  <w:num w:numId="16">
    <w:abstractNumId w:val="209059"/>
  </w:num>
  <w:num w:numId="17">
    <w:abstractNumId w:val="209060"/>
  </w:num>
  <w:num w:numId="18">
    <w:abstractNumId w:val="209061"/>
  </w:num>
  <w:num w:numId="19">
    <w:abstractNumId w:val="209062"/>
  </w:num>
  <w:num w:numId="20">
    <w:abstractNumId w:val="209063"/>
  </w:num>
  <w:num w:numId="21">
    <w:abstractNumId w:val="209064"/>
  </w:num>
  <w:num w:numId="22">
    <w:abstractNumId w:val="209065"/>
  </w:num>
  <w:num w:numId="23">
    <w:abstractNumId w:val="209066"/>
  </w:num>
  <w:num w:numId="24">
    <w:abstractNumId w:val="209067"/>
  </w:num>
  <w:num w:numId="25">
    <w:abstractNumId w:val="209068"/>
  </w:num>
  <w:num w:numId="26">
    <w:abstractNumId w:val="209069"/>
  </w:num>
  <w:num w:numId="27">
    <w:abstractNumId w:val="209070"/>
  </w:num>
  <w:num w:numId="28">
    <w:abstractNumId w:val="209071"/>
  </w:num>
  <w:num w:numId="29">
    <w:abstractNumId w:val="209072"/>
  </w:num>
  <w:num w:numId="30">
    <w:abstractNumId w:val="209073"/>
  </w:num>
  <w:num w:numId="31">
    <w:abstractNumId w:val="209074"/>
  </w:num>
  <w:num w:numId="32">
    <w:abstractNumId w:val="209075"/>
  </w:num>
  <w:num w:numId="33">
    <w:abstractNumId w:val="209076"/>
  </w:num>
  <w:num w:numId="34">
    <w:abstractNumId w:val="209077"/>
  </w:num>
  <w:num w:numId="35">
    <w:abstractNumId w:val="209078"/>
  </w:num>
  <w:num w:numId="36">
    <w:abstractNumId w:val="209079"/>
  </w:num>
  <w:num w:numId="37">
    <w:abstractNumId w:val="209080"/>
  </w:num>
  <w:num w:numId="38">
    <w:abstractNumId w:val="209081"/>
  </w:num>
  <w:num w:numId="39">
    <w:abstractNumId w:val="209082"/>
  </w:num>
  <w:num w:numId="40">
    <w:abstractNumId w:val="209083"/>
  </w:num>
  <w:num w:numId="41">
    <w:abstractNumId w:val="209084"/>
  </w:num>
  <w:num w:numId="42">
    <w:abstractNumId w:val="209085"/>
  </w:num>
  <w:num w:numId="43">
    <w:abstractNumId w:val="209086"/>
  </w:num>
  <w:num w:numId="44">
    <w:abstractNumId w:val="209087"/>
  </w:num>
  <w:num w:numId="45">
    <w:abstractNumId w:val="209088"/>
  </w:num>
  <w:num w:numId="46">
    <w:abstractNumId w:val="209089"/>
  </w:num>
  <w:num w:numId="47">
    <w:abstractNumId w:val="209090"/>
  </w:num>
  <w:num w:numId="48">
    <w:abstractNumId w:val="209091"/>
  </w:num>
  <w:num w:numId="49">
    <w:abstractNumId w:val="209092"/>
  </w:num>
  <w:num w:numId="50">
    <w:abstractNumId w:val="209093"/>
  </w:num>
  <w:num w:numId="51">
    <w:abstractNumId w:val="209094"/>
  </w:num>
  <w:num w:numId="52">
    <w:abstractNumId w:val="209095"/>
  </w:num>
  <w:num w:numId="53">
    <w:abstractNumId w:val="209096"/>
  </w:num>
  <w:num w:numId="54">
    <w:abstractNumId w:val="209097"/>
  </w:num>
  <w:num w:numId="55">
    <w:abstractNumId w:val="209098"/>
  </w:num>
  <w:num w:numId="56">
    <w:abstractNumId w:val="209099"/>
  </w:num>
  <w:num w:numId="57">
    <w:abstractNumId w:val="209100"/>
  </w:num>
  <w:num w:numId="58">
    <w:abstractNumId w:val="209101"/>
  </w:num>
  <w:num w:numId="59">
    <w:abstractNumId w:val="209102"/>
  </w:num>
  <w:num w:numId="60">
    <w:abstractNumId w:val="209103"/>
  </w:num>
  <w:num w:numId="61">
    <w:abstractNumId w:val="209104"/>
  </w:num>
  <w:num w:numId="62">
    <w:abstractNumId w:val="209105"/>
  </w:num>
  <w:num w:numId="63">
    <w:abstractNumId w:val="209106"/>
  </w:num>
  <w:num w:numId="64">
    <w:abstractNumId w:val="209107"/>
  </w:num>
  <w:num w:numId="65">
    <w:abstractNumId w:val="209108"/>
  </w:num>
  <w:num w:numId="66">
    <w:abstractNumId w:val="209109"/>
  </w:num>
  <w:num w:numId="67">
    <w:abstractNumId w:val="209110"/>
  </w:num>
  <w:num w:numId="68">
    <w:abstractNumId w:val="209111"/>
  </w:num>
  <w:num w:numId="69">
    <w:abstractNumId w:val="209112"/>
  </w:num>
  <w:num w:numId="70">
    <w:abstractNumId w:val="209113"/>
  </w:num>
  <w:num w:numId="71">
    <w:abstractNumId w:val="209114"/>
  </w:num>
  <w:num w:numId="72">
    <w:abstractNumId w:val="209115"/>
  </w:num>
  <w:num w:numId="73">
    <w:abstractNumId w:val="209116"/>
  </w:num>
  <w:num w:numId="74">
    <w:abstractNumId w:val="209117"/>
  </w:num>
  <w:num w:numId="75">
    <w:abstractNumId w:val="209118"/>
  </w:num>
  <w:num w:numId="76">
    <w:abstractNumId w:val="209119"/>
  </w:num>
  <w:num w:numId="77">
    <w:abstractNumId w:val="209120"/>
  </w:num>
  <w:num w:numId="78">
    <w:abstractNumId w:val="209121"/>
  </w:num>
  <w:num w:numId="79">
    <w:abstractNumId w:val="209122"/>
  </w:num>
  <w:num w:numId="80">
    <w:abstractNumId w:val="209123"/>
  </w:num>
  <w:num w:numId="81">
    <w:abstractNumId w:val="209124"/>
  </w:num>
  <w:num w:numId="82">
    <w:abstractNumId w:val="209125"/>
  </w:num>
  <w:num w:numId="83">
    <w:abstractNumId w:val="209126"/>
  </w:num>
  <w:num w:numId="84">
    <w:abstractNumId w:val="209127"/>
  </w:num>
  <w:num w:numId="85">
    <w:abstractNumId w:val="209128"/>
  </w:num>
  <w:num w:numId="86">
    <w:abstractNumId w:val="209129"/>
  </w:num>
  <w:num w:numId="87">
    <w:abstractNumId w:val="209130"/>
  </w:num>
  <w:num w:numId="88">
    <w:abstractNumId w:val="209131"/>
  </w:num>
  <w:num w:numId="89">
    <w:abstractNumId w:val="209132"/>
  </w:num>
  <w:num w:numId="90">
    <w:abstractNumId w:val="209133"/>
  </w:num>
  <w:num w:numId="91">
    <w:abstractNumId w:val="209134"/>
  </w:num>
  <w:num w:numId="92">
    <w:abstractNumId w:val="209135"/>
  </w:num>
  <w:num w:numId="93">
    <w:abstractNumId w:val="209136"/>
  </w:num>
  <w:num w:numId="94">
    <w:abstractNumId w:val="209137"/>
  </w:num>
  <w:num w:numId="95">
    <w:abstractNumId w:val="209138"/>
  </w:num>
  <w:num w:numId="96">
    <w:abstractNumId w:val="209139"/>
  </w:num>
  <w:num w:numId="97">
    <w:abstractNumId w:val="209140"/>
  </w:num>
  <w:num w:numId="98">
    <w:abstractNumId w:val="209141"/>
  </w:num>
  <w:num w:numId="99">
    <w:abstractNumId w:val="209142"/>
  </w:num>
  <w:num w:numId="100">
    <w:abstractNumId w:val="209143"/>
  </w:num>
  <w:num w:numId="101">
    <w:abstractNumId w:val="209144"/>
  </w:num>
  <w:num w:numId="102">
    <w:abstractNumId w:val="209145"/>
  </w:num>
  <w:num w:numId="103">
    <w:abstractNumId w:val="209146"/>
  </w:num>
  <w:num w:numId="104">
    <w:abstractNumId w:val="209147"/>
  </w:num>
  <w:num w:numId="105">
    <w:abstractNumId w:val="209148"/>
  </w:num>
  <w:num w:numId="106">
    <w:abstractNumId w:val="209149"/>
  </w:num>
  <w:num w:numId="107">
    <w:abstractNumId w:val="209150"/>
  </w:num>
  <w:num w:numId="108">
    <w:abstractNumId w:val="209151"/>
  </w:num>
  <w:num w:numId="109">
    <w:abstractNumId w:val="209152"/>
  </w:num>
  <w:num w:numId="110">
    <w:abstractNumId w:val="209153"/>
  </w:num>
  <w:num w:numId="111">
    <w:abstractNumId w:val="209154"/>
  </w:num>
  <w:num w:numId="112">
    <w:abstractNumId w:val="209155"/>
  </w:num>
  <w:num w:numId="113">
    <w:abstractNumId w:val="209156"/>
  </w:num>
  <w:num w:numId="114">
    <w:abstractNumId w:val="209157"/>
  </w:num>
  <w:num w:numId="115">
    <w:abstractNumId w:val="209158"/>
  </w:num>
  <w:num w:numId="116">
    <w:abstractNumId w:val="209159"/>
  </w:num>
  <w:num w:numId="117">
    <w:abstractNumId w:val="209160"/>
  </w:num>
  <w:num w:numId="118">
    <w:abstractNumId w:val="209161"/>
  </w:num>
  <w:num w:numId="119">
    <w:abstractNumId w:val="209162"/>
  </w:num>
  <w:num w:numId="120">
    <w:abstractNumId w:val="209163"/>
  </w:num>
  <w:num w:numId="121">
    <w:abstractNumId w:val="209164"/>
  </w:num>
  <w:num w:numId="122">
    <w:abstractNumId w:val="209165"/>
  </w:num>
  <w:num w:numId="123">
    <w:abstractNumId w:val="209166"/>
  </w:num>
  <w:num w:numId="124">
    <w:abstractNumId w:val="209167"/>
  </w:num>
  <w:num w:numId="125">
    <w:abstractNumId w:val="209168"/>
  </w:num>
  <w:num w:numId="126">
    <w:abstractNumId w:val="209169"/>
  </w:num>
  <w:num w:numId="127">
    <w:abstractNumId w:val="209170"/>
  </w:num>
  <w:num w:numId="128">
    <w:abstractNumId w:val="209171"/>
  </w:num>
  <w:num w:numId="129">
    <w:abstractNumId w:val="209172"/>
  </w:num>
  <w:num w:numId="130">
    <w:abstractNumId w:val="209173"/>
  </w:num>
  <w:num w:numId="131">
    <w:abstractNumId w:val="209174"/>
  </w:num>
  <w:num w:numId="132">
    <w:abstractNumId w:val="209175"/>
  </w:num>
  <w:num w:numId="133">
    <w:abstractNumId w:val="209176"/>
  </w:num>
  <w:num w:numId="134">
    <w:abstractNumId w:val="209177"/>
  </w:num>
  <w:num w:numId="135">
    <w:abstractNumId w:val="209178"/>
  </w:num>
  <w:num w:numId="136">
    <w:abstractNumId w:val="209179"/>
  </w:num>
  <w:num w:numId="137">
    <w:abstractNumId w:val="209180"/>
  </w:num>
  <w:num w:numId="138">
    <w:abstractNumId w:val="209181"/>
  </w:num>
  <w:num w:numId="139">
    <w:abstractNumId w:val="209182"/>
  </w:num>
  <w:num w:numId="140">
    <w:abstractNumId w:val="209183"/>
  </w:num>
  <w:num w:numId="141">
    <w:abstractNumId w:val="209184"/>
  </w:num>
  <w:num w:numId="142">
    <w:abstractNumId w:val="209185"/>
  </w:num>
  <w:num w:numId="143">
    <w:abstractNumId w:val="209186"/>
  </w:num>
  <w:num w:numId="144">
    <w:abstractNumId w:val="209187"/>
  </w:num>
  <w:num w:numId="145">
    <w:abstractNumId w:val="209188"/>
  </w:num>
  <w:num w:numId="146">
    <w:abstractNumId w:val="209189"/>
  </w:num>
  <w:num w:numId="147">
    <w:abstractNumId w:val="209190"/>
  </w:num>
  <w:num w:numId="148">
    <w:abstractNumId w:val="209191"/>
  </w:num>
  <w:num w:numId="149">
    <w:abstractNumId w:val="209192"/>
  </w:num>
  <w:num w:numId="150">
    <w:abstractNumId w:val="209193"/>
  </w:num>
  <w:num w:numId="151">
    <w:abstractNumId w:val="209194"/>
  </w:num>
  <w:num w:numId="152">
    <w:abstractNumId w:val="209195"/>
  </w:num>
  <w:num w:numId="153">
    <w:abstractNumId w:val="209196"/>
  </w:num>
  <w:num w:numId="154">
    <w:abstractNumId w:val="209197"/>
  </w:num>
  <w:num w:numId="155">
    <w:abstractNumId w:val="209198"/>
  </w:num>
  <w:num w:numId="156">
    <w:abstractNumId w:val="209199"/>
  </w:num>
  <w:num w:numId="157">
    <w:abstractNumId w:val="209200"/>
  </w:num>
  <w:num w:numId="158">
    <w:abstractNumId w:val="209201"/>
  </w:num>
  <w:num w:numId="159">
    <w:abstractNumId w:val="209202"/>
  </w:num>
  <w:num w:numId="160">
    <w:abstractNumId w:val="209203"/>
  </w:num>
  <w:num w:numId="161">
    <w:abstractNumId w:val="209204"/>
  </w:num>
  <w:num w:numId="162">
    <w:abstractNumId w:val="209205"/>
  </w:num>
  <w:num w:numId="163">
    <w:abstractNumId w:val="209206"/>
  </w:num>
  <w:num w:numId="164">
    <w:abstractNumId w:val="209207"/>
  </w:num>
  <w:num w:numId="165">
    <w:abstractNumId w:val="209208"/>
  </w:num>
  <w:num w:numId="166">
    <w:abstractNumId w:val="209209"/>
  </w:num>
  <w:num w:numId="167">
    <w:abstractNumId w:val="209210"/>
  </w:num>
  <w:num w:numId="168">
    <w:abstractNumId w:val="209211"/>
  </w:num>
  <w:num w:numId="169">
    <w:abstractNumId w:val="209212"/>
  </w:num>
  <w:num w:numId="170">
    <w:abstractNumId w:val="209213"/>
  </w:num>
  <w:num w:numId="171">
    <w:abstractNumId w:val="209214"/>
  </w:num>
  <w:num w:numId="172">
    <w:abstractNumId w:val="209215"/>
  </w:num>
  <w:num w:numId="173">
    <w:abstractNumId w:val="209216"/>
  </w:num>
  <w:num w:numId="174">
    <w:abstractNumId w:val="209217"/>
  </w:num>
  <w:num w:numId="175">
    <w:abstractNumId w:val="209218"/>
  </w:num>
  <w:num w:numId="176">
    <w:abstractNumId w:val="209219"/>
  </w:num>
  <w:num w:numId="177">
    <w:abstractNumId w:val="209220"/>
  </w:num>
  <w:num w:numId="178">
    <w:abstractNumId w:val="209221"/>
  </w:num>
  <w:num w:numId="179">
    <w:abstractNumId w:val="209222"/>
  </w:num>
  <w:num w:numId="180">
    <w:abstractNumId w:val="209223"/>
  </w:num>
  <w:num w:numId="181">
    <w:abstractNumId w:val="209224"/>
  </w:num>
  <w:num w:numId="182">
    <w:abstractNumId w:val="209225"/>
  </w:num>
  <w:num w:numId="183">
    <w:abstractNumId w:val="209226"/>
  </w:num>
  <w:num w:numId="184">
    <w:abstractNumId w:val="209227"/>
  </w:num>
  <w:num w:numId="185">
    <w:abstractNumId w:val="209228"/>
  </w:num>
  <w:num w:numId="186">
    <w:abstractNumId w:val="209229"/>
  </w:num>
  <w:num w:numId="187">
    <w:abstractNumId w:val="209230"/>
  </w:num>
  <w:num w:numId="188">
    <w:abstractNumId w:val="209231"/>
  </w:num>
  <w:num w:numId="189">
    <w:abstractNumId w:val="209232"/>
  </w:num>
  <w:num w:numId="190">
    <w:abstractNumId w:val="209233"/>
  </w:num>
  <w:num w:numId="191">
    <w:abstractNumId w:val="209234"/>
  </w:num>
  <w:num w:numId="192">
    <w:abstractNumId w:val="209235"/>
  </w:num>
  <w:num w:numId="193">
    <w:abstractNumId w:val="209236"/>
  </w:num>
  <w:num w:numId="194">
    <w:abstractNumId w:val="209237"/>
  </w:num>
  <w:num w:numId="195">
    <w:abstractNumId w:val="209238"/>
  </w:num>
  <w:num w:numId="196">
    <w:abstractNumId w:val="209239"/>
  </w:num>
  <w:num w:numId="197">
    <w:abstractNumId w:val="209240"/>
  </w:num>
  <w:num w:numId="198">
    <w:abstractNumId w:val="209241"/>
  </w:num>
  <w:num w:numId="199">
    <w:abstractNumId w:val="209242"/>
  </w:num>
  <w:num w:numId="200">
    <w:abstractNumId w:val="209243"/>
  </w:num>
  <w:num w:numId="201">
    <w:abstractNumId w:val="209244"/>
  </w:num>
  <w:num w:numId="202">
    <w:abstractNumId w:val="209245"/>
  </w:num>
  <w:num w:numId="203">
    <w:abstractNumId w:val="209246"/>
  </w:num>
  <w:num w:numId="204">
    <w:abstractNumId w:val="209247"/>
  </w:num>
  <w:num w:numId="205">
    <w:abstractNumId w:val="209248"/>
  </w:num>
  <w:num w:numId="206">
    <w:abstractNumId w:val="209249"/>
  </w:num>
  <w:num w:numId="207">
    <w:abstractNumId w:val="209250"/>
  </w:num>
  <w:num w:numId="208">
    <w:abstractNumId w:val="209251"/>
  </w:num>
  <w:num w:numId="209">
    <w:abstractNumId w:val="209252"/>
  </w:num>
  <w:num w:numId="210">
    <w:abstractNumId w:val="209253"/>
  </w:num>
  <w:num w:numId="211">
    <w:abstractNumId w:val="209254"/>
  </w:num>
  <w:num w:numId="212">
    <w:abstractNumId w:val="209255"/>
  </w:num>
  <w:num w:numId="213">
    <w:abstractNumId w:val="209256"/>
  </w:num>
  <w:num w:numId="214">
    <w:abstractNumId w:val="209257"/>
  </w:num>
  <w:num w:numId="215">
    <w:abstractNumId w:val="209258"/>
  </w:num>
  <w:num w:numId="216">
    <w:abstractNumId w:val="209259"/>
  </w:num>
  <w:num w:numId="217">
    <w:abstractNumId w:val="209260"/>
  </w:num>
  <w:num w:numId="218">
    <w:abstractNumId w:val="209261"/>
  </w:num>
  <w:num w:numId="219">
    <w:abstractNumId w:val="209262"/>
  </w:num>
  <w:num w:numId="220">
    <w:abstractNumId w:val="209263"/>
  </w:num>
  <w:num w:numId="221">
    <w:abstractNumId w:val="209264"/>
  </w:num>
  <w:num w:numId="222">
    <w:abstractNumId w:val="209265"/>
  </w:num>
  <w:num w:numId="223">
    <w:abstractNumId w:val="209266"/>
  </w:num>
  <w:num w:numId="224">
    <w:abstractNumId w:val="209267"/>
  </w:num>
  <w:num w:numId="225">
    <w:abstractNumId w:val="20926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u1ig5wq0ejc.feishu.cn/docx/DWpXdcMbUoiZGZxO4cWcJ4c8nUb?from=from_copylink" TargetMode="External" Type="http://schemas.openxmlformats.org/officeDocument/2006/relationships/hyperlink"/><Relationship Id="rId11" Target="https://u1ig5wq0ejc.feishu.cn/sheets/BaDhsQ4hFhJWC8tz9Y4c27zCnFc?from=from_copylink" TargetMode="External" Type="http://schemas.openxmlformats.org/officeDocument/2006/relationships/hyperlink"/><Relationship Id="rId12" Target="https://u1ig5wq0ejc.feishu.cn/sheets/SpUtsUnfThpQeqt7fg4chz1xnsc?from=from_copylink" TargetMode="External" Type="http://schemas.openxmlformats.org/officeDocument/2006/relationships/hyperlink"/><Relationship Id="rId13" Target="https://u1ig5wq0ejc.feishu.cn/sheets/L0IWsBn4shm477tEPgrcyu5Ln1c?from=from_copylink" TargetMode="External" Type="http://schemas.openxmlformats.org/officeDocument/2006/relationships/hyperlink"/><Relationship Id="rId14" Target="https://u1ig5wq0ejc.feishu.cn/sheets/HEDzsZktPhELF6tRKy4cjP7tnkf?from=from_copylink" TargetMode="External" Type="http://schemas.openxmlformats.org/officeDocument/2006/relationships/hyperlink"/><Relationship Id="rId15" Target="https://u1ig5wq0ejc.feishu.cn/sheets/OOcqsEdbAhlD4LtnW1bcgjsgnPf?from=from_copylink" TargetMode="External" Type="http://schemas.openxmlformats.org/officeDocument/2006/relationships/hyperlink"/><Relationship Id="rId16" Target="https://u1ig5wq0ejc.feishu.cn/sheets/AqJEsXiQGhadHetuPPscRGCenpb?from=from_copylink" TargetMode="External" Type="http://schemas.openxmlformats.org/officeDocument/2006/relationships/hyperlink"/><Relationship Id="rId17" Target="https://u1ig5wq0ejc.feishu.cn/sheets/T5NBsq9N8htGFdtS7N8cUsnunYc?from=from_copylink" TargetMode="External" Type="http://schemas.openxmlformats.org/officeDocument/2006/relationships/hyperlink"/><Relationship Id="rId18" Target="https://u1ig5wq0ejc.feishu.cn/sheets/PX2QsPWJ7hGWmutZXAac0ZIun4d?from=from_copylink" TargetMode="External" Type="http://schemas.openxmlformats.org/officeDocument/2006/relationships/hyperlink"/><Relationship Id="rId19" Target="https://u1ig5wq0ejc.feishu.cn/docx/IMSMdzHDfof8oMxEjA5cwkoUnbb?from=from_copylink" TargetMode="External" Type="http://schemas.openxmlformats.org/officeDocument/2006/relationships/hyperlink"/><Relationship Id="rId2" Target="styles.xml" Type="http://schemas.openxmlformats.org/officeDocument/2006/relationships/styles"/><Relationship Id="rId20" Target="https://u1ig5wq0ejc.feishu.cn/docx/Tp9JdIihjoiZEYxyX15crfrXntd?from=from_copylink" TargetMode="External" Type="http://schemas.openxmlformats.org/officeDocument/2006/relationships/hyperlink"/><Relationship Id="rId21" Target="https://u1ig5wq0ejc.feishu.cn/docx/DxNKdVqUIoyX9jxX6KkcUfSlnne?from=from_copylink" TargetMode="External" Type="http://schemas.openxmlformats.org/officeDocument/2006/relationships/hyperlink"/><Relationship Id="rId22" Target="https://u1ig5wq0ejc.feishu.cn/docx/I8kudFYUnoHZXvxsrLJcKZLnn0f?from=from_copylink" TargetMode="External" Type="http://schemas.openxmlformats.org/officeDocument/2006/relationships/hyperlink"/><Relationship Id="rId23" Target="https://u1ig5wq0ejc.feishu.cn/docx/WvsOdHIFzof8UYxnGrwc1Tgonhd" TargetMode="External" Type="http://schemas.openxmlformats.org/officeDocument/2006/relationships/hyperlink"/><Relationship Id="rId24" Target="https://u1ig5wq0ejc.feishu.cn/docx/FYtmdvSaxoxQCXxlRNZcTQPenIf" TargetMode="External" Type="http://schemas.openxmlformats.org/officeDocument/2006/relationships/hyperlink"/><Relationship Id="rId25" Target="https://u1ig5wq0ejc.feishu.cn/docx/Bm5MdHv7eosBHTxFdAkcIk62nwh" TargetMode="External" Type="http://schemas.openxmlformats.org/officeDocument/2006/relationships/hyperlink"/><Relationship Id="rId26" Target="https://u1ig5wq0ejc.feishu.cn/docx/Yc6SdO3zeonrRyxDMEOcuE3CnGd" TargetMode="External" Type="http://schemas.openxmlformats.org/officeDocument/2006/relationships/hyperlink"/><Relationship Id="rId27" Target="https://u1ig5wq0ejc.feishu.cn/docx/CESmd1ztXoCHVOxXWavcf0kYnke" TargetMode="External" Type="http://schemas.openxmlformats.org/officeDocument/2006/relationships/hyperlink"/><Relationship Id="rId28" Target="https://u1ig5wq0ejc.feishu.cn/docx/L1T4dXZ2CoceIMx2M0KcuLT2nmc" TargetMode="External" Type="http://schemas.openxmlformats.org/officeDocument/2006/relationships/hyperlink"/><Relationship Id="rId29" Target="https://u1ig5wq0ejc.feishu.cn/docx/UxftdmcJvoS1yfxfDG9cMvu6nHK" TargetMode="External" Type="http://schemas.openxmlformats.org/officeDocument/2006/relationships/hyperlink"/><Relationship Id="rId3" Target="footer1.xml" Type="http://schemas.openxmlformats.org/officeDocument/2006/relationships/footer"/><Relationship Id="rId30" Target="https://u1ig5wq0ejc.feishu.cn/docx/Wk67dUNpRoNbidxM7SbcvlCMnId" TargetMode="External" Type="http://schemas.openxmlformats.org/officeDocument/2006/relationships/hyperlink"/><Relationship Id="rId31" Target="https://u1ig5wq0ejc.feishu.cn/docx/R7gDdpVc9oOSkCxnC6XcAYpQnaf" TargetMode="External" Type="http://schemas.openxmlformats.org/officeDocument/2006/relationships/hyperlink"/><Relationship Id="rId32" Target="https://u1ig5wq0ejc.feishu.cn/sheets/SJjxs8WLchJMUStjAhlc426Nnec" TargetMode="External" Type="http://schemas.openxmlformats.org/officeDocument/2006/relationships/hyperlink"/><Relationship Id="rId33" Target="https://u1ig5wq0ejc.feishu.cn/docx/K6MCdHjcbo3Il3xC9Lrc47yKnVi" TargetMode="External" Type="http://schemas.openxmlformats.org/officeDocument/2006/relationships/hyperlink"/><Relationship Id="rId34" Target="https://u1ig5wq0ejc.feishu.cn/docx/OVmgd8n6LoXdDwx5fRNcppyjnwh" TargetMode="External" Type="http://schemas.openxmlformats.org/officeDocument/2006/relationships/hyperlink"/><Relationship Id="rId35" Target="https://u1ig5wq0ejc.feishu.cn/docx/CLqldjahyoWIwyx76NNc99fLn8f" TargetMode="External" Type="http://schemas.openxmlformats.org/officeDocument/2006/relationships/hyperlink"/><Relationship Id="rId36" Target="https://u1ig5wq0ejc.feishu.cn/sheets/URJ0so8uDhICiMtt7cBcsbndnTg" TargetMode="External" Type="http://schemas.openxmlformats.org/officeDocument/2006/relationships/hyperlink"/><Relationship Id="rId37" Target="https://u1ig5wq0ejc.feishu.cn/sheets/XxlCsNSjEhIUZLtzlkUcYzwEnAb" TargetMode="External" Type="http://schemas.openxmlformats.org/officeDocument/2006/relationships/hyperlink"/><Relationship Id="rId38" Target="https://u1ig5wq0ejc.feishu.cn/docx/IymYdYYTXoEifRxjnVscrbsFn6e" TargetMode="External" Type="http://schemas.openxmlformats.org/officeDocument/2006/relationships/hyperlink"/><Relationship Id="rId39" Target="https://u1ig5wq0ejc.feishu.cn/slides/UgXmsysOmlXs1Id6nF4calMNnqh" TargetMode="External" Type="http://schemas.openxmlformats.org/officeDocument/2006/relationships/hyperlink"/><Relationship Id="rId4" Target="https://u1ig5wq0ejc.feishu.cn/docx/T54sdcTBgoGRLOxPLOjcYXFKnFh" TargetMode="External" Type="http://schemas.openxmlformats.org/officeDocument/2006/relationships/hyperlink"/><Relationship Id="rId40" Target="https://u1ig5wq0ejc.feishu.cn/docx/NQ7BddHhzoiMGfxRpNncs2srnLb" TargetMode="External" Type="http://schemas.openxmlformats.org/officeDocument/2006/relationships/hyperlink"/><Relationship Id="rId41" Target="https://u1ig5wq0ejc.feishu.cn/docx/TbBLdfmBRo34PyxOv56c1LoBnic" TargetMode="External" Type="http://schemas.openxmlformats.org/officeDocument/2006/relationships/hyperlink"/><Relationship Id="rId42" Target="https://u1ig5wq0ejc.feishu.cn/slides/QKP6s9cDJlP81ddvFM0cHpXRnWb" TargetMode="External" Type="http://schemas.openxmlformats.org/officeDocument/2006/relationships/hyperlink"/><Relationship Id="rId43" Target="https://u1ig5wq0ejc.feishu.cn/sheets/LfCJsBQPUh8N52tIuc5cIfMonKc" TargetMode="External" Type="http://schemas.openxmlformats.org/officeDocument/2006/relationships/hyperlink"/><Relationship Id="rId44" Target="https://u1ig5wq0ejc.feishu.cn/docx/Q2m6dqSQboZEdQxz9Opcy0o2nrh" TargetMode="External" Type="http://schemas.openxmlformats.org/officeDocument/2006/relationships/hyperlink"/><Relationship Id="rId45" Target="https://u1ig5wq0ejc.feishu.cn/docx/CIhIdc8Ydorpt2xBZgVcI1Bfnyh" TargetMode="External" Type="http://schemas.openxmlformats.org/officeDocument/2006/relationships/hyperlink"/><Relationship Id="rId46" Target="https://u1ig5wq0ejc.feishu.cn/file/E6oKbGaheoMqHAxXQKzc4W09nAc" TargetMode="External" Type="http://schemas.openxmlformats.org/officeDocument/2006/relationships/hyperlink"/><Relationship Id="rId47" Target="https://u1ig5wq0ejc.feishu.cn/file/WLTHbc6eyoFPyGxEsfOcpJkZnQh" TargetMode="External" Type="http://schemas.openxmlformats.org/officeDocument/2006/relationships/hyperlink"/><Relationship Id="rId48" Target="https://u1ig5wq0ejc.feishu.cn/docx/PAhVd7wt5onD72xqRmLcSv9tnxJ" TargetMode="External" Type="http://schemas.openxmlformats.org/officeDocument/2006/relationships/hyperlink"/><Relationship Id="rId49" Target="https://u1ig5wq0ejc.feishu.cn/docx/MWPhdOXCGoORsGx3QDQcswgCn80" TargetMode="External" Type="http://schemas.openxmlformats.org/officeDocument/2006/relationships/hyperlink"/><Relationship Id="rId5" Target="numbering.xml" Type="http://schemas.openxmlformats.org/officeDocument/2006/relationships/numbering"/><Relationship Id="rId50" Target="https://u1ig5wq0ejc.feishu.cn/slides/SL4xsKk5Wlkukjdwc3EcXwMfnch" TargetMode="External" Type="http://schemas.openxmlformats.org/officeDocument/2006/relationships/hyperlink"/><Relationship Id="rId51" Target="https://u1ig5wq0ejc.feishu.cn/slides/B86Ds4P4ylUDysdbHSKcRcSGnfd" TargetMode="External" Type="http://schemas.openxmlformats.org/officeDocument/2006/relationships/hyperlink"/><Relationship Id="rId52" Target="https://u1ig5wq0ejc.feishu.cn/slides/KBF0sHuGslzuQod2el6cLLoVnQG" TargetMode="External" Type="http://schemas.openxmlformats.org/officeDocument/2006/relationships/hyperlink"/><Relationship Id="rId53" Target="https://u1ig5wq0ejc.feishu.cn/slides/ZekAsI9tglC0CZdjhyCc1fRInKh" TargetMode="External" Type="http://schemas.openxmlformats.org/officeDocument/2006/relationships/hyperlink"/><Relationship Id="rId54" Target="https://u1ig5wq0ejc.feishu.cn/docx/BE8xdlZWmoXgHix7XWgcG2tCnPM" TargetMode="External" Type="http://schemas.openxmlformats.org/officeDocument/2006/relationships/hyperlink"/><Relationship Id="rId55" Target="https://u1ig5wq0ejc.feishu.cn/slides/ZekAsI9tglC0CZdjhyCc1fRInKh" TargetMode="External" Type="http://schemas.openxmlformats.org/officeDocument/2006/relationships/hyperlink"/><Relationship Id="rId56" Target="https://u1ig5wq0ejc.feishu.cn/sheets/RXkYs5PqBh7StktJQp1cO3e2nOb" TargetMode="External" Type="http://schemas.openxmlformats.org/officeDocument/2006/relationships/hyperlink"/><Relationship Id="rId57" Target="https://u1ig5wq0ejc.feishu.cn/sheets/ATIPsbcGBhni4btkgPKcewsKnLc" TargetMode="External" Type="http://schemas.openxmlformats.org/officeDocument/2006/relationships/hyperlink"/><Relationship Id="rId58" Target="media/image1.png" Type="http://schemas.openxmlformats.org/officeDocument/2006/relationships/image"/><Relationship Id="rId59" Target="https://u1ig5wq0ejc.feishu.cn/docx/R6zUd83ZEoO7EaxeFkZccruHnhh?from=from_copylink" TargetMode="External" Type="http://schemas.openxmlformats.org/officeDocument/2006/relationships/hyperlink"/><Relationship Id="rId6" Target="https://u1ig5wq0ejc.feishu.cn/docx/FtKKdyKQmoZdpjxTLwRcFQxqnnh?from=from_copylink" TargetMode="External" Type="http://schemas.openxmlformats.org/officeDocument/2006/relationships/hyperlink"/><Relationship Id="rId60" Target="https://u1ig5wq0ejc.feishu.cn/docx/FXsEdp1E1onjYNxe6FWceG5vnoe?from=from_copylink" TargetMode="External" Type="http://schemas.openxmlformats.org/officeDocument/2006/relationships/hyperlink"/><Relationship Id="rId61" Target="https://u1ig5wq0ejc.feishu.cn/docx/PlaKdQjo7oIpgSx2pUFcsy24nlh?from=from_copylink" TargetMode="External" Type="http://schemas.openxmlformats.org/officeDocument/2006/relationships/hyperlink"/><Relationship Id="rId62" Target="https://u1ig5wq0ejc.feishu.cn/docx/WKZVdHicboySzmxRBt3cfZgnn5C?from=from_copylink" TargetMode="External" Type="http://schemas.openxmlformats.org/officeDocument/2006/relationships/hyperlink"/><Relationship Id="rId63" Target="https://u1ig5wq0ejc.feishu.cn/docx/Eb5Bdb78to66DWxnPD9cVNGanjh?from=from_copylink" TargetMode="External" Type="http://schemas.openxmlformats.org/officeDocument/2006/relationships/hyperlink"/><Relationship Id="rId64" Target="https://u1ig5wq0ejc.feishu.cn/docx/RE0hdiFP6oHS4wxXn4cciBiJnoe?from=from_copylink" TargetMode="External" Type="http://schemas.openxmlformats.org/officeDocument/2006/relationships/hyperlink"/><Relationship Id="rId65" Target="https://u1ig5wq0ejc.feishu.cn/sheets/Id8Zs0Rfuhkhnpt50ptczxTInQe?from=from_copylink" TargetMode="External" Type="http://schemas.openxmlformats.org/officeDocument/2006/relationships/hyperlink"/><Relationship Id="rId66" Target="https://u1ig5wq0ejc.feishu.cn/docx/TFrrdrxjVoFQlmxcK6Jcacuqnnc?from=from_copylink" TargetMode="External" Type="http://schemas.openxmlformats.org/officeDocument/2006/relationships/hyperlink"/><Relationship Id="rId67" Target="https://u1ig5wq0ejc.feishu.cn/sheets/VGDQsJtfLh3h3TtQK43cvVpln8b" TargetMode="External" Type="http://schemas.openxmlformats.org/officeDocument/2006/relationships/hyperlink"/><Relationship Id="rId68" Target="https://u1ig5wq0ejc.feishu.cn/sheets/NP9esE5RwhPnSqtrXf4cATYCnlg" TargetMode="External" Type="http://schemas.openxmlformats.org/officeDocument/2006/relationships/hyperlink"/><Relationship Id="rId69" Target="https://u1ig5wq0ejc.feishu.cn/docx/MXF4dpzj6o4hiKxk8E2cxGugngf" TargetMode="External" Type="http://schemas.openxmlformats.org/officeDocument/2006/relationships/hyperlink"/><Relationship Id="rId7" Target="https://u1ig5wq0ejc.feishu.cn/slides/RGqcsh08jl2H6mdc1Urcw7Tdn6d?from=from_copylink" TargetMode="External" Type="http://schemas.openxmlformats.org/officeDocument/2006/relationships/hyperlink"/><Relationship Id="rId70" Target="https://u1ig5wq0ejc.feishu.cn/sheets/LIyisfzYDhJk7etw8licL95dnDh" TargetMode="External" Type="http://schemas.openxmlformats.org/officeDocument/2006/relationships/hyperlink"/><Relationship Id="rId71" Target="https://u1ig5wq0ejc.feishu.cn/sheets/TwKGs1lYKhKN12tUDfyc6Cytn8e" TargetMode="External" Type="http://schemas.openxmlformats.org/officeDocument/2006/relationships/hyperlink"/><Relationship Id="rId72" Target="https://u1ig5wq0ejc.feishu.cn/sheets/E3agsjDszhDJf6tuqhwcFGUCnBd" TargetMode="External" Type="http://schemas.openxmlformats.org/officeDocument/2006/relationships/hyperlink"/><Relationship Id="rId73" Target="https://u1ig5wq0ejc.feishu.cn/file/T0PYbhuP8oodzLxKRcncJfw5nld" TargetMode="External" Type="http://schemas.openxmlformats.org/officeDocument/2006/relationships/hyperlink"/><Relationship Id="rId74" Target="https://u1ig5wq0ejc.feishu.cn/docx/XhSId8Qjzo5gnfx17nvcypeGn6g" TargetMode="External" Type="http://schemas.openxmlformats.org/officeDocument/2006/relationships/hyperlink"/><Relationship Id="rId75" Target="media/image2.png" Type="http://schemas.openxmlformats.org/officeDocument/2006/relationships/image"/><Relationship Id="rId76" Target="header1.xml" Type="http://schemas.openxmlformats.org/officeDocument/2006/relationships/header"/><Relationship Id="rId8" Target="https://u1ig5wq0ejc.feishu.cn/sheets/N1mfsQprAh4CT1tVWvVc40NhnLb?from=from_copylink" TargetMode="External" Type="http://schemas.openxmlformats.org/officeDocument/2006/relationships/hyperlink"/><Relationship Id="rId9" Target="https://u1ig5wq0ejc.feishu.cn/sheets/T9NNsS3b1hLzNGtwtUAcFS9Gnag?from=from_copylink"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2026-03-03T01:29:04Z</dcterms:created>
  <dc:creator>Apache POI</dc:creator>
</cp:coreProperties>
</file>