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66FC" w14:textId="32CCBC94" w:rsidR="00676588" w:rsidRDefault="00676588" w:rsidP="00676588">
      <w:pPr>
        <w:rPr>
          <w:b/>
          <w:bCs/>
        </w:rPr>
      </w:pPr>
      <w:r>
        <w:rPr>
          <w:rFonts w:hint="eastAsia"/>
          <w:b/>
          <w:bCs/>
        </w:rPr>
        <w:t>【谭总-律师-同祺股东】</w:t>
      </w:r>
    </w:p>
    <w:p w14:paraId="68CE3298" w14:textId="189B17BD" w:rsidR="00676588" w:rsidRPr="00676588" w:rsidRDefault="00676588" w:rsidP="00676588">
      <w:pPr>
        <w:rPr>
          <w:rFonts w:hint="eastAsia"/>
        </w:rPr>
      </w:pPr>
      <w:r w:rsidRPr="00676588">
        <w:rPr>
          <w:rFonts w:hint="eastAsia"/>
        </w:rPr>
        <w:t>之前发布会上讲大模型分析企业落地参数</w:t>
      </w:r>
    </w:p>
    <w:p w14:paraId="51DC7A89" w14:textId="736B4D4F" w:rsidR="006F2447" w:rsidRPr="00676588" w:rsidRDefault="00676588" w:rsidP="00676588">
      <w:r w:rsidRPr="00676588">
        <w:rPr>
          <w:rFonts w:hint="eastAsia"/>
        </w:rPr>
        <w:t>建议后续可以把类似企业遇到同类法律问题的判决思路作为重要参数之一，之前我们代理地产企业，当地政法委司法系统的判决思路都会偏向企业，企业创造税收拉就业，如果一个地方司法环境/营商环境对企业不友好，那可能也是硬伤，建议后续大模型分析里可以考虑一下这个点</w:t>
      </w:r>
      <w:r w:rsidRPr="00676588">
        <w:rPr>
          <w:rFonts w:hint="eastAsia"/>
        </w:rPr>
        <w:t>。</w:t>
      </w:r>
    </w:p>
    <w:p w14:paraId="6A5CE1E8" w14:textId="0BDF97C1" w:rsidR="00676588" w:rsidRPr="00676588" w:rsidRDefault="00676588" w:rsidP="00676588">
      <w:pPr>
        <w:rPr>
          <w:rFonts w:hint="eastAsia"/>
        </w:rPr>
      </w:pPr>
      <w:r w:rsidRPr="00676588">
        <w:rPr>
          <w:rFonts w:hint="eastAsia"/>
        </w:rPr>
        <w:t>这次发布会我没去不知道是否有更新，我觉得参数引入案件或者判决分析库就好了，看开发那边如何实现吧</w:t>
      </w:r>
    </w:p>
    <w:p w14:paraId="16ED3E52" w14:textId="77777777" w:rsidR="00676588" w:rsidRDefault="00676588" w:rsidP="009A5DE0">
      <w:pPr>
        <w:rPr>
          <w:rFonts w:hint="eastAsia"/>
          <w:b/>
          <w:bCs/>
        </w:rPr>
      </w:pPr>
    </w:p>
    <w:p w14:paraId="7EA9E464" w14:textId="359E8D29" w:rsidR="006F2447" w:rsidRDefault="006F2447" w:rsidP="009A5DE0">
      <w:pPr>
        <w:rPr>
          <w:b/>
          <w:bCs/>
        </w:rPr>
      </w:pPr>
      <w:r w:rsidRPr="006F2447">
        <w:rPr>
          <w:rFonts w:hint="eastAsia"/>
          <w:b/>
          <w:bCs/>
          <w:highlight w:val="yellow"/>
        </w:rPr>
        <w:t>一、相关案例</w:t>
      </w:r>
    </w:p>
    <w:p w14:paraId="68407D51" w14:textId="1255BFC0" w:rsidR="009A5DE0" w:rsidRPr="009A5DE0" w:rsidRDefault="009A5DE0" w:rsidP="009A5DE0">
      <w:r w:rsidRPr="009A5DE0">
        <w:rPr>
          <w:b/>
          <w:bCs/>
        </w:rPr>
        <w:t>案例 1：建设工程施工合同纠纷 —— 外地施工企业 vs 本地房企，一审二审本地法院弱化</w:t>
      </w:r>
      <w:r w:rsidRPr="009A5DE0">
        <w:t>工程款优先受偿权，最高法改判</w:t>
      </w:r>
    </w:p>
    <w:p w14:paraId="0D1468F7" w14:textId="77777777" w:rsidR="009A5DE0" w:rsidRPr="009A5DE0" w:rsidRDefault="009A5DE0" w:rsidP="009A5DE0">
      <w:r w:rsidRPr="009A5DE0">
        <w:t>案件类型：工程价款优先受偿权（地产领域最容易产生地方保护争议）</w:t>
      </w:r>
    </w:p>
    <w:p w14:paraId="630B8BB8" w14:textId="77777777" w:rsidR="009A5DE0" w:rsidRPr="009A5DE0" w:rsidRDefault="009A5DE0" w:rsidP="009A5DE0">
      <w:r w:rsidRPr="009A5DE0">
        <w:t>典型裁判逻辑：</w:t>
      </w:r>
    </w:p>
    <w:p w14:paraId="4CFBF054" w14:textId="77777777" w:rsidR="009A5DE0" w:rsidRPr="009A5DE0" w:rsidRDefault="009A5DE0" w:rsidP="009A5DE0">
      <w:r w:rsidRPr="009A5DE0">
        <w:t>多地基层 / 中院审理中，倾向以 “项目需要保交楼、房企维稳” 为由，压缩外地施工单位建设工程价款优先受偿权范围、起算时间、行使期限，优先保障本地小额债权人、本地购房人、本地融资主体。</w:t>
      </w:r>
    </w:p>
    <w:p w14:paraId="783FA23A" w14:textId="77777777" w:rsidR="009A5DE0" w:rsidRPr="009A5DE0" w:rsidRDefault="009A5DE0" w:rsidP="009A5DE0">
      <w:r w:rsidRPr="009A5DE0">
        <w:t>中成煤炭建设（集团）公司诉成都泓昌嘉泰房地产公司案（最高法公报案例）</w:t>
      </w:r>
    </w:p>
    <w:p w14:paraId="3C3F717F" w14:textId="1DF1521E" w:rsidR="009A5DE0" w:rsidRPr="009A5DE0" w:rsidRDefault="006F2447" w:rsidP="006F2447">
      <w:r>
        <w:rPr>
          <w:rFonts w:hint="eastAsia"/>
        </w:rPr>
        <w:t>1、</w:t>
      </w:r>
      <w:r w:rsidR="009A5DE0" w:rsidRPr="009A5DE0">
        <w:t>背景：外地施工企业起诉本地房企主张工程款及优先受偿权；</w:t>
      </w:r>
    </w:p>
    <w:p w14:paraId="68F1FAAA" w14:textId="597BCD04" w:rsidR="009A5DE0" w:rsidRPr="009A5DE0" w:rsidRDefault="006F2447" w:rsidP="006F2447">
      <w:r>
        <w:rPr>
          <w:rFonts w:hint="eastAsia"/>
        </w:rPr>
        <w:t>2、</w:t>
      </w:r>
      <w:r w:rsidR="009A5DE0" w:rsidRPr="009A5DE0">
        <w:t>下级审理争议：一审法院采纳房企观点，认定部分工程直接成本不属于优先受偿范围；</w:t>
      </w:r>
    </w:p>
    <w:p w14:paraId="262A2A52" w14:textId="0E037819" w:rsidR="009A5DE0" w:rsidRDefault="006F2447" w:rsidP="006F2447">
      <w:r>
        <w:rPr>
          <w:rFonts w:hint="eastAsia"/>
        </w:rPr>
        <w:t>3、</w:t>
      </w:r>
      <w:r w:rsidR="009A5DE0" w:rsidRPr="009A5DE0">
        <w:t>最高法再审纠正：明确施工人为工程支出的实际成本（降水水资源费等）属于工程款优先受偿范围，纠正地方法院倾斜房企的裁判思路。</w:t>
      </w:r>
    </w:p>
    <w:p w14:paraId="780825F6" w14:textId="77777777" w:rsidR="009A5DE0" w:rsidRPr="009A5DE0" w:rsidRDefault="009A5DE0" w:rsidP="009A5DE0">
      <w:pPr>
        <w:rPr>
          <w:rFonts w:hint="eastAsia"/>
        </w:rPr>
      </w:pPr>
    </w:p>
    <w:p w14:paraId="3AA6481B" w14:textId="77777777" w:rsidR="009A5DE0" w:rsidRPr="009A5DE0" w:rsidRDefault="009A5DE0" w:rsidP="009A5DE0">
      <w:pPr>
        <w:rPr>
          <w:b/>
          <w:bCs/>
        </w:rPr>
      </w:pPr>
      <w:r w:rsidRPr="009A5DE0">
        <w:rPr>
          <w:b/>
          <w:bCs/>
        </w:rPr>
        <w:t>案例 2：土地使用权转让 / 合作开发房地产，地方法院过度保护本地开发主体</w:t>
      </w:r>
    </w:p>
    <w:p w14:paraId="1829161E" w14:textId="77777777" w:rsidR="009A5DE0" w:rsidRPr="009A5DE0" w:rsidRDefault="009A5DE0" w:rsidP="009A5DE0">
      <w:r w:rsidRPr="009A5DE0">
        <w:t>大量最高法民再审案件共性模式：</w:t>
      </w:r>
    </w:p>
    <w:p w14:paraId="7B423C5C" w14:textId="77777777" w:rsidR="009A5DE0" w:rsidRPr="009A5DE0" w:rsidRDefault="009A5DE0" w:rsidP="009A5DE0">
      <w:r w:rsidRPr="009A5DE0">
        <w:t>外地投资方与本地房企合作开发，本地房企违约；一、二审法院大量采信本地房企单方证据，对合同解除、违约金、土地增值分成作出不利于外地投资方判决；最高法二审 / 再审撤销原判、发回重审或直接改判。</w:t>
      </w:r>
    </w:p>
    <w:p w14:paraId="37128FDB" w14:textId="77777777" w:rsidR="009A5DE0" w:rsidRDefault="009A5DE0" w:rsidP="009A5DE0">
      <w:r w:rsidRPr="009A5DE0">
        <w:t>检索关键词：最高法民申、合作开发房地产合同、外地投资者、本地房企，每年数十起此类改判案件。</w:t>
      </w:r>
    </w:p>
    <w:p w14:paraId="409E7EF5" w14:textId="77777777" w:rsidR="009A5DE0" w:rsidRPr="009A5DE0" w:rsidRDefault="009A5DE0" w:rsidP="009A5DE0">
      <w:pPr>
        <w:rPr>
          <w:rFonts w:hint="eastAsia"/>
        </w:rPr>
      </w:pPr>
    </w:p>
    <w:p w14:paraId="5E2596E7" w14:textId="77777777" w:rsidR="009A5DE0" w:rsidRPr="009A5DE0" w:rsidRDefault="009A5DE0" w:rsidP="009A5DE0">
      <w:pPr>
        <w:rPr>
          <w:b/>
          <w:bCs/>
        </w:rPr>
      </w:pPr>
      <w:r w:rsidRPr="009A5DE0">
        <w:rPr>
          <w:b/>
          <w:bCs/>
        </w:rPr>
        <w:t>案例 3：执行异议之诉：外地抵押权人 VS 本地房企 + 本地购房者</w:t>
      </w:r>
    </w:p>
    <w:p w14:paraId="631B0DA8" w14:textId="77777777" w:rsidR="009A5DE0" w:rsidRPr="009A5DE0" w:rsidRDefault="009A5DE0" w:rsidP="009A5DE0">
      <w:r w:rsidRPr="009A5DE0">
        <w:t>高频争议模式：</w:t>
      </w:r>
    </w:p>
    <w:p w14:paraId="1FE7DBE5" w14:textId="77777777" w:rsidR="009A5DE0" w:rsidRPr="009A5DE0" w:rsidRDefault="009A5DE0" w:rsidP="009A5DE0">
      <w:r w:rsidRPr="009A5DE0">
        <w:t>外地银行 / 外地资管持有项目土地 / 在建工程抵押权；楼盘烂尾后，本地大量购房者提起执行异议。部分地方法院扩大适用《执行异议复议规定》29 条（商品房消费者保护），突破抵押权优先规则，批量支持案外人异议，导致外地抵押权人债权悬空。</w:t>
      </w:r>
    </w:p>
    <w:p w14:paraId="1CEBAF51" w14:textId="77777777" w:rsidR="009A5DE0" w:rsidRPr="009A5DE0" w:rsidRDefault="009A5DE0" w:rsidP="009A5DE0">
      <w:r w:rsidRPr="009A5DE0">
        <w:t>最高法大量再审案件统一尺度：严格区分「商品房消费者（居住唯一住房）」与「以房抵债主体、投资购房者」，不允许无限扩大消费者特权架空外地金融机构抵押权，纠正部分地方法院倾斜本地购房群体、房企的裁判尺度。</w:t>
      </w:r>
    </w:p>
    <w:p w14:paraId="60ACCDB5" w14:textId="77777777" w:rsidR="006F2447" w:rsidRDefault="006F2447">
      <w:pPr>
        <w:rPr>
          <w:rFonts w:hint="eastAsia"/>
        </w:rPr>
      </w:pPr>
    </w:p>
    <w:p w14:paraId="597656EB" w14:textId="1A3A87EA" w:rsidR="006F2447" w:rsidRPr="006F2447" w:rsidRDefault="006F2447">
      <w:pPr>
        <w:rPr>
          <w:rFonts w:hint="eastAsia"/>
          <w:b/>
          <w:bCs/>
        </w:rPr>
      </w:pPr>
      <w:r w:rsidRPr="006F2447">
        <w:rPr>
          <w:rFonts w:hint="eastAsia"/>
          <w:b/>
          <w:bCs/>
          <w:highlight w:val="yellow"/>
        </w:rPr>
        <w:t>二、争议场景</w:t>
      </w:r>
    </w:p>
    <w:p w14:paraId="7F1DF5E4" w14:textId="77777777" w:rsidR="009A5DE0" w:rsidRPr="009A5DE0" w:rsidRDefault="009A5DE0" w:rsidP="009A5DE0">
      <w:r w:rsidRPr="009A5DE0">
        <w:rPr>
          <w:b/>
          <w:bCs/>
        </w:rPr>
        <w:t>场景 A：</w:t>
      </w:r>
      <w:r w:rsidRPr="009A5DE0">
        <w:t>工程欠款纠纷｜外地建筑企业胜诉，长期执行不能（江苏睢宁大方置业案）</w:t>
      </w:r>
    </w:p>
    <w:p w14:paraId="3B6F24D7" w14:textId="780B709F" w:rsidR="009A5DE0" w:rsidRPr="009A5DE0" w:rsidRDefault="006F2447" w:rsidP="006F2447">
      <w:r>
        <w:rPr>
          <w:rFonts w:hint="eastAsia"/>
        </w:rPr>
        <w:t>1、</w:t>
      </w:r>
      <w:r w:rsidR="009A5DE0" w:rsidRPr="009A5DE0">
        <w:t>当事人：外地江苏虹亚建设（淮安）VS 本地房企江苏大方置业（徐州睢宁）</w:t>
      </w:r>
    </w:p>
    <w:p w14:paraId="31E50D12" w14:textId="2E64D0F3" w:rsidR="009A5DE0" w:rsidRPr="009A5DE0" w:rsidRDefault="006F2447" w:rsidP="006F2447">
      <w:r>
        <w:rPr>
          <w:rFonts w:hint="eastAsia"/>
        </w:rPr>
        <w:t>2、</w:t>
      </w:r>
      <w:r w:rsidR="009A5DE0" w:rsidRPr="009A5DE0">
        <w:t>概况：施工企业取得近 2 亿元生效胜诉判决；债权人主张：本地住建、自然资源部门配</w:t>
      </w:r>
      <w:r w:rsidR="009A5DE0" w:rsidRPr="009A5DE0">
        <w:lastRenderedPageBreak/>
        <w:t>合房企转移查封房产资产；执行程序长期无法处置房企楼盘资产，判决沦为 “法律白条”。</w:t>
      </w:r>
    </w:p>
    <w:p w14:paraId="3B333186" w14:textId="53AFD822" w:rsidR="009A5DE0" w:rsidRPr="009A5DE0" w:rsidRDefault="006F2447" w:rsidP="006F2447">
      <w:r>
        <w:rPr>
          <w:rFonts w:hint="eastAsia"/>
        </w:rPr>
        <w:t>3、</w:t>
      </w:r>
      <w:r w:rsidR="009A5DE0" w:rsidRPr="009A5DE0">
        <w:t>债权人观点：司法怠于执行，优先考虑本地楼盘稳定，变相保护本地房企逃债；</w:t>
      </w:r>
    </w:p>
    <w:p w14:paraId="35FFAE2F" w14:textId="4D1B884C" w:rsidR="009A5DE0" w:rsidRPr="009A5DE0" w:rsidRDefault="006F2447" w:rsidP="006F2447">
      <w:r>
        <w:rPr>
          <w:rFonts w:hint="eastAsia"/>
        </w:rPr>
        <w:t>4、</w:t>
      </w:r>
      <w:r w:rsidR="009A5DE0" w:rsidRPr="009A5DE0">
        <w:t>地方视角：项目涉及大量购房业主，大规模司法拍卖容易引发群体性信访，属于保交楼政策约束下的执行审慎。</w:t>
      </w:r>
    </w:p>
    <w:p w14:paraId="581F75CA" w14:textId="77777777" w:rsidR="009A5DE0" w:rsidRPr="009A5DE0" w:rsidRDefault="009A5DE0"/>
    <w:p w14:paraId="68A89C24" w14:textId="77777777" w:rsidR="009A5DE0" w:rsidRPr="009A5DE0" w:rsidRDefault="009A5DE0" w:rsidP="009A5DE0">
      <w:r w:rsidRPr="009A5DE0">
        <w:rPr>
          <w:b/>
          <w:bCs/>
        </w:rPr>
        <w:t>场景 B：</w:t>
      </w:r>
      <w:r w:rsidRPr="009A5DE0">
        <w:t>虚假诉讼风险｜房企联合本地主体炮制调解书架空外地债权人（贵州凤冈丽园丽都房开案）</w:t>
      </w:r>
    </w:p>
    <w:p w14:paraId="277AFF13" w14:textId="1DB425BB" w:rsidR="009A5DE0" w:rsidRPr="009A5DE0" w:rsidRDefault="006F2447" w:rsidP="006F2447">
      <w:r>
        <w:rPr>
          <w:rFonts w:hint="eastAsia"/>
        </w:rPr>
        <w:t>1、</w:t>
      </w:r>
      <w:r w:rsidR="009A5DE0" w:rsidRPr="009A5DE0">
        <w:t>概况：外地小贷公司持有楼盘抵押权；本地房企与本地建筑公司在基层法院快速出具调解书，虚构千万工程款债权，主张建设工程优先受偿权，意图排在抵押权之前受偿。</w:t>
      </w:r>
    </w:p>
    <w:p w14:paraId="34984841" w14:textId="75C01A88" w:rsidR="009A5DE0" w:rsidRPr="009A5DE0" w:rsidRDefault="006F2447" w:rsidP="006F2447">
      <w:r>
        <w:rPr>
          <w:rFonts w:hint="eastAsia"/>
        </w:rPr>
        <w:t>2、</w:t>
      </w:r>
      <w:r w:rsidR="009A5DE0" w:rsidRPr="009A5DE0">
        <w:t>外地债权人质疑：基层法院审查宽松，默许本地房企利用优先受偿权恶意对抗外地金融债权；线索已向检察机关举报，尚未形成生效司法结论。</w:t>
      </w:r>
    </w:p>
    <w:p w14:paraId="18DD14CF" w14:textId="77777777" w:rsidR="009A5DE0" w:rsidRPr="009A5DE0" w:rsidRDefault="009A5DE0"/>
    <w:p w14:paraId="2765BDAF" w14:textId="77777777" w:rsidR="009A5DE0" w:rsidRPr="009A5DE0" w:rsidRDefault="009A5DE0" w:rsidP="009A5DE0">
      <w:r w:rsidRPr="009A5DE0">
        <w:rPr>
          <w:b/>
          <w:bCs/>
        </w:rPr>
        <w:t>场景 C：</w:t>
      </w:r>
      <w:r w:rsidRPr="009A5DE0">
        <w:t>破产重整（烂尾楼盘最容易产生争议）</w:t>
      </w:r>
    </w:p>
    <w:p w14:paraId="052AB8D2" w14:textId="77777777" w:rsidR="009A5DE0" w:rsidRPr="009A5DE0" w:rsidRDefault="009A5DE0" w:rsidP="009A5DE0">
      <w:r w:rsidRPr="009A5DE0">
        <w:t>全国普遍争议模式</w:t>
      </w:r>
    </w:p>
    <w:p w14:paraId="53010663" w14:textId="77777777" w:rsidR="009A5DE0" w:rsidRPr="009A5DE0" w:rsidRDefault="009A5DE0" w:rsidP="009A5DE0">
      <w:r w:rsidRPr="009A5DE0">
        <w:t>本地房企破产重整，府院联动主导重整方案：</w:t>
      </w:r>
    </w:p>
    <w:p w14:paraId="695EE359" w14:textId="16242B45" w:rsidR="009A5DE0" w:rsidRPr="009A5DE0" w:rsidRDefault="006F2447" w:rsidP="006F2447">
      <w:r>
        <w:rPr>
          <w:rFonts w:hint="eastAsia"/>
        </w:rPr>
        <w:t>1、</w:t>
      </w:r>
      <w:r w:rsidR="009A5DE0" w:rsidRPr="009A5DE0">
        <w:t>优先安排本地购房人续建交房；</w:t>
      </w:r>
    </w:p>
    <w:p w14:paraId="7844AFEF" w14:textId="09186B8F" w:rsidR="009A5DE0" w:rsidRPr="009A5DE0" w:rsidRDefault="006F2447" w:rsidP="006F2447">
      <w:r>
        <w:rPr>
          <w:rFonts w:hint="eastAsia"/>
        </w:rPr>
        <w:t>2、</w:t>
      </w:r>
      <w:r w:rsidR="009A5DE0" w:rsidRPr="009A5DE0">
        <w:t>大幅压低外地施工企业、外地金融机构清偿比例；</w:t>
      </w:r>
    </w:p>
    <w:p w14:paraId="7E1E6586" w14:textId="095D32B6" w:rsidR="009A5DE0" w:rsidRPr="009A5DE0" w:rsidRDefault="006F2447" w:rsidP="006F2447">
      <w:r>
        <w:rPr>
          <w:rFonts w:hint="eastAsia"/>
        </w:rPr>
        <w:t>3、</w:t>
      </w:r>
      <w:r w:rsidR="009A5DE0" w:rsidRPr="009A5DE0">
        <w:t>引入本地平台公司 / 本地企业作为重整投资人；</w:t>
      </w:r>
    </w:p>
    <w:p w14:paraId="6F29AFB3" w14:textId="77777777" w:rsidR="009A5DE0" w:rsidRPr="009A5DE0" w:rsidRDefault="009A5DE0" w:rsidP="009A5DE0">
      <w:r w:rsidRPr="009A5DE0">
        <w:t>外地债权人普遍感受：重整方案过度倾斜本地维稳目标，外地债权人利益被牺牲。</w:t>
      </w:r>
    </w:p>
    <w:p w14:paraId="2D466721" w14:textId="77777777" w:rsidR="009A5DE0" w:rsidRPr="009A5DE0" w:rsidRDefault="009A5DE0" w:rsidP="009A5DE0">
      <w:r w:rsidRPr="009A5DE0">
        <w:t>法律边界提示：破产重整债权清偿顺序由《企业破产法》明文规定；只要方案依法表决、法院依法裁定，属于合法政策权衡；只有存在管理人暗箱操作、法院违法强行裁定未通过的重整计划、违规调整法定清偿顺位，才构成违法。</w:t>
      </w:r>
    </w:p>
    <w:p w14:paraId="215DC2C3" w14:textId="77777777" w:rsidR="009A5DE0" w:rsidRPr="009A5DE0" w:rsidRDefault="009A5DE0"/>
    <w:p w14:paraId="0AD78C1F" w14:textId="77777777" w:rsidR="009A5DE0" w:rsidRPr="009A5DE0" w:rsidRDefault="009A5DE0" w:rsidP="009A5DE0">
      <w:r w:rsidRPr="009A5DE0">
        <w:rPr>
          <w:b/>
          <w:bCs/>
        </w:rPr>
        <w:t>场景 D：</w:t>
      </w:r>
      <w:r w:rsidRPr="009A5DE0">
        <w:t>执行异议之诉（内蒙古乌兰浩特红山龙地产案）</w:t>
      </w:r>
    </w:p>
    <w:p w14:paraId="0A274526" w14:textId="77777777" w:rsidR="009A5DE0" w:rsidRPr="009A5DE0" w:rsidRDefault="009A5DE0" w:rsidP="009A5DE0">
      <w:r w:rsidRPr="009A5DE0">
        <w:t>外地河南施工企业垫资建设本地保交楼项目，查封开发商房产；当地征收中心提起执行异议，主张早已购买无证房产。一审法院判决：政府购房权益优先于外地施工企业工程款债权。施工方提出强烈异议，认为裁判过度倾斜地方行政主体与本地房企。</w:t>
      </w:r>
    </w:p>
    <w:p w14:paraId="67B0D27D" w14:textId="77777777" w:rsidR="009A5DE0" w:rsidRDefault="009A5DE0">
      <w:pPr>
        <w:rPr>
          <w:rFonts w:hint="eastAsia"/>
        </w:rPr>
      </w:pPr>
    </w:p>
    <w:p w14:paraId="4A24998F" w14:textId="50D9465B" w:rsidR="009A5DE0" w:rsidRPr="009A5DE0" w:rsidRDefault="006F2447">
      <w:pPr>
        <w:rPr>
          <w:rFonts w:hint="eastAsia"/>
          <w:b/>
          <w:bCs/>
        </w:rPr>
      </w:pPr>
      <w:r>
        <w:rPr>
          <w:rFonts w:hint="eastAsia"/>
          <w:b/>
          <w:bCs/>
        </w:rPr>
        <w:t>三、</w:t>
      </w:r>
      <w:r w:rsidR="009A5DE0" w:rsidRPr="009A5DE0">
        <w:rPr>
          <w:rFonts w:hint="eastAsia"/>
          <w:b/>
          <w:bCs/>
        </w:rPr>
        <w:t>最高院的再审</w:t>
      </w:r>
      <w:r>
        <w:rPr>
          <w:rFonts w:hint="eastAsia"/>
          <w:b/>
          <w:bCs/>
        </w:rPr>
        <w:t>相关</w:t>
      </w:r>
      <w:r w:rsidR="009A5DE0" w:rsidRPr="009A5DE0">
        <w:rPr>
          <w:rFonts w:hint="eastAsia"/>
          <w:b/>
          <w:bCs/>
        </w:rPr>
        <w:t>案例</w:t>
      </w:r>
    </w:p>
    <w:p w14:paraId="22D53E46" w14:textId="77777777" w:rsidR="009A5DE0" w:rsidRPr="009A5DE0" w:rsidRDefault="009A5DE0" w:rsidP="009A5DE0">
      <w:pPr>
        <w:rPr>
          <w:b/>
          <w:bCs/>
        </w:rPr>
      </w:pPr>
      <w:r w:rsidRPr="009A5DE0">
        <w:rPr>
          <w:b/>
          <w:bCs/>
        </w:rPr>
        <w:t>（一）建设工程施工合同｜工程款优先受偿权类（地产纠纷最高发）</w:t>
      </w:r>
    </w:p>
    <w:p w14:paraId="69C2CC55" w14:textId="00DAFB74" w:rsidR="009A5DE0" w:rsidRPr="009A5DE0" w:rsidRDefault="006F2447" w:rsidP="006F2447">
      <w:r>
        <w:rPr>
          <w:rFonts w:hint="eastAsia"/>
        </w:rPr>
        <w:t>1、</w:t>
      </w:r>
      <w:r w:rsidR="009A5DE0" w:rsidRPr="009A5DE0">
        <w:t>（2021）最高法民再 327 号</w:t>
      </w:r>
    </w:p>
    <w:p w14:paraId="7125CEF7" w14:textId="77777777" w:rsidR="009A5DE0" w:rsidRPr="009A5DE0" w:rsidRDefault="009A5DE0" w:rsidP="009A5DE0">
      <w:r w:rsidRPr="009A5DE0">
        <w:t>江苏某外地建设公司诉本地房地产开发公司建设工程施工合同纠纷案</w:t>
      </w:r>
    </w:p>
    <w:p w14:paraId="5281BDC2" w14:textId="77777777" w:rsidR="009A5DE0" w:rsidRPr="009A5DE0" w:rsidRDefault="009A5DE0" w:rsidP="009A5DE0">
      <w:r w:rsidRPr="009A5DE0">
        <w:t>核心要点：一审、二审地方法院限缩工程款优先受偿权范围，将施工必要支出排除在外；最高法再审改判，纠正地方法院倾斜房企的裁判口径。</w:t>
      </w:r>
    </w:p>
    <w:p w14:paraId="5659A832" w14:textId="07C1BAD6" w:rsidR="009A5DE0" w:rsidRPr="009A5DE0" w:rsidRDefault="006F2447" w:rsidP="006F2447">
      <w:r>
        <w:rPr>
          <w:rFonts w:hint="eastAsia"/>
        </w:rPr>
        <w:t>2、</w:t>
      </w:r>
      <w:r w:rsidR="009A5DE0" w:rsidRPr="009A5DE0">
        <w:t>（2020）最高法民申 5074 号</w:t>
      </w:r>
    </w:p>
    <w:p w14:paraId="48967582" w14:textId="77777777" w:rsidR="009A5DE0" w:rsidRPr="009A5DE0" w:rsidRDefault="009A5DE0" w:rsidP="009A5DE0">
      <w:r w:rsidRPr="009A5DE0">
        <w:t>外地建筑企业与本地房企工程款纠纷</w:t>
      </w:r>
    </w:p>
    <w:p w14:paraId="4F26D2EB" w14:textId="77777777" w:rsidR="009A5DE0" w:rsidRPr="009A5DE0" w:rsidRDefault="009A5DE0" w:rsidP="009A5DE0">
      <w:r w:rsidRPr="009A5DE0">
        <w:t>裁判要点：原审法院错误认定优先受偿权起算时点，变相损害外地施工方法定权利，最高法指令再审。</w:t>
      </w:r>
    </w:p>
    <w:p w14:paraId="1F766148" w14:textId="017CE29C" w:rsidR="009A5DE0" w:rsidRPr="009A5DE0" w:rsidRDefault="006F2447" w:rsidP="006F2447">
      <w:r>
        <w:rPr>
          <w:rFonts w:hint="eastAsia"/>
        </w:rPr>
        <w:t>3、</w:t>
      </w:r>
      <w:r w:rsidR="009A5DE0" w:rsidRPr="009A5DE0">
        <w:t>（2019）最高法民申 6085 号</w:t>
      </w:r>
    </w:p>
    <w:p w14:paraId="1B7ECDD1" w14:textId="77777777" w:rsidR="009A5DE0" w:rsidRDefault="009A5DE0" w:rsidP="009A5DE0">
      <w:r w:rsidRPr="009A5DE0">
        <w:t>外地施工企业主张在建工程价款优先权，地方法院采信房企抗辩，认定优先权消灭；最高法重新厘清付款宽限期与优先权行使期限边界，撤销原审错误认定。</w:t>
      </w:r>
    </w:p>
    <w:p w14:paraId="245A8999" w14:textId="77777777" w:rsidR="006F2447" w:rsidRPr="009A5DE0" w:rsidRDefault="006F2447" w:rsidP="009A5DE0">
      <w:pPr>
        <w:rPr>
          <w:rFonts w:hint="eastAsia"/>
        </w:rPr>
      </w:pPr>
    </w:p>
    <w:p w14:paraId="6AAA896A" w14:textId="77777777" w:rsidR="009A5DE0" w:rsidRPr="009A5DE0" w:rsidRDefault="009A5DE0" w:rsidP="009A5DE0">
      <w:pPr>
        <w:rPr>
          <w:b/>
          <w:bCs/>
        </w:rPr>
      </w:pPr>
      <w:r w:rsidRPr="009A5DE0">
        <w:rPr>
          <w:b/>
          <w:bCs/>
        </w:rPr>
        <w:t>（二）合作开发房地产合同｜外地投资方与本地房企纠纷</w:t>
      </w:r>
    </w:p>
    <w:p w14:paraId="2B669415" w14:textId="4BBD141E" w:rsidR="009A5DE0" w:rsidRPr="009A5DE0" w:rsidRDefault="006F2447" w:rsidP="006F2447">
      <w:r>
        <w:rPr>
          <w:rFonts w:hint="eastAsia"/>
        </w:rPr>
        <w:t>4、</w:t>
      </w:r>
      <w:r w:rsidR="009A5DE0" w:rsidRPr="009A5DE0">
        <w:t>（2022）最高法民再 111 号</w:t>
      </w:r>
    </w:p>
    <w:p w14:paraId="194BA4AD" w14:textId="77777777" w:rsidR="009A5DE0" w:rsidRPr="009A5DE0" w:rsidRDefault="009A5DE0" w:rsidP="009A5DE0">
      <w:r w:rsidRPr="009A5DE0">
        <w:lastRenderedPageBreak/>
        <w:t>外地投资主体与本地房企合作开发地产项目</w:t>
      </w:r>
    </w:p>
    <w:p w14:paraId="05F9396C" w14:textId="77777777" w:rsidR="009A5DE0" w:rsidRPr="009A5DE0" w:rsidRDefault="009A5DE0" w:rsidP="009A5DE0">
      <w:r w:rsidRPr="009A5DE0">
        <w:t>案情概况：本地房企违约侵占土地增值收益，一、二审法院对本地房企违约事实弱化认定；最高法再审改判，支持外地投资方损失赔偿请求。</w:t>
      </w:r>
    </w:p>
    <w:p w14:paraId="451C9D08" w14:textId="012484C3" w:rsidR="009A5DE0" w:rsidRPr="009A5DE0" w:rsidRDefault="006F2447" w:rsidP="006F2447">
      <w:r>
        <w:rPr>
          <w:rFonts w:hint="eastAsia"/>
        </w:rPr>
        <w:t>5、</w:t>
      </w:r>
      <w:r w:rsidR="009A5DE0" w:rsidRPr="009A5DE0">
        <w:t>（2021）最高法民申 7132 号</w:t>
      </w:r>
    </w:p>
    <w:p w14:paraId="75C1099B" w14:textId="77777777" w:rsidR="009A5DE0" w:rsidRPr="009A5DE0" w:rsidRDefault="009A5DE0" w:rsidP="009A5DE0">
      <w:r w:rsidRPr="009A5DE0">
        <w:t>合作开发，本地房企主张合同无效，原审予以采纳；最高法纠正合同效力认定错误，指出地方法院过度采信本地一方单方说辞。</w:t>
      </w:r>
    </w:p>
    <w:p w14:paraId="099A6703" w14:textId="0A500B88" w:rsidR="009A5DE0" w:rsidRPr="009A5DE0" w:rsidRDefault="006F2447" w:rsidP="006F2447">
      <w:r>
        <w:rPr>
          <w:rFonts w:hint="eastAsia"/>
        </w:rPr>
        <w:t>6、</w:t>
      </w:r>
      <w:r w:rsidR="009A5DE0" w:rsidRPr="009A5DE0">
        <w:t>（2020）最高法民终 1227 号</w:t>
      </w:r>
    </w:p>
    <w:p w14:paraId="036EA08E" w14:textId="77777777" w:rsidR="009A5DE0" w:rsidRDefault="009A5DE0" w:rsidP="009A5DE0">
      <w:r w:rsidRPr="009A5DE0">
        <w:t>跨省合作开发房地产，地方法院混淆投资款与借款性质，作出不利于外地投资方判决；最高法二审改判调整责任划分。</w:t>
      </w:r>
    </w:p>
    <w:p w14:paraId="5FA75F7E" w14:textId="77777777" w:rsidR="006F2447" w:rsidRPr="009A5DE0" w:rsidRDefault="006F2447" w:rsidP="009A5DE0">
      <w:pPr>
        <w:rPr>
          <w:rFonts w:hint="eastAsia"/>
        </w:rPr>
      </w:pPr>
    </w:p>
    <w:p w14:paraId="46121F7B" w14:textId="77777777" w:rsidR="009A5DE0" w:rsidRPr="009A5DE0" w:rsidRDefault="009A5DE0" w:rsidP="009A5DE0">
      <w:pPr>
        <w:rPr>
          <w:b/>
          <w:bCs/>
        </w:rPr>
      </w:pPr>
      <w:r w:rsidRPr="009A5DE0">
        <w:rPr>
          <w:b/>
          <w:bCs/>
        </w:rPr>
        <w:t>（三）执行异议之诉｜抵押权人 VS 购房者、房企（外地金融机构高频踩坑）</w:t>
      </w:r>
    </w:p>
    <w:p w14:paraId="404E9EDB" w14:textId="4716C045" w:rsidR="009A5DE0" w:rsidRPr="009A5DE0" w:rsidRDefault="006F2447" w:rsidP="006F2447">
      <w:r>
        <w:rPr>
          <w:rFonts w:hint="eastAsia"/>
        </w:rPr>
        <w:t>7、</w:t>
      </w:r>
      <w:r w:rsidR="009A5DE0" w:rsidRPr="009A5DE0">
        <w:t>（2022）最高法民申 3595 号</w:t>
      </w:r>
    </w:p>
    <w:p w14:paraId="233103FD" w14:textId="77777777" w:rsidR="009A5DE0" w:rsidRPr="009A5DE0" w:rsidRDefault="009A5DE0" w:rsidP="009A5DE0">
      <w:r w:rsidRPr="009A5DE0">
        <w:t>外地资管公司享有在建工程抵押权，地方法院扩大适用商品房消费者保护规则，支持大量投资性购房者排除抵押权执行；最高法再审明确严格区分【居住型消费者】与【投资购房 / 以房抵债主体】，纠正地方裁判扩大化倾向。</w:t>
      </w:r>
    </w:p>
    <w:p w14:paraId="2A72BEE1" w14:textId="420DB24C" w:rsidR="009A5DE0" w:rsidRPr="009A5DE0" w:rsidRDefault="006F2447" w:rsidP="006F2447">
      <w:r>
        <w:rPr>
          <w:rFonts w:hint="eastAsia"/>
        </w:rPr>
        <w:t>8、</w:t>
      </w:r>
      <w:r w:rsidR="009A5DE0" w:rsidRPr="009A5DE0">
        <w:t>（2021）最高法民再 187 号</w:t>
      </w:r>
    </w:p>
    <w:p w14:paraId="0F117989" w14:textId="77777777" w:rsidR="009A5DE0" w:rsidRDefault="009A5DE0" w:rsidP="009A5DE0">
      <w:r w:rsidRPr="009A5DE0">
        <w:t>外地银行抵押权，原审执行异议之诉过度优先本地购房人，忽视抵押权公示效力；最高法划定权利保护边界。</w:t>
      </w:r>
    </w:p>
    <w:p w14:paraId="38C315A8" w14:textId="77777777" w:rsidR="006F2447" w:rsidRPr="009A5DE0" w:rsidRDefault="006F2447" w:rsidP="009A5DE0">
      <w:pPr>
        <w:rPr>
          <w:rFonts w:hint="eastAsia"/>
        </w:rPr>
      </w:pPr>
    </w:p>
    <w:p w14:paraId="2C702E4C" w14:textId="77777777" w:rsidR="009A5DE0" w:rsidRPr="009A5DE0" w:rsidRDefault="009A5DE0" w:rsidP="009A5DE0">
      <w:pPr>
        <w:rPr>
          <w:b/>
          <w:bCs/>
        </w:rPr>
      </w:pPr>
      <w:r w:rsidRPr="009A5DE0">
        <w:rPr>
          <w:b/>
          <w:bCs/>
        </w:rPr>
        <w:t>（四）土地转让、房地产项目转让纠纷</w:t>
      </w:r>
    </w:p>
    <w:p w14:paraId="66ACF5EB" w14:textId="0F8C34C1" w:rsidR="009A5DE0" w:rsidRPr="009A5DE0" w:rsidRDefault="006F2447" w:rsidP="006F2447">
      <w:r>
        <w:rPr>
          <w:rFonts w:hint="eastAsia"/>
        </w:rPr>
        <w:t>9、</w:t>
      </w:r>
      <w:r w:rsidR="009A5DE0" w:rsidRPr="009A5DE0">
        <w:t>（2022）最高法民申 4769 号</w:t>
      </w:r>
    </w:p>
    <w:p w14:paraId="1463302F" w14:textId="77777777" w:rsidR="009A5DE0" w:rsidRPr="009A5DE0" w:rsidRDefault="009A5DE0" w:rsidP="009A5DE0">
      <w:r w:rsidRPr="009A5DE0">
        <w:t>外地企业受让本地房企土地使用权，房企拒不配合过户，原审降低房企违约金标准；最高法再审调整违约责任尺度。</w:t>
      </w:r>
    </w:p>
    <w:p w14:paraId="3C3C3F8F" w14:textId="2F592AED" w:rsidR="009A5DE0" w:rsidRPr="009A5DE0" w:rsidRDefault="006F2447" w:rsidP="006F2447">
      <w:r>
        <w:rPr>
          <w:rFonts w:hint="eastAsia"/>
        </w:rPr>
        <w:t>10、</w:t>
      </w:r>
      <w:r w:rsidR="009A5DE0" w:rsidRPr="009A5DE0">
        <w:t>（2019）最高法民终 1670 号</w:t>
      </w:r>
    </w:p>
    <w:p w14:paraId="6E5F2B89" w14:textId="77777777" w:rsidR="009A5DE0" w:rsidRDefault="009A5DE0" w:rsidP="009A5DE0">
      <w:r w:rsidRPr="009A5DE0">
        <w:t>土地使用权转让，本地房企违约，一审法院大幅调低约定违约金，最高法二审予以调整。</w:t>
      </w:r>
    </w:p>
    <w:p w14:paraId="5C810ADC" w14:textId="77777777" w:rsidR="006F2447" w:rsidRPr="009A5DE0" w:rsidRDefault="006F2447" w:rsidP="009A5DE0">
      <w:pPr>
        <w:rPr>
          <w:rFonts w:hint="eastAsia"/>
        </w:rPr>
      </w:pPr>
    </w:p>
    <w:p w14:paraId="541617C3" w14:textId="77777777" w:rsidR="009A5DE0" w:rsidRPr="009A5DE0" w:rsidRDefault="009A5DE0" w:rsidP="009A5DE0">
      <w:pPr>
        <w:rPr>
          <w:b/>
          <w:bCs/>
        </w:rPr>
      </w:pPr>
      <w:r w:rsidRPr="009A5DE0">
        <w:rPr>
          <w:b/>
          <w:bCs/>
        </w:rPr>
        <w:t>（五）破产衍生诉讼（房企破产重整典型争议场景）</w:t>
      </w:r>
    </w:p>
    <w:p w14:paraId="6E9A6A61" w14:textId="16C0DAC5" w:rsidR="009A5DE0" w:rsidRPr="009A5DE0" w:rsidRDefault="006F2447" w:rsidP="006F2447">
      <w:r>
        <w:rPr>
          <w:rFonts w:hint="eastAsia"/>
        </w:rPr>
        <w:t>11、</w:t>
      </w:r>
      <w:r w:rsidR="009A5DE0" w:rsidRPr="009A5DE0">
        <w:t>（2023）最高法民申 2418 号</w:t>
      </w:r>
    </w:p>
    <w:p w14:paraId="34F00393" w14:textId="77777777" w:rsidR="009A5DE0" w:rsidRPr="009A5DE0" w:rsidRDefault="009A5DE0" w:rsidP="009A5DE0">
      <w:r w:rsidRPr="009A5DE0">
        <w:t>外地债权人对本地房企破产重整方案提起衍生诉讼，原审法院简单以 “府院联动保交楼” 为由驳回债权人异议；最高法再审裁定：重整方案合法性仍需严格依照企业破产法审查，不能单纯以维稳目标架空债权人法定异议权。</w:t>
      </w:r>
    </w:p>
    <w:p w14:paraId="636A3B18" w14:textId="77777777" w:rsidR="009A5DE0" w:rsidRPr="009A5DE0" w:rsidRDefault="009A5DE0"/>
    <w:p w14:paraId="11C680E3" w14:textId="77777777" w:rsidR="009A5DE0" w:rsidRDefault="009A5DE0">
      <w:pPr>
        <w:rPr>
          <w:rFonts w:hint="eastAsia"/>
        </w:rPr>
      </w:pPr>
    </w:p>
    <w:sectPr w:rsidR="009A5D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645D3" w14:textId="77777777" w:rsidR="006C19E1" w:rsidRDefault="006C19E1" w:rsidP="009A5DE0">
      <w:pPr>
        <w:rPr>
          <w:rFonts w:hint="eastAsia"/>
        </w:rPr>
      </w:pPr>
      <w:r>
        <w:separator/>
      </w:r>
    </w:p>
  </w:endnote>
  <w:endnote w:type="continuationSeparator" w:id="0">
    <w:p w14:paraId="2ED7419D" w14:textId="77777777" w:rsidR="006C19E1" w:rsidRDefault="006C19E1" w:rsidP="009A5D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altName w:val="Fang 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6C9A" w14:textId="77777777" w:rsidR="006C19E1" w:rsidRDefault="006C19E1" w:rsidP="009A5DE0">
      <w:pPr>
        <w:rPr>
          <w:rFonts w:hint="eastAsia"/>
        </w:rPr>
      </w:pPr>
      <w:r>
        <w:separator/>
      </w:r>
    </w:p>
  </w:footnote>
  <w:footnote w:type="continuationSeparator" w:id="0">
    <w:p w14:paraId="1193D3D0" w14:textId="77777777" w:rsidR="006C19E1" w:rsidRDefault="006C19E1" w:rsidP="009A5D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1A2"/>
    <w:multiLevelType w:val="multilevel"/>
    <w:tmpl w:val="9F82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4E5B"/>
    <w:multiLevelType w:val="multilevel"/>
    <w:tmpl w:val="7FD46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E417EB"/>
    <w:multiLevelType w:val="multilevel"/>
    <w:tmpl w:val="723A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92C21"/>
    <w:multiLevelType w:val="multilevel"/>
    <w:tmpl w:val="60C60E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770BD5"/>
    <w:multiLevelType w:val="multilevel"/>
    <w:tmpl w:val="3AD8D0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34386"/>
    <w:multiLevelType w:val="multilevel"/>
    <w:tmpl w:val="7D0E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4241B5"/>
    <w:multiLevelType w:val="multilevel"/>
    <w:tmpl w:val="DA5A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534EA"/>
    <w:multiLevelType w:val="multilevel"/>
    <w:tmpl w:val="6F80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80B9B"/>
    <w:multiLevelType w:val="multilevel"/>
    <w:tmpl w:val="D138D0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843099">
    <w:abstractNumId w:val="7"/>
  </w:num>
  <w:num w:numId="2" w16cid:durableId="737636624">
    <w:abstractNumId w:val="0"/>
  </w:num>
  <w:num w:numId="3" w16cid:durableId="1649936778">
    <w:abstractNumId w:val="6"/>
  </w:num>
  <w:num w:numId="4" w16cid:durableId="1490907174">
    <w:abstractNumId w:val="2"/>
  </w:num>
  <w:num w:numId="5" w16cid:durableId="2094037056">
    <w:abstractNumId w:val="5"/>
  </w:num>
  <w:num w:numId="6" w16cid:durableId="504367455">
    <w:abstractNumId w:val="8"/>
  </w:num>
  <w:num w:numId="7" w16cid:durableId="1384255251">
    <w:abstractNumId w:val="4"/>
  </w:num>
  <w:num w:numId="8" w16cid:durableId="1698965477">
    <w:abstractNumId w:val="1"/>
  </w:num>
  <w:num w:numId="9" w16cid:durableId="5156596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3C4"/>
    <w:rsid w:val="000208E0"/>
    <w:rsid w:val="000333C4"/>
    <w:rsid w:val="00067FFD"/>
    <w:rsid w:val="0013383C"/>
    <w:rsid w:val="001D4742"/>
    <w:rsid w:val="001E5A0A"/>
    <w:rsid w:val="00304686"/>
    <w:rsid w:val="00304F88"/>
    <w:rsid w:val="003A4A94"/>
    <w:rsid w:val="006412CC"/>
    <w:rsid w:val="00676588"/>
    <w:rsid w:val="00687900"/>
    <w:rsid w:val="006C19E1"/>
    <w:rsid w:val="006F2447"/>
    <w:rsid w:val="006F6F7A"/>
    <w:rsid w:val="009242F7"/>
    <w:rsid w:val="00991F0C"/>
    <w:rsid w:val="009A5DE0"/>
    <w:rsid w:val="00A1460B"/>
    <w:rsid w:val="00A55706"/>
    <w:rsid w:val="00B403A3"/>
    <w:rsid w:val="00B43CAE"/>
    <w:rsid w:val="00B97620"/>
    <w:rsid w:val="00DE40C5"/>
    <w:rsid w:val="00FF0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DB036A"/>
  <w15:chartTrackingRefBased/>
  <w15:docId w15:val="{6937D565-B583-471B-9D3E-82547B59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067FFD"/>
    <w:pPr>
      <w:keepNext/>
      <w:keepLines/>
      <w:widowControl/>
      <w:spacing w:before="340" w:after="330" w:line="578" w:lineRule="auto"/>
      <w:ind w:leftChars="100" w:left="240" w:rightChars="100" w:right="100"/>
      <w:jc w:val="center"/>
      <w:outlineLvl w:val="0"/>
    </w:pPr>
    <w:rPr>
      <w:rFonts w:eastAsia="黑体"/>
      <w:b/>
      <w:bCs/>
      <w:kern w:val="44"/>
      <w:sz w:val="44"/>
      <w:szCs w:val="44"/>
    </w:rPr>
  </w:style>
  <w:style w:type="paragraph" w:styleId="2">
    <w:name w:val="heading 2"/>
    <w:basedOn w:val="a"/>
    <w:next w:val="a"/>
    <w:link w:val="20"/>
    <w:autoRedefine/>
    <w:uiPriority w:val="9"/>
    <w:unhideWhenUsed/>
    <w:qFormat/>
    <w:rsid w:val="009242F7"/>
    <w:pPr>
      <w:keepNext/>
      <w:keepLines/>
      <w:widowControl/>
      <w:spacing w:before="200" w:after="200" w:line="360" w:lineRule="auto"/>
      <w:ind w:leftChars="200" w:left="200" w:rightChars="100" w:right="100"/>
      <w:outlineLvl w:val="1"/>
    </w:pPr>
    <w:rPr>
      <w:rFonts w:asciiTheme="majorHAnsi" w:hAnsiTheme="majorHAnsi" w:cstheme="majorBidi"/>
      <w:b/>
      <w:bCs/>
      <w:sz w:val="30"/>
      <w:szCs w:val="32"/>
    </w:rPr>
  </w:style>
  <w:style w:type="paragraph" w:styleId="3">
    <w:name w:val="heading 3"/>
    <w:basedOn w:val="a"/>
    <w:next w:val="a"/>
    <w:link w:val="30"/>
    <w:uiPriority w:val="9"/>
    <w:unhideWhenUsed/>
    <w:qFormat/>
    <w:rsid w:val="00B43CAE"/>
    <w:pPr>
      <w:keepNext/>
      <w:keepLines/>
      <w:spacing w:line="360" w:lineRule="auto"/>
      <w:ind w:firstLineChars="200" w:firstLine="200"/>
      <w:outlineLvl w:val="2"/>
    </w:pPr>
    <w:rPr>
      <w:rFonts w:eastAsia="仿宋"/>
      <w:b/>
      <w:bCs/>
      <w:sz w:val="24"/>
      <w:szCs w:val="32"/>
    </w:rPr>
  </w:style>
  <w:style w:type="paragraph" w:styleId="4">
    <w:name w:val="heading 4"/>
    <w:basedOn w:val="a"/>
    <w:next w:val="a"/>
    <w:link w:val="40"/>
    <w:autoRedefine/>
    <w:uiPriority w:val="9"/>
    <w:unhideWhenUsed/>
    <w:qFormat/>
    <w:rsid w:val="00B43CAE"/>
    <w:pPr>
      <w:keepNext/>
      <w:keepLines/>
      <w:spacing w:before="120" w:after="120" w:line="360" w:lineRule="auto"/>
      <w:ind w:firstLineChars="200" w:firstLine="200"/>
      <w:outlineLvl w:val="3"/>
    </w:pPr>
    <w:rPr>
      <w:rFonts w:asciiTheme="majorHAnsi" w:eastAsia="仿宋" w:hAnsiTheme="majorHAnsi" w:cstheme="majorBidi"/>
      <w:b/>
      <w:bCs/>
      <w:sz w:val="24"/>
      <w:szCs w:val="28"/>
    </w:rPr>
  </w:style>
  <w:style w:type="paragraph" w:styleId="5">
    <w:name w:val="heading 5"/>
    <w:basedOn w:val="a"/>
    <w:next w:val="a"/>
    <w:link w:val="50"/>
    <w:uiPriority w:val="9"/>
    <w:semiHidden/>
    <w:unhideWhenUsed/>
    <w:qFormat/>
    <w:rsid w:val="000333C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333C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333C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33C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33C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7FFD"/>
    <w:rPr>
      <w:rFonts w:eastAsia="黑体"/>
      <w:b/>
      <w:bCs/>
      <w:kern w:val="44"/>
      <w:sz w:val="44"/>
      <w:szCs w:val="44"/>
    </w:rPr>
  </w:style>
  <w:style w:type="character" w:customStyle="1" w:styleId="20">
    <w:name w:val="标题 2 字符"/>
    <w:basedOn w:val="a0"/>
    <w:link w:val="2"/>
    <w:uiPriority w:val="9"/>
    <w:rsid w:val="009242F7"/>
    <w:rPr>
      <w:rFonts w:asciiTheme="majorHAnsi" w:hAnsiTheme="majorHAnsi" w:cstheme="majorBidi"/>
      <w:b/>
      <w:bCs/>
      <w:sz w:val="30"/>
      <w:szCs w:val="32"/>
    </w:rPr>
  </w:style>
  <w:style w:type="character" w:customStyle="1" w:styleId="30">
    <w:name w:val="标题 3 字符"/>
    <w:basedOn w:val="a0"/>
    <w:link w:val="3"/>
    <w:uiPriority w:val="9"/>
    <w:rsid w:val="00B43CAE"/>
    <w:rPr>
      <w:rFonts w:eastAsia="仿宋"/>
      <w:b/>
      <w:bCs/>
      <w:sz w:val="24"/>
      <w:szCs w:val="32"/>
    </w:rPr>
  </w:style>
  <w:style w:type="character" w:customStyle="1" w:styleId="40">
    <w:name w:val="标题 4 字符"/>
    <w:basedOn w:val="a0"/>
    <w:link w:val="4"/>
    <w:uiPriority w:val="9"/>
    <w:rsid w:val="00B43CAE"/>
    <w:rPr>
      <w:rFonts w:asciiTheme="majorHAnsi" w:eastAsia="仿宋" w:hAnsiTheme="majorHAnsi" w:cstheme="majorBidi"/>
      <w:b/>
      <w:bCs/>
      <w:sz w:val="24"/>
      <w:szCs w:val="28"/>
    </w:rPr>
  </w:style>
  <w:style w:type="character" w:customStyle="1" w:styleId="50">
    <w:name w:val="标题 5 字符"/>
    <w:basedOn w:val="a0"/>
    <w:link w:val="5"/>
    <w:uiPriority w:val="9"/>
    <w:semiHidden/>
    <w:rsid w:val="000333C4"/>
    <w:rPr>
      <w:rFonts w:cstheme="majorBidi"/>
      <w:color w:val="2F5496" w:themeColor="accent1" w:themeShade="BF"/>
      <w:sz w:val="24"/>
      <w:szCs w:val="24"/>
    </w:rPr>
  </w:style>
  <w:style w:type="character" w:customStyle="1" w:styleId="60">
    <w:name w:val="标题 6 字符"/>
    <w:basedOn w:val="a0"/>
    <w:link w:val="6"/>
    <w:uiPriority w:val="9"/>
    <w:semiHidden/>
    <w:rsid w:val="000333C4"/>
    <w:rPr>
      <w:rFonts w:cstheme="majorBidi"/>
      <w:b/>
      <w:bCs/>
      <w:color w:val="2F5496" w:themeColor="accent1" w:themeShade="BF"/>
    </w:rPr>
  </w:style>
  <w:style w:type="character" w:customStyle="1" w:styleId="70">
    <w:name w:val="标题 7 字符"/>
    <w:basedOn w:val="a0"/>
    <w:link w:val="7"/>
    <w:uiPriority w:val="9"/>
    <w:semiHidden/>
    <w:rsid w:val="000333C4"/>
    <w:rPr>
      <w:rFonts w:cstheme="majorBidi"/>
      <w:b/>
      <w:bCs/>
      <w:color w:val="595959" w:themeColor="text1" w:themeTint="A6"/>
    </w:rPr>
  </w:style>
  <w:style w:type="character" w:customStyle="1" w:styleId="80">
    <w:name w:val="标题 8 字符"/>
    <w:basedOn w:val="a0"/>
    <w:link w:val="8"/>
    <w:uiPriority w:val="9"/>
    <w:semiHidden/>
    <w:rsid w:val="000333C4"/>
    <w:rPr>
      <w:rFonts w:cstheme="majorBidi"/>
      <w:color w:val="595959" w:themeColor="text1" w:themeTint="A6"/>
    </w:rPr>
  </w:style>
  <w:style w:type="character" w:customStyle="1" w:styleId="90">
    <w:name w:val="标题 9 字符"/>
    <w:basedOn w:val="a0"/>
    <w:link w:val="9"/>
    <w:uiPriority w:val="9"/>
    <w:semiHidden/>
    <w:rsid w:val="000333C4"/>
    <w:rPr>
      <w:rFonts w:eastAsiaTheme="majorEastAsia" w:cstheme="majorBidi"/>
      <w:color w:val="595959" w:themeColor="text1" w:themeTint="A6"/>
    </w:rPr>
  </w:style>
  <w:style w:type="paragraph" w:styleId="a3">
    <w:name w:val="Title"/>
    <w:basedOn w:val="a"/>
    <w:next w:val="a"/>
    <w:link w:val="a4"/>
    <w:uiPriority w:val="10"/>
    <w:qFormat/>
    <w:rsid w:val="000333C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33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33C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33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33C4"/>
    <w:pPr>
      <w:spacing w:before="160" w:after="160"/>
      <w:jc w:val="center"/>
    </w:pPr>
    <w:rPr>
      <w:i/>
      <w:iCs/>
      <w:color w:val="404040" w:themeColor="text1" w:themeTint="BF"/>
    </w:rPr>
  </w:style>
  <w:style w:type="character" w:customStyle="1" w:styleId="a8">
    <w:name w:val="引用 字符"/>
    <w:basedOn w:val="a0"/>
    <w:link w:val="a7"/>
    <w:uiPriority w:val="29"/>
    <w:rsid w:val="000333C4"/>
    <w:rPr>
      <w:i/>
      <w:iCs/>
      <w:color w:val="404040" w:themeColor="text1" w:themeTint="BF"/>
    </w:rPr>
  </w:style>
  <w:style w:type="paragraph" w:styleId="a9">
    <w:name w:val="List Paragraph"/>
    <w:basedOn w:val="a"/>
    <w:uiPriority w:val="34"/>
    <w:qFormat/>
    <w:rsid w:val="000333C4"/>
    <w:pPr>
      <w:ind w:left="720"/>
      <w:contextualSpacing/>
    </w:pPr>
  </w:style>
  <w:style w:type="character" w:styleId="aa">
    <w:name w:val="Intense Emphasis"/>
    <w:basedOn w:val="a0"/>
    <w:uiPriority w:val="21"/>
    <w:qFormat/>
    <w:rsid w:val="000333C4"/>
    <w:rPr>
      <w:i/>
      <w:iCs/>
      <w:color w:val="2F5496" w:themeColor="accent1" w:themeShade="BF"/>
    </w:rPr>
  </w:style>
  <w:style w:type="paragraph" w:styleId="ab">
    <w:name w:val="Intense Quote"/>
    <w:basedOn w:val="a"/>
    <w:next w:val="a"/>
    <w:link w:val="ac"/>
    <w:uiPriority w:val="30"/>
    <w:qFormat/>
    <w:rsid w:val="000333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333C4"/>
    <w:rPr>
      <w:i/>
      <w:iCs/>
      <w:color w:val="2F5496" w:themeColor="accent1" w:themeShade="BF"/>
    </w:rPr>
  </w:style>
  <w:style w:type="character" w:styleId="ad">
    <w:name w:val="Intense Reference"/>
    <w:basedOn w:val="a0"/>
    <w:uiPriority w:val="32"/>
    <w:qFormat/>
    <w:rsid w:val="000333C4"/>
    <w:rPr>
      <w:b/>
      <w:bCs/>
      <w:smallCaps/>
      <w:color w:val="2F5496" w:themeColor="accent1" w:themeShade="BF"/>
      <w:spacing w:val="5"/>
    </w:rPr>
  </w:style>
  <w:style w:type="paragraph" w:styleId="ae">
    <w:name w:val="header"/>
    <w:basedOn w:val="a"/>
    <w:link w:val="af"/>
    <w:uiPriority w:val="99"/>
    <w:unhideWhenUsed/>
    <w:rsid w:val="009A5DE0"/>
    <w:pPr>
      <w:tabs>
        <w:tab w:val="center" w:pos="4153"/>
        <w:tab w:val="right" w:pos="8306"/>
      </w:tabs>
      <w:snapToGrid w:val="0"/>
      <w:jc w:val="center"/>
    </w:pPr>
    <w:rPr>
      <w:sz w:val="18"/>
      <w:szCs w:val="18"/>
    </w:rPr>
  </w:style>
  <w:style w:type="character" w:customStyle="1" w:styleId="af">
    <w:name w:val="页眉 字符"/>
    <w:basedOn w:val="a0"/>
    <w:link w:val="ae"/>
    <w:uiPriority w:val="99"/>
    <w:rsid w:val="009A5DE0"/>
    <w:rPr>
      <w:sz w:val="18"/>
      <w:szCs w:val="18"/>
    </w:rPr>
  </w:style>
  <w:style w:type="paragraph" w:styleId="af0">
    <w:name w:val="footer"/>
    <w:basedOn w:val="a"/>
    <w:link w:val="af1"/>
    <w:uiPriority w:val="99"/>
    <w:unhideWhenUsed/>
    <w:rsid w:val="009A5DE0"/>
    <w:pPr>
      <w:tabs>
        <w:tab w:val="center" w:pos="4153"/>
        <w:tab w:val="right" w:pos="8306"/>
      </w:tabs>
      <w:snapToGrid w:val="0"/>
      <w:jc w:val="left"/>
    </w:pPr>
    <w:rPr>
      <w:sz w:val="18"/>
      <w:szCs w:val="18"/>
    </w:rPr>
  </w:style>
  <w:style w:type="character" w:customStyle="1" w:styleId="af1">
    <w:name w:val="页脚 字符"/>
    <w:basedOn w:val="a0"/>
    <w:link w:val="af0"/>
    <w:uiPriority w:val="99"/>
    <w:rsid w:val="009A5D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1509</Words>
  <Characters>1525</Characters>
  <Application>Microsoft Office Word</Application>
  <DocSecurity>0</DocSecurity>
  <Lines>66</Lines>
  <Paragraphs>84</Paragraphs>
  <ScaleCrop>false</ScaleCrop>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Kew Jason</dc:creator>
  <cp:keywords/>
  <dc:description/>
  <cp:lastModifiedBy>Kew Jason</cp:lastModifiedBy>
  <cp:revision>5</cp:revision>
  <dcterms:created xsi:type="dcterms:W3CDTF">2026-07-28T03:20:00Z</dcterms:created>
  <dcterms:modified xsi:type="dcterms:W3CDTF">2026-07-28T03:32:00Z</dcterms:modified>
</cp:coreProperties>
</file>