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9937"/>
      </w:tblGrid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Meaning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reduce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spellStart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Aggregate the elements of the dataset using a function </w:t>
            </w:r>
            <w:proofErr w:type="spellStart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(which takes two arguments and returns one). The function should be commutative and associative so that it can be computed correctly in parallel.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collect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gram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all the elements of the dataset as an array at the driver program. This is usually useful after a filter or other operation that returns a sufficiently small subset of the data.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count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gram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the number of elements in the dataset.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first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gram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Return the first element of the dataset (similar to </w:t>
            </w:r>
            <w:proofErr w:type="gram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take(</w:t>
            </w:r>
            <w:proofErr w:type="gram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1)).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take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an array with the first 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elements of the dataset.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takeSample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spellStart"/>
            <w:proofErr w:type="gramEnd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withReplacement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 [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seed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an array with a random sample of </w:t>
            </w:r>
            <w:proofErr w:type="spellStart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num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elements of the dataset, with or without replacement, optionally pre-specifying a random number generator seed.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takeOrdered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gramEnd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, 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[ordering]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Return the first 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n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elements of the RDD using either their natural order or a custom comparator.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saveAsTextFile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path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Write the elements of the dataset as a text file (or set of text files) in a given directory in the local filesystem, HDFS or any other Hadoop-supported file system. Spark will call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toString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 on each element to convert it to a line of text in the file.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saveAsSequenceFile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path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 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br/>
              <w:t>(Java and Scala)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Write the elements of the dataset as a Hadoop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SequenceFile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 in a given path in the local filesystem, HDFS or any other Hadoop-supported file system. This is available on RDDs of key-value pairs that implement Hadoop's Writable interface. In Scala, it is also available on types that are implicitly convertible to Writable (Spark includes conversions for basic types like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Int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, Double, String,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etc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saveAsObjectFile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path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 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br/>
              <w:t>(Java and Scala)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Write the elements of the dataset in a simple format using Java serialization, which can then be loaded using </w:t>
            </w:r>
            <w:proofErr w:type="spellStart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SparkContext</w:t>
            </w:r>
            <w:bookmarkStart w:id="0" w:name="_GoBack"/>
            <w:bookmarkEnd w:id="0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.objectFile</w:t>
            </w:r>
            <w:proofErr w:type="spellEnd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()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proofErr w:type="gram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countByKey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gram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  <w:bookmarkStart w:id="1" w:name="CountByLink"/>
            <w:bookmarkEnd w:id="1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Only available on RDDs of type (K, V). Returns a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hashmap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 xml:space="preserve"> of (K, </w:t>
            </w:r>
            <w:proofErr w:type="spellStart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Int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 pairs with the count of each key.</w:t>
            </w:r>
          </w:p>
        </w:tc>
      </w:tr>
      <w:tr w:rsidR="005911C5" w:rsidRPr="005911C5" w:rsidTr="005911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proofErr w:type="spellStart"/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foreach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(</w:t>
            </w:r>
            <w:proofErr w:type="spellStart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1C5" w:rsidRPr="005911C5" w:rsidRDefault="005911C5" w:rsidP="005911C5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1D1F22"/>
                <w:kern w:val="0"/>
                <w:szCs w:val="21"/>
              </w:rPr>
            </w:pP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Run a function </w:t>
            </w:r>
            <w:proofErr w:type="spellStart"/>
            <w:r w:rsidRPr="005911C5">
              <w:rPr>
                <w:rFonts w:ascii="Helvetica" w:eastAsia="宋体" w:hAnsi="Helvetica" w:cs="Helvetica"/>
                <w:i/>
                <w:iCs/>
                <w:color w:val="1D1F22"/>
                <w:kern w:val="0"/>
                <w:szCs w:val="21"/>
              </w:rPr>
              <w:t>func</w:t>
            </w:r>
            <w:proofErr w:type="spellEnd"/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on each element of the dataset. This is usually done for side effects such as updating an </w:t>
            </w:r>
            <w:hyperlink r:id="rId4" w:anchor="accumulators" w:history="1">
              <w:r w:rsidRPr="005911C5">
                <w:rPr>
                  <w:rFonts w:ascii="Helvetica" w:eastAsia="宋体" w:hAnsi="Helvetica" w:cs="Helvetica"/>
                  <w:color w:val="0088CC"/>
                  <w:kern w:val="0"/>
                  <w:szCs w:val="21"/>
                  <w:u w:val="single"/>
                </w:rPr>
                <w:t>Accumulator</w:t>
              </w:r>
            </w:hyperlink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or interacting with external storage systems. 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br/>
            </w:r>
            <w:r w:rsidRPr="005911C5">
              <w:rPr>
                <w:rFonts w:ascii="Helvetica" w:eastAsia="宋体" w:hAnsi="Helvetica" w:cs="Helvetica"/>
                <w:b/>
                <w:bCs/>
                <w:color w:val="1D1F22"/>
                <w:kern w:val="0"/>
                <w:szCs w:val="21"/>
              </w:rPr>
              <w:t>Note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: modifying variables other than Accumulators outside of the </w:t>
            </w:r>
            <w:proofErr w:type="spellStart"/>
            <w:proofErr w:type="gramStart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foreach</w:t>
            </w:r>
            <w:proofErr w:type="spellEnd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5911C5">
              <w:rPr>
                <w:rFonts w:ascii="Lucida Console" w:eastAsia="宋体" w:hAnsi="Lucida Console"/>
                <w:color w:val="444444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)</w:t>
            </w:r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 may result in undefined behavior. See </w:t>
            </w:r>
            <w:hyperlink r:id="rId5" w:anchor="understanding-closures-a-nameclosureslinka" w:history="1">
              <w:r w:rsidRPr="005911C5">
                <w:rPr>
                  <w:rFonts w:ascii="Helvetica" w:eastAsia="宋体" w:hAnsi="Helvetica" w:cs="Helvetica"/>
                  <w:color w:val="0088CC"/>
                  <w:kern w:val="0"/>
                  <w:szCs w:val="21"/>
                  <w:u w:val="single"/>
                </w:rPr>
                <w:t>Understanding closures</w:t>
              </w:r>
              <w:r w:rsidRPr="005911C5">
                <w:rPr>
                  <w:rFonts w:ascii="Helvetica" w:eastAsia="宋体" w:hAnsi="Helvetica" w:cs="Helvetica"/>
                  <w:color w:val="0088CC"/>
                  <w:kern w:val="0"/>
                  <w:szCs w:val="21"/>
                </w:rPr>
                <w:t> </w:t>
              </w:r>
            </w:hyperlink>
            <w:r w:rsidRPr="005911C5">
              <w:rPr>
                <w:rFonts w:ascii="Helvetica" w:eastAsia="宋体" w:hAnsi="Helvetica" w:cs="Helvetica"/>
                <w:color w:val="1D1F22"/>
                <w:kern w:val="0"/>
                <w:szCs w:val="21"/>
              </w:rPr>
              <w:t>for more details.</w:t>
            </w:r>
          </w:p>
        </w:tc>
      </w:tr>
    </w:tbl>
    <w:p w:rsidR="00357B8C" w:rsidRDefault="00357B8C"/>
    <w:sectPr w:rsidR="00357B8C" w:rsidSect="005911C5">
      <w:pgSz w:w="16838" w:h="23811" w:code="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9"/>
    <w:rsid w:val="00357B8C"/>
    <w:rsid w:val="005911C5"/>
    <w:rsid w:val="0061305C"/>
    <w:rsid w:val="00816450"/>
    <w:rsid w:val="00920EF9"/>
    <w:rsid w:val="00A2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DCDA-9EBD-47A2-A1D3-CF792F28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11C5"/>
  </w:style>
  <w:style w:type="character" w:styleId="HTML">
    <w:name w:val="HTML Code"/>
    <w:basedOn w:val="a0"/>
    <w:uiPriority w:val="99"/>
    <w:semiHidden/>
    <w:unhideWhenUsed/>
    <w:rsid w:val="005911C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91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ark.apache.org/docs/latest/programming-guide.html" TargetMode="External"/><Relationship Id="rId4" Type="http://schemas.openxmlformats.org/officeDocument/2006/relationships/hyperlink" Target="http://spark.apache.org/docs/latest/programming-gui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yinyayun</dc:creator>
  <cp:keywords/>
  <dc:description/>
  <cp:lastModifiedBy>yinyayun</cp:lastModifiedBy>
  <cp:revision>2</cp:revision>
  <dcterms:created xsi:type="dcterms:W3CDTF">2016-11-28T01:25:00Z</dcterms:created>
  <dcterms:modified xsi:type="dcterms:W3CDTF">2016-11-28T01:25:00Z</dcterms:modified>
</cp:coreProperties>
</file>