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Arial" w:hAnsi="Arial" w:eastAsia="Noto Sans CJK SC"/>
          <w:b/>
          <w:color w:val="176B60"/>
          <w:sz w:val="24"/>
        </w:rPr>
        <w:t>MEDLABEL REVIEW</w:t>
      </w:r>
    </w:p>
    <w:p>
      <w:pPr>
        <w:pStyle w:val="Title"/>
        <w:spacing w:after="280"/>
      </w:pPr>
      <w:r>
        <w:t>药品说明书版本比对与变更审核系统</w:t>
      </w:r>
    </w:p>
    <w:p>
      <w:pPr>
        <w:spacing w:after="680"/>
      </w:pPr>
      <w:r>
        <w:rPr>
          <w:rFonts w:ascii="Arial" w:hAnsi="Arial" w:eastAsia="Noto Sans CJK SC"/>
          <w:b w:val="0"/>
          <w:color w:val="173F3C"/>
          <w:sz w:val="44"/>
        </w:rPr>
        <w:t>V1.0</w:t>
      </w:r>
    </w:p>
    <w:p>
      <w:r>
        <w:rPr>
          <w:rFonts w:ascii="Arial" w:hAnsi="Arial" w:eastAsia="Noto Sans CJK SC"/>
          <w:b/>
          <w:color w:val="173F3C"/>
          <w:sz w:val="38"/>
        </w:rPr>
        <w:t>用户操作说明书</w:t>
      </w:r>
    </w:p>
    <w:p>
      <w:pPr>
        <w:spacing w:before="240"/>
      </w:pPr>
      <w:r>
        <w:rPr>
          <w:rFonts w:ascii="Arial" w:hAnsi="Arial" w:eastAsia="Noto Sans CJK SC"/>
          <w:b w:val="0"/>
          <w:sz w:val="22"/>
        </w:rPr>
        <w:t>著作权人：待申请人填写</w:t>
      </w:r>
    </w:p>
    <w:p>
      <w:pPr>
        <w:spacing w:before="240"/>
      </w:pPr>
      <w:r>
        <w:rPr>
          <w:rFonts w:ascii="Arial" w:hAnsi="Arial" w:eastAsia="Noto Sans CJK SC"/>
          <w:b w:val="0"/>
          <w:sz w:val="22"/>
        </w:rPr>
        <w:t>对应代码版本：98e406f</w:t>
      </w:r>
    </w:p>
    <w:p>
      <w:pPr>
        <w:spacing w:before="240"/>
      </w:pPr>
      <w:r>
        <w:rPr>
          <w:rFonts w:ascii="Arial" w:hAnsi="Arial" w:eastAsia="Noto Sans CJK SC"/>
          <w:b w:val="0"/>
          <w:sz w:val="22"/>
        </w:rPr>
        <w:t>文档状态：技术内容已编制，申请信息待确认</w:t>
      </w:r>
    </w:p>
    <w:p>
      <w:pPr>
        <w:spacing w:before="720"/>
      </w:pPr>
      <w:r>
        <w:rPr>
          <w:rFonts w:ascii="Arial" w:hAnsi="Arial" w:eastAsia="Noto Sans CJK SC"/>
          <w:b w:val="0"/>
          <w:color w:val="526763"/>
          <w:sz w:val="18"/>
        </w:rPr>
        <w:t>本文所示药品、说明书及审核记录均为软件演示资料。</w:t>
      </w:r>
    </w:p>
    <w:p>
      <w:r>
        <w:br w:type="page"/>
      </w:r>
    </w:p>
    <w:p>
      <w:pPr>
        <w:pStyle w:val="Heading1"/>
      </w:pPr>
      <w:r>
        <w:t>内容索引</w:t>
      </w:r>
    </w:p>
    <w:p>
      <w:pPr>
        <w:spacing w:after="140"/>
      </w:pPr>
      <w:r>
        <w:t>1 软件概述</w:t>
      </w:r>
    </w:p>
    <w:p>
      <w:pPr>
        <w:spacing w:after="140"/>
      </w:pPr>
      <w:r>
        <w:t>2 安装与启动</w:t>
      </w:r>
    </w:p>
    <w:p>
      <w:pPr>
        <w:spacing w:after="140"/>
      </w:pPr>
      <w:r>
        <w:t>3 工作台与业务流程</w:t>
      </w:r>
    </w:p>
    <w:p>
      <w:pPr>
        <w:spacing w:after="140"/>
      </w:pPr>
      <w:r>
        <w:t>4 药品档案管理</w:t>
      </w:r>
    </w:p>
    <w:p>
      <w:pPr>
        <w:spacing w:after="140"/>
      </w:pPr>
      <w:r>
        <w:t>5 导入和查看说明书版本</w:t>
      </w:r>
    </w:p>
    <w:p>
      <w:pPr>
        <w:spacing w:after="140"/>
      </w:pPr>
      <w:r>
        <w:t>6 检查和校正章节</w:t>
      </w:r>
    </w:p>
    <w:p>
      <w:pPr>
        <w:spacing w:after="140"/>
      </w:pPr>
      <w:r>
        <w:t>7 创建和阅读版本比对</w:t>
      </w:r>
    </w:p>
    <w:p>
      <w:pPr>
        <w:spacing w:after="140"/>
      </w:pPr>
      <w:r>
        <w:t>8 人工审核变更</w:t>
      </w:r>
    </w:p>
    <w:p>
      <w:pPr>
        <w:spacing w:after="140"/>
      </w:pPr>
      <w:r>
        <w:t>9 导出与归档</w:t>
      </w:r>
    </w:p>
    <w:p>
      <w:pPr>
        <w:spacing w:after="140"/>
      </w:pPr>
      <w:r>
        <w:t>10 操作记录与数据保存</w:t>
      </w:r>
    </w:p>
    <w:p>
      <w:pPr>
        <w:spacing w:after="140"/>
      </w:pPr>
      <w:r>
        <w:t>11 常见问题处理</w:t>
      </w:r>
    </w:p>
    <w:p>
      <w:pPr>
        <w:spacing w:after="140"/>
      </w:pPr>
      <w:r>
        <w:t>12 示例操作与完成检查</w:t>
      </w:r>
    </w:p>
    <w:p>
      <w:r>
        <w:br w:type="page"/>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4762"/>
            <w:vAlign w:val="center"/>
            <w:shd w:fill="E7F0EC"/>
          </w:tcPr>
          <w:p>
            <w:pPr>
              <w:spacing w:before="60" w:after="60" w:line="280" w:lineRule="exact"/>
            </w:pPr>
            <w:r>
              <w:rPr>
                <w:rFonts w:ascii="Arial" w:hAnsi="Arial" w:eastAsia="Noto Sans CJK SC"/>
                <w:b/>
                <w:sz w:val="18"/>
              </w:rPr>
              <w:t>文档项目</w:t>
            </w:r>
          </w:p>
        </w:tc>
        <w:tc>
          <w:tcPr>
            <w:tcW w:type="dxa" w:w="4762"/>
            <w:vAlign w:val="center"/>
            <w:shd w:fill="E7F0EC"/>
          </w:tcPr>
          <w:p>
            <w:pPr>
              <w:spacing w:before="60" w:after="60" w:line="280" w:lineRule="exact"/>
            </w:pPr>
            <w:r>
              <w:rPr>
                <w:rFonts w:ascii="Arial" w:hAnsi="Arial" w:eastAsia="Noto Sans CJK SC"/>
                <w:b/>
                <w:sz w:val="18"/>
              </w:rPr>
              <w:t>内容</w:t>
            </w:r>
          </w:p>
        </w:tc>
      </w:tr>
      <w:tr>
        <w:trPr>
          <w:cantSplit/>
        </w:trPr>
        <w:tc>
          <w:tcPr>
            <w:tcW w:type="dxa" w:w="4762"/>
            <w:vAlign w:val="center"/>
          </w:tcPr>
          <w:p>
            <w:pPr>
              <w:spacing w:before="60" w:after="60" w:line="280" w:lineRule="exact"/>
            </w:pPr>
            <w:r>
              <w:rPr>
                <w:rFonts w:ascii="Arial" w:hAnsi="Arial" w:eastAsia="Noto Sans CJK SC"/>
                <w:b w:val="0"/>
                <w:sz w:val="18"/>
              </w:rPr>
              <w:t>软件全称</w:t>
            </w:r>
          </w:p>
        </w:tc>
        <w:tc>
          <w:tcPr>
            <w:tcW w:type="dxa" w:w="4762"/>
            <w:vAlign w:val="center"/>
          </w:tcPr>
          <w:p>
            <w:pPr>
              <w:spacing w:before="60" w:after="60" w:line="280" w:lineRule="exact"/>
            </w:pPr>
            <w:r>
              <w:rPr>
                <w:rFonts w:ascii="Arial" w:hAnsi="Arial" w:eastAsia="Noto Sans CJK SC"/>
                <w:b w:val="0"/>
                <w:sz w:val="18"/>
              </w:rPr>
              <w:t>药品说明书版本比对与变更审核系统</w:t>
            </w:r>
          </w:p>
        </w:tc>
      </w:tr>
      <w:tr>
        <w:trPr>
          <w:cantSplit/>
        </w:trPr>
        <w:tc>
          <w:tcPr>
            <w:tcW w:type="dxa" w:w="4762"/>
            <w:vAlign w:val="center"/>
          </w:tcPr>
          <w:p>
            <w:pPr>
              <w:spacing w:before="60" w:after="60" w:line="280" w:lineRule="exact"/>
            </w:pPr>
            <w:r>
              <w:rPr>
                <w:rFonts w:ascii="Arial" w:hAnsi="Arial" w:eastAsia="Noto Sans CJK SC"/>
                <w:b w:val="0"/>
                <w:sz w:val="18"/>
              </w:rPr>
              <w:t>软件版本</w:t>
            </w:r>
          </w:p>
        </w:tc>
        <w:tc>
          <w:tcPr>
            <w:tcW w:type="dxa" w:w="4762"/>
            <w:vAlign w:val="center"/>
          </w:tcPr>
          <w:p>
            <w:pPr>
              <w:spacing w:before="60" w:after="60" w:line="280" w:lineRule="exact"/>
            </w:pPr>
            <w:r>
              <w:rPr>
                <w:rFonts w:ascii="Arial" w:hAnsi="Arial" w:eastAsia="Noto Sans CJK SC"/>
                <w:b w:val="0"/>
                <w:sz w:val="18"/>
              </w:rPr>
              <w:t>V1.0</w:t>
            </w:r>
          </w:p>
        </w:tc>
      </w:tr>
      <w:tr>
        <w:trPr>
          <w:cantSplit/>
        </w:trPr>
        <w:tc>
          <w:tcPr>
            <w:tcW w:type="dxa" w:w="4762"/>
            <w:vAlign w:val="center"/>
          </w:tcPr>
          <w:p>
            <w:pPr>
              <w:spacing w:before="60" w:after="60" w:line="280" w:lineRule="exact"/>
            </w:pPr>
            <w:r>
              <w:rPr>
                <w:rFonts w:ascii="Arial" w:hAnsi="Arial" w:eastAsia="Noto Sans CJK SC"/>
                <w:b w:val="0"/>
                <w:sz w:val="18"/>
              </w:rPr>
              <w:t>英文项目名</w:t>
            </w:r>
          </w:p>
        </w:tc>
        <w:tc>
          <w:tcPr>
            <w:tcW w:type="dxa" w:w="4762"/>
            <w:vAlign w:val="center"/>
          </w:tcPr>
          <w:p>
            <w:pPr>
              <w:spacing w:before="60" w:after="60" w:line="280" w:lineRule="exact"/>
            </w:pPr>
            <w:r>
              <w:rPr>
                <w:rFonts w:ascii="Arial" w:hAnsi="Arial" w:eastAsia="Noto Sans CJK SC"/>
                <w:b w:val="0"/>
                <w:sz w:val="18"/>
              </w:rPr>
              <w:t>MedLabel Review</w:t>
            </w:r>
          </w:p>
        </w:tc>
      </w:tr>
      <w:tr>
        <w:trPr>
          <w:cantSplit/>
        </w:trPr>
        <w:tc>
          <w:tcPr>
            <w:tcW w:type="dxa" w:w="4762"/>
            <w:vAlign w:val="center"/>
          </w:tcPr>
          <w:p>
            <w:pPr>
              <w:spacing w:before="60" w:after="60" w:line="280" w:lineRule="exact"/>
            </w:pPr>
            <w:r>
              <w:rPr>
                <w:rFonts w:ascii="Arial" w:hAnsi="Arial" w:eastAsia="Noto Sans CJK SC"/>
                <w:b w:val="0"/>
                <w:sz w:val="18"/>
              </w:rPr>
              <w:t>著作权人</w:t>
            </w:r>
          </w:p>
        </w:tc>
        <w:tc>
          <w:tcPr>
            <w:tcW w:type="dxa" w:w="4762"/>
            <w:vAlign w:val="center"/>
          </w:tcPr>
          <w:p>
            <w:pPr>
              <w:spacing w:before="60" w:after="60" w:line="280" w:lineRule="exact"/>
            </w:pPr>
            <w:r>
              <w:rPr>
                <w:rFonts w:ascii="Arial" w:hAnsi="Arial" w:eastAsia="Noto Sans CJK SC"/>
                <w:b w:val="0"/>
                <w:sz w:val="18"/>
              </w:rPr>
              <w:t>待申请人填写</w:t>
            </w:r>
          </w:p>
        </w:tc>
      </w:tr>
      <w:tr>
        <w:trPr>
          <w:cantSplit/>
        </w:trPr>
        <w:tc>
          <w:tcPr>
            <w:tcW w:type="dxa" w:w="4762"/>
            <w:vAlign w:val="center"/>
          </w:tcPr>
          <w:p>
            <w:pPr>
              <w:spacing w:before="60" w:after="60" w:line="280" w:lineRule="exact"/>
            </w:pPr>
            <w:r>
              <w:rPr>
                <w:rFonts w:ascii="Arial" w:hAnsi="Arial" w:eastAsia="Noto Sans CJK SC"/>
                <w:b w:val="0"/>
                <w:sz w:val="18"/>
              </w:rPr>
              <w:t>文档用途</w:t>
            </w:r>
          </w:p>
        </w:tc>
        <w:tc>
          <w:tcPr>
            <w:tcW w:type="dxa" w:w="4762"/>
            <w:vAlign w:val="center"/>
          </w:tcPr>
          <w:p>
            <w:pPr>
              <w:spacing w:before="60" w:after="60" w:line="280" w:lineRule="exact"/>
            </w:pPr>
            <w:r>
              <w:rPr>
                <w:rFonts w:ascii="Arial" w:hAnsi="Arial" w:eastAsia="Noto Sans CJK SC"/>
                <w:b w:val="0"/>
                <w:sz w:val="18"/>
              </w:rPr>
              <w:t>说明软件运行条件、操作步骤、输入输出及使用限制</w:t>
            </w:r>
          </w:p>
        </w:tc>
      </w:tr>
      <w:tr>
        <w:trPr>
          <w:cantSplit/>
        </w:trPr>
        <w:tc>
          <w:tcPr>
            <w:tcW w:type="dxa" w:w="4762"/>
            <w:vAlign w:val="center"/>
          </w:tcPr>
          <w:p>
            <w:pPr>
              <w:spacing w:before="60" w:after="60" w:line="280" w:lineRule="exact"/>
            </w:pPr>
            <w:r>
              <w:rPr>
                <w:rFonts w:ascii="Arial" w:hAnsi="Arial" w:eastAsia="Noto Sans CJK SC"/>
                <w:b w:val="0"/>
                <w:sz w:val="18"/>
              </w:rPr>
              <w:t>对应程序</w:t>
            </w:r>
          </w:p>
        </w:tc>
        <w:tc>
          <w:tcPr>
            <w:tcW w:type="dxa" w:w="4762"/>
            <w:vAlign w:val="center"/>
          </w:tcPr>
          <w:p>
            <w:pPr>
              <w:spacing w:before="60" w:after="60" w:line="280" w:lineRule="exact"/>
            </w:pPr>
            <w:r>
              <w:rPr>
                <w:rFonts w:ascii="Arial" w:hAnsi="Arial" w:eastAsia="Noto Sans CJK SC"/>
                <w:b w:val="0"/>
                <w:sz w:val="18"/>
              </w:rPr>
              <w:t>V1.0，代码基准提交 98e406f</w:t>
            </w:r>
          </w:p>
        </w:tc>
      </w:tr>
    </w:tbl>
    <w:p>
      <w:pPr>
        <w:spacing w:after="0"/>
      </w:pPr>
    </w:p>
    <w:p>
      <w:r>
        <w:rPr>
          <w:rFonts w:ascii="Arial" w:hAnsi="Arial" w:eastAsia="Noto Sans CJK SC"/>
          <w:b w:val="0"/>
          <w:sz w:val="21"/>
        </w:rPr>
        <w:t>本说明书所示界面来自实际运行的软件，演示药品和说明书均为模拟资料。软件名称、版本号及申请人信息应在正式提交前与登记申请表统一。</w:t>
      </w:r>
    </w:p>
    <w:p>
      <w:pPr>
        <w:pStyle w:val="Heading1"/>
      </w:pPr>
      <w:r>
        <w:t>1 软件概述</w:t>
      </w:r>
    </w:p>
    <w:p>
      <w:pPr>
        <w:pStyle w:val="Heading2"/>
      </w:pPr>
      <w:r>
        <w:t>1.1 软件用途</w:t>
      </w:r>
    </w:p>
    <w:p>
      <w:r>
        <w:rPr>
          <w:rFonts w:ascii="Arial" w:hAnsi="Arial" w:eastAsia="Noto Sans CJK SC"/>
          <w:b w:val="0"/>
          <w:sz w:val="21"/>
        </w:rPr>
        <w:t>本软件用于药品说明书的版本归档、章节内容比对、人工变更审核和结果导出。使用者先建立药品档案，导入同一药品的不同说明书版本，核查提取文字和章节结构，再生成版本比对任务。系统显示新增、删除和修改的章节，对数字、单位及重点章节的变化作出提示。使用者对照原始资料确认或忽略各项变化，填写审核意见，最终导出带来源信息及审核状态的报告。</w:t>
      </w:r>
    </w:p>
    <w:p>
      <w:r>
        <w:rPr>
          <w:rFonts w:ascii="Arial" w:hAnsi="Arial" w:eastAsia="Noto Sans CJK SC"/>
          <w:b w:val="0"/>
          <w:sz w:val="21"/>
        </w:rPr>
        <w:t>软件围绕资料核对提供可回查的记录，适用于药学资料整理、说明书修订研究和项目演示。比对结果反映文字变化，不能直接判定药品安全性、有效性、用药合理性或监管合规性。</w:t>
      </w:r>
    </w:p>
    <w:p>
      <w:pPr>
        <w:pStyle w:val="Heading2"/>
      </w:pPr>
      <w:r>
        <w:t>1.2 使用模式与功能范围</w:t>
      </w:r>
    </w:p>
    <w:p>
      <w:r>
        <w:rPr>
          <w:rFonts w:ascii="Arial" w:hAnsi="Arial" w:eastAsia="Noto Sans CJK SC"/>
          <w:b w:val="0"/>
          <w:sz w:val="21"/>
        </w:rPr>
        <w:t>V1.0 采用本地单操作员模式，由同一台计算机上的服务程序和浏览器共同运行。首次安装依赖后，业务处理不需要连接外部模型服务或医院信息系统。软件没有登录页面、账户注册或多人权限分配；记录中的审核员名称是本地显示名称，不构成身份认证或电子签名。</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3175"/>
            <w:vAlign w:val="center"/>
            <w:shd w:fill="E7F0EC"/>
          </w:tcPr>
          <w:p>
            <w:pPr>
              <w:spacing w:before="60" w:after="60" w:line="280" w:lineRule="exact"/>
            </w:pPr>
            <w:r>
              <w:rPr>
                <w:rFonts w:ascii="Arial" w:hAnsi="Arial" w:eastAsia="Noto Sans CJK SC"/>
                <w:b/>
                <w:sz w:val="18"/>
              </w:rPr>
              <w:t>功能</w:t>
            </w:r>
          </w:p>
        </w:tc>
        <w:tc>
          <w:tcPr>
            <w:tcW w:type="dxa" w:w="3175"/>
            <w:vAlign w:val="center"/>
            <w:shd w:fill="E7F0EC"/>
          </w:tcPr>
          <w:p>
            <w:pPr>
              <w:spacing w:before="60" w:after="60" w:line="280" w:lineRule="exact"/>
            </w:pPr>
            <w:r>
              <w:rPr>
                <w:rFonts w:ascii="Arial" w:hAnsi="Arial" w:eastAsia="Noto Sans CJK SC"/>
                <w:b/>
                <w:sz w:val="18"/>
              </w:rPr>
              <w:t>主要操作</w:t>
            </w:r>
          </w:p>
        </w:tc>
        <w:tc>
          <w:tcPr>
            <w:tcW w:type="dxa" w:w="3175"/>
            <w:vAlign w:val="center"/>
            <w:shd w:fill="E7F0EC"/>
          </w:tcPr>
          <w:p>
            <w:pPr>
              <w:spacing w:before="60" w:after="60" w:line="280" w:lineRule="exact"/>
            </w:pPr>
            <w:r>
              <w:rPr>
                <w:rFonts w:ascii="Arial" w:hAnsi="Arial" w:eastAsia="Noto Sans CJK SC"/>
                <w:b/>
                <w:sz w:val="18"/>
              </w:rPr>
              <w:t>形成的结果</w:t>
            </w:r>
          </w:p>
        </w:tc>
      </w:tr>
      <w:tr>
        <w:trPr>
          <w:cantSplit/>
        </w:trPr>
        <w:tc>
          <w:tcPr>
            <w:tcW w:type="dxa" w:w="3175"/>
            <w:vAlign w:val="center"/>
          </w:tcPr>
          <w:p>
            <w:pPr>
              <w:spacing w:before="60" w:after="60" w:line="280" w:lineRule="exact"/>
            </w:pPr>
            <w:r>
              <w:rPr>
                <w:rFonts w:ascii="Arial" w:hAnsi="Arial" w:eastAsia="Noto Sans CJK SC"/>
                <w:b w:val="0"/>
                <w:sz w:val="18"/>
              </w:rPr>
              <w:t>药品档案</w:t>
            </w:r>
          </w:p>
        </w:tc>
        <w:tc>
          <w:tcPr>
            <w:tcW w:type="dxa" w:w="3175"/>
            <w:vAlign w:val="center"/>
          </w:tcPr>
          <w:p>
            <w:pPr>
              <w:spacing w:before="60" w:after="60" w:line="280" w:lineRule="exact"/>
            </w:pPr>
            <w:r>
              <w:rPr>
                <w:rFonts w:ascii="Arial" w:hAnsi="Arial" w:eastAsia="Noto Sans CJK SC"/>
                <w:b w:val="0"/>
                <w:sz w:val="18"/>
              </w:rPr>
              <w:t>建立和检索药品资料</w:t>
            </w:r>
          </w:p>
        </w:tc>
        <w:tc>
          <w:tcPr>
            <w:tcW w:type="dxa" w:w="3175"/>
            <w:vAlign w:val="center"/>
          </w:tcPr>
          <w:p>
            <w:pPr>
              <w:spacing w:before="60" w:after="60" w:line="280" w:lineRule="exact"/>
            </w:pPr>
            <w:r>
              <w:rPr>
                <w:rFonts w:ascii="Arial" w:hAnsi="Arial" w:eastAsia="Noto Sans CJK SC"/>
                <w:b w:val="0"/>
                <w:sz w:val="18"/>
              </w:rPr>
              <w:t>药品档案及版本归属关系</w:t>
            </w:r>
          </w:p>
        </w:tc>
      </w:tr>
      <w:tr>
        <w:trPr>
          <w:cantSplit/>
        </w:trPr>
        <w:tc>
          <w:tcPr>
            <w:tcW w:type="dxa" w:w="3175"/>
            <w:vAlign w:val="center"/>
          </w:tcPr>
          <w:p>
            <w:pPr>
              <w:spacing w:before="60" w:after="60" w:line="280" w:lineRule="exact"/>
            </w:pPr>
            <w:r>
              <w:rPr>
                <w:rFonts w:ascii="Arial" w:hAnsi="Arial" w:eastAsia="Noto Sans CJK SC"/>
                <w:b w:val="0"/>
                <w:sz w:val="18"/>
              </w:rPr>
              <w:t>版本导入</w:t>
            </w:r>
          </w:p>
        </w:tc>
        <w:tc>
          <w:tcPr>
            <w:tcW w:type="dxa" w:w="3175"/>
            <w:vAlign w:val="center"/>
          </w:tcPr>
          <w:p>
            <w:pPr>
              <w:spacing w:before="60" w:after="60" w:line="280" w:lineRule="exact"/>
            </w:pPr>
            <w:r>
              <w:rPr>
                <w:rFonts w:ascii="Arial" w:hAnsi="Arial" w:eastAsia="Noto Sans CJK SC"/>
                <w:b w:val="0"/>
                <w:sz w:val="18"/>
              </w:rPr>
              <w:t>上传文件或粘贴文本</w:t>
            </w:r>
          </w:p>
        </w:tc>
        <w:tc>
          <w:tcPr>
            <w:tcW w:type="dxa" w:w="3175"/>
            <w:vAlign w:val="center"/>
          </w:tcPr>
          <w:p>
            <w:pPr>
              <w:spacing w:before="60" w:after="60" w:line="280" w:lineRule="exact"/>
            </w:pPr>
            <w:r>
              <w:rPr>
                <w:rFonts w:ascii="Arial" w:hAnsi="Arial" w:eastAsia="Noto Sans CJK SC"/>
                <w:b w:val="0"/>
                <w:sz w:val="18"/>
              </w:rPr>
              <w:t>原始资料、版本信息和结构化章节</w:t>
            </w:r>
          </w:p>
        </w:tc>
      </w:tr>
      <w:tr>
        <w:trPr>
          <w:cantSplit/>
        </w:trPr>
        <w:tc>
          <w:tcPr>
            <w:tcW w:type="dxa" w:w="3175"/>
            <w:vAlign w:val="center"/>
          </w:tcPr>
          <w:p>
            <w:pPr>
              <w:spacing w:before="60" w:after="60" w:line="280" w:lineRule="exact"/>
            </w:pPr>
            <w:r>
              <w:rPr>
                <w:rFonts w:ascii="Arial" w:hAnsi="Arial" w:eastAsia="Noto Sans CJK SC"/>
                <w:b w:val="0"/>
                <w:sz w:val="18"/>
              </w:rPr>
              <w:t>章节整理</w:t>
            </w:r>
          </w:p>
        </w:tc>
        <w:tc>
          <w:tcPr>
            <w:tcW w:type="dxa" w:w="3175"/>
            <w:vAlign w:val="center"/>
          </w:tcPr>
          <w:p>
            <w:pPr>
              <w:spacing w:before="60" w:after="60" w:line="280" w:lineRule="exact"/>
            </w:pPr>
            <w:r>
              <w:rPr>
                <w:rFonts w:ascii="Arial" w:hAnsi="Arial" w:eastAsia="Noto Sans CJK SC"/>
                <w:b w:val="0"/>
                <w:sz w:val="18"/>
              </w:rPr>
              <w:t>查看原文，校正标题和正文</w:t>
            </w:r>
          </w:p>
        </w:tc>
        <w:tc>
          <w:tcPr>
            <w:tcW w:type="dxa" w:w="3175"/>
            <w:vAlign w:val="center"/>
          </w:tcPr>
          <w:p>
            <w:pPr>
              <w:spacing w:before="60" w:after="60" w:line="280" w:lineRule="exact"/>
            </w:pPr>
            <w:r>
              <w:rPr>
                <w:rFonts w:ascii="Arial" w:hAnsi="Arial" w:eastAsia="Noto Sans CJK SC"/>
                <w:b w:val="0"/>
                <w:sz w:val="18"/>
              </w:rPr>
              <w:t>可用于比对的章节结构</w:t>
            </w:r>
          </w:p>
        </w:tc>
      </w:tr>
      <w:tr>
        <w:trPr>
          <w:cantSplit/>
        </w:trPr>
        <w:tc>
          <w:tcPr>
            <w:tcW w:type="dxa" w:w="3175"/>
            <w:vAlign w:val="center"/>
          </w:tcPr>
          <w:p>
            <w:pPr>
              <w:spacing w:before="60" w:after="60" w:line="280" w:lineRule="exact"/>
            </w:pPr>
            <w:r>
              <w:rPr>
                <w:rFonts w:ascii="Arial" w:hAnsi="Arial" w:eastAsia="Noto Sans CJK SC"/>
                <w:b w:val="0"/>
                <w:sz w:val="18"/>
              </w:rPr>
              <w:t>版本比对</w:t>
            </w:r>
          </w:p>
        </w:tc>
        <w:tc>
          <w:tcPr>
            <w:tcW w:type="dxa" w:w="3175"/>
            <w:vAlign w:val="center"/>
          </w:tcPr>
          <w:p>
            <w:pPr>
              <w:spacing w:before="60" w:after="60" w:line="280" w:lineRule="exact"/>
            </w:pPr>
            <w:r>
              <w:rPr>
                <w:rFonts w:ascii="Arial" w:hAnsi="Arial" w:eastAsia="Noto Sans CJK SC"/>
                <w:b w:val="0"/>
                <w:sz w:val="18"/>
              </w:rPr>
              <w:t>选择旧版与新版</w:t>
            </w:r>
          </w:p>
        </w:tc>
        <w:tc>
          <w:tcPr>
            <w:tcW w:type="dxa" w:w="3175"/>
            <w:vAlign w:val="center"/>
          </w:tcPr>
          <w:p>
            <w:pPr>
              <w:spacing w:before="60" w:after="60" w:line="280" w:lineRule="exact"/>
            </w:pPr>
            <w:r>
              <w:rPr>
                <w:rFonts w:ascii="Arial" w:hAnsi="Arial" w:eastAsia="Noto Sans CJK SC"/>
                <w:b w:val="0"/>
                <w:sz w:val="18"/>
              </w:rPr>
              <w:t>章节差异、位置及复核提示</w:t>
            </w:r>
          </w:p>
        </w:tc>
      </w:tr>
      <w:tr>
        <w:trPr>
          <w:cantSplit/>
        </w:trPr>
        <w:tc>
          <w:tcPr>
            <w:tcW w:type="dxa" w:w="3175"/>
            <w:vAlign w:val="center"/>
          </w:tcPr>
          <w:p>
            <w:pPr>
              <w:spacing w:before="60" w:after="60" w:line="280" w:lineRule="exact"/>
            </w:pPr>
            <w:r>
              <w:rPr>
                <w:rFonts w:ascii="Arial" w:hAnsi="Arial" w:eastAsia="Noto Sans CJK SC"/>
                <w:b w:val="0"/>
                <w:sz w:val="18"/>
              </w:rPr>
              <w:t>人工审核</w:t>
            </w:r>
          </w:p>
        </w:tc>
        <w:tc>
          <w:tcPr>
            <w:tcW w:type="dxa" w:w="3175"/>
            <w:vAlign w:val="center"/>
          </w:tcPr>
          <w:p>
            <w:pPr>
              <w:spacing w:before="60" w:after="60" w:line="280" w:lineRule="exact"/>
            </w:pPr>
            <w:r>
              <w:rPr>
                <w:rFonts w:ascii="Arial" w:hAnsi="Arial" w:eastAsia="Noto Sans CJK SC"/>
                <w:b w:val="0"/>
                <w:sz w:val="18"/>
              </w:rPr>
              <w:t>确认、忽略或重置变更</w:t>
            </w:r>
          </w:p>
        </w:tc>
        <w:tc>
          <w:tcPr>
            <w:tcW w:type="dxa" w:w="3175"/>
            <w:vAlign w:val="center"/>
          </w:tcPr>
          <w:p>
            <w:pPr>
              <w:spacing w:before="60" w:after="60" w:line="280" w:lineRule="exact"/>
            </w:pPr>
            <w:r>
              <w:rPr>
                <w:rFonts w:ascii="Arial" w:hAnsi="Arial" w:eastAsia="Noto Sans CJK SC"/>
                <w:b w:val="0"/>
                <w:sz w:val="18"/>
              </w:rPr>
              <w:t>状态、意见及操作记录</w:t>
            </w:r>
          </w:p>
        </w:tc>
      </w:tr>
      <w:tr>
        <w:trPr>
          <w:cantSplit/>
        </w:trPr>
        <w:tc>
          <w:tcPr>
            <w:tcW w:type="dxa" w:w="3175"/>
            <w:vAlign w:val="center"/>
          </w:tcPr>
          <w:p>
            <w:pPr>
              <w:spacing w:before="60" w:after="60" w:line="280" w:lineRule="exact"/>
            </w:pPr>
            <w:r>
              <w:rPr>
                <w:rFonts w:ascii="Arial" w:hAnsi="Arial" w:eastAsia="Noto Sans CJK SC"/>
                <w:b w:val="0"/>
                <w:sz w:val="18"/>
              </w:rPr>
              <w:t>报告输出</w:t>
            </w:r>
          </w:p>
        </w:tc>
        <w:tc>
          <w:tcPr>
            <w:tcW w:type="dxa" w:w="3175"/>
            <w:vAlign w:val="center"/>
          </w:tcPr>
          <w:p>
            <w:pPr>
              <w:spacing w:before="60" w:after="60" w:line="280" w:lineRule="exact"/>
            </w:pPr>
            <w:r>
              <w:rPr>
                <w:rFonts w:ascii="Arial" w:hAnsi="Arial" w:eastAsia="Noto Sans CJK SC"/>
                <w:b w:val="0"/>
                <w:sz w:val="18"/>
              </w:rPr>
              <w:t>导出 HTML、CSV、JSON</w:t>
            </w:r>
          </w:p>
        </w:tc>
        <w:tc>
          <w:tcPr>
            <w:tcW w:type="dxa" w:w="3175"/>
            <w:vAlign w:val="center"/>
          </w:tcPr>
          <w:p>
            <w:pPr>
              <w:spacing w:before="60" w:after="60" w:line="280" w:lineRule="exact"/>
            </w:pPr>
            <w:r>
              <w:rPr>
                <w:rFonts w:ascii="Arial" w:hAnsi="Arial" w:eastAsia="Noto Sans CJK SC"/>
                <w:b w:val="0"/>
                <w:sz w:val="18"/>
              </w:rPr>
              <w:t>可保存和查阅的审核资料</w:t>
            </w:r>
          </w:p>
        </w:tc>
      </w:tr>
    </w:tbl>
    <w:p>
      <w:pPr>
        <w:spacing w:after="0"/>
      </w:pPr>
    </w:p>
    <w:p>
      <w:pPr>
        <w:pStyle w:val="Heading1"/>
      </w:pPr>
      <w:r>
        <w:t>2 安装与启动</w:t>
      </w:r>
    </w:p>
    <w:p>
      <w:pPr>
        <w:pStyle w:val="Heading2"/>
      </w:pPr>
      <w:r>
        <w:t>2.1 运行条件</w:t>
      </w:r>
    </w:p>
    <w:p>
      <w:r>
        <w:rPr>
          <w:rFonts w:ascii="Arial" w:hAnsi="Arial" w:eastAsia="Noto Sans CJK SC"/>
          <w:b w:val="0"/>
          <w:sz w:val="21"/>
        </w:rPr>
        <w:t>软件需要 Python 3.11 或更新版本，以及能够运行 JavaScript 的现代浏览器。本项目已在 Linux 环境及 Chromium 浏览器中进行操作验证。采用其他操作系统时，应先按本章完成安装并验证文件导入、保存和下载功能。数据存储空间应按原始文件数量及保留周期安排。</w:t>
      </w:r>
    </w:p>
    <w:p>
      <w:r>
        <w:rPr>
          <w:rFonts w:ascii="Arial" w:hAnsi="Arial" w:eastAsia="Noto Sans CJK SC"/>
          <w:b w:val="0"/>
          <w:sz w:val="21"/>
        </w:rPr>
        <w:t>程序使用 SQLite 文件保存业务数据，无需另行安装数据库服务。浏览器界面由应用直接提供，不需要安装 Node.js 或执行前端构建。安装依赖时需要网络连接，日常处理已导入的本地文件不需要外部网络。</w:t>
      </w:r>
    </w:p>
    <w:p>
      <w:pPr>
        <w:pStyle w:val="Heading2"/>
      </w:pPr>
      <w:r>
        <w:t>2.2 安装程序依赖</w:t>
      </w:r>
    </w:p>
    <w:p>
      <w:r>
        <w:rPr>
          <w:rFonts w:ascii="Arial" w:hAnsi="Arial" w:eastAsia="Noto Sans CJK SC"/>
          <w:b w:val="0"/>
          <w:sz w:val="21"/>
        </w:rPr>
        <w:t>将完整项目解压到可写目录，在该目录打开终端。先创建虚拟环境：</w:t>
      </w:r>
    </w:p>
    <w:p>
      <w:pPr>
        <w:spacing w:line="260" w:lineRule="exact"/>
      </w:pPr>
      <w:r>
        <w:rPr>
          <w:rFonts w:ascii="DejaVu Sans Mono" w:hAnsi="DejaVu Sans Mono" w:eastAsia="Noto Sans Mono CJK SC"/>
          <w:b w:val="0"/>
          <w:sz w:val="17"/>
        </w:rPr>
        <w:t>python -m venv .venv</w:t>
      </w:r>
    </w:p>
    <w:p>
      <w:r>
        <w:rPr>
          <w:rFonts w:ascii="Arial" w:hAnsi="Arial" w:eastAsia="Noto Sans CJK SC"/>
          <w:b w:val="0"/>
          <w:sz w:val="21"/>
        </w:rPr>
        <w:t>在 Windows PowerShell 中安装并启动：</w:t>
      </w:r>
    </w:p>
    <w:p>
      <w:pPr>
        <w:spacing w:line="260" w:lineRule="exact"/>
      </w:pPr>
      <w:r>
        <w:rPr>
          <w:rFonts w:ascii="DejaVu Sans Mono" w:hAnsi="DejaVu Sans Mono" w:eastAsia="Noto Sans Mono CJK SC"/>
          <w:b w:val="0"/>
          <w:sz w:val="17"/>
        </w:rPr>
        <w:t>.\.venv\Scripts\python.exe -m pip install -r requirements.txt</w:t>
      </w:r>
      <w:r>
        <w:br/>
      </w:r>
      <w:r>
        <w:rPr>
          <w:rFonts w:ascii="DejaVu Sans Mono" w:hAnsi="DejaVu Sans Mono" w:eastAsia="Noto Sans Mono CJK SC"/>
          <w:b w:val="0"/>
          <w:sz w:val="17"/>
        </w:rPr>
        <w:t>.\.venv\Scripts\python.exe run.py</w:t>
      </w:r>
    </w:p>
    <w:p>
      <w:r>
        <w:rPr>
          <w:rFonts w:ascii="Arial" w:hAnsi="Arial" w:eastAsia="Noto Sans CJK SC"/>
          <w:b w:val="0"/>
          <w:sz w:val="21"/>
        </w:rPr>
        <w:t>在 macOS 或 Linux 终端中安装并启动：</w:t>
      </w:r>
    </w:p>
    <w:p>
      <w:pPr>
        <w:spacing w:line="260" w:lineRule="exact"/>
      </w:pPr>
      <w:r>
        <w:rPr>
          <w:rFonts w:ascii="DejaVu Sans Mono" w:hAnsi="DejaVu Sans Mono" w:eastAsia="Noto Sans Mono CJK SC"/>
          <w:b w:val="0"/>
          <w:sz w:val="17"/>
        </w:rPr>
        <w:t>.venv/bin/python -m pip install -r requirements.txt</w:t>
      </w:r>
      <w:r>
        <w:br/>
      </w:r>
      <w:r>
        <w:rPr>
          <w:rFonts w:ascii="DejaVu Sans Mono" w:hAnsi="DejaVu Sans Mono" w:eastAsia="Noto Sans Mono CJK SC"/>
          <w:b w:val="0"/>
          <w:sz w:val="17"/>
        </w:rPr>
        <w:t>.venv/bin/python run.py</w:t>
      </w:r>
    </w:p>
    <w:p>
      <w:r>
        <w:rPr>
          <w:rFonts w:ascii="Arial" w:hAnsi="Arial" w:eastAsia="Noto Sans CJK SC"/>
          <w:b w:val="0"/>
          <w:sz w:val="21"/>
        </w:rPr>
        <w:t xml:space="preserve">项目同时提供 </w:t>
      </w:r>
      <w:r>
        <w:rPr>
          <w:rFonts w:ascii="DejaVu Sans Mono" w:hAnsi="DejaVu Sans Mono" w:eastAsia="Noto Sans Mono CJK SC"/>
          <w:b w:val="0"/>
          <w:sz w:val="20"/>
        </w:rPr>
        <w:t>scripts/start.ps1</w:t>
      </w:r>
      <w:r>
        <w:rPr>
          <w:rFonts w:ascii="Arial" w:hAnsi="Arial" w:eastAsia="Noto Sans CJK SC"/>
          <w:b w:val="0"/>
          <w:sz w:val="21"/>
        </w:rPr>
        <w:t xml:space="preserve"> 和 </w:t>
      </w:r>
      <w:r>
        <w:rPr>
          <w:rFonts w:ascii="DejaVu Sans Mono" w:hAnsi="DejaVu Sans Mono" w:eastAsia="Noto Sans Mono CJK SC"/>
          <w:b w:val="0"/>
          <w:sz w:val="20"/>
        </w:rPr>
        <w:t>scripts/start.sh</w:t>
      </w:r>
      <w:r>
        <w:rPr>
          <w:rFonts w:ascii="Arial" w:hAnsi="Arial" w:eastAsia="Noto Sans CJK SC"/>
          <w:b w:val="0"/>
          <w:sz w:val="21"/>
        </w:rPr>
        <w:t xml:space="preserve"> 启动脚本。脚本会创建所需虚拟环境、安装依赖并启动程序。若依赖下载失败，应解决网络或软件包安装问题后重新执行，不要在未启动服务的情况下直接打开静态页面文件。</w:t>
      </w:r>
    </w:p>
    <w:p>
      <w:pPr>
        <w:pStyle w:val="Heading2"/>
      </w:pPr>
      <w:r>
        <w:t>2.3 打开和关闭软件</w:t>
      </w:r>
    </w:p>
    <w:p>
      <w:r>
        <w:rPr>
          <w:rFonts w:ascii="Arial" w:hAnsi="Arial" w:eastAsia="Noto Sans CJK SC"/>
          <w:b w:val="0"/>
          <w:sz w:val="21"/>
        </w:rPr>
        <w:t xml:space="preserve">服务启动后，在同一台计算机的浏览器中访问 </w:t>
      </w:r>
      <w:r>
        <w:rPr>
          <w:rFonts w:ascii="DejaVu Sans Mono" w:hAnsi="DejaVu Sans Mono" w:eastAsia="Noto Sans Mono CJK SC"/>
          <w:b w:val="0"/>
          <w:sz w:val="20"/>
        </w:rPr>
        <w:t>http://127.0.0.1:8000</w:t>
      </w:r>
      <w:r>
        <w:rPr>
          <w:rFonts w:ascii="Arial" w:hAnsi="Arial" w:eastAsia="Noto Sans CJK SC"/>
          <w:b w:val="0"/>
          <w:sz w:val="21"/>
        </w:rPr>
        <w:t>。成功打开后，页面左侧显示“工作台”“药品与版本”“比对与审核”“操作记录”，底部显示版本 V1.0。</w:t>
      </w:r>
    </w:p>
    <w:p>
      <w:r>
        <w:rPr>
          <w:rFonts w:ascii="Arial" w:hAnsi="Arial" w:eastAsia="Noto Sans CJK SC"/>
          <w:b w:val="0"/>
          <w:sz w:val="21"/>
        </w:rPr>
        <w:t xml:space="preserve">如默认端口被占用，可执行 </w:t>
      </w:r>
      <w:r>
        <w:rPr>
          <w:rFonts w:ascii="DejaVu Sans Mono" w:hAnsi="DejaVu Sans Mono" w:eastAsia="Noto Sans Mono CJK SC"/>
          <w:b w:val="0"/>
          <w:sz w:val="20"/>
        </w:rPr>
        <w:t>python run.py --port 8001</w:t>
      </w:r>
      <w:r>
        <w:rPr>
          <w:rFonts w:ascii="Arial" w:hAnsi="Arial" w:eastAsia="Noto Sans CJK SC"/>
          <w:b w:val="0"/>
          <w:sz w:val="21"/>
        </w:rPr>
        <w:t>，然后访问对应端口。直接启动时须使用已安装依赖的 Python 环境。程序默认仅监听本机地址。</w:t>
      </w:r>
    </w:p>
    <w:p>
      <w:r>
        <w:rPr>
          <w:rFonts w:ascii="Arial" w:hAnsi="Arial" w:eastAsia="Noto Sans CJK SC"/>
          <w:b w:val="0"/>
          <w:sz w:val="21"/>
        </w:rPr>
        <w:t>关闭浏览器页面不会停止后台服务。结束工作前先保存正在编辑的内容，再在启动程序的终端按 Ctrl+C 停止服务。未点击保存按钮的审核意见或章节修改不应视为已写入数据库。</w:t>
      </w:r>
    </w:p>
    <w:p>
      <w:pPr>
        <w:pStyle w:val="Heading1"/>
      </w:pPr>
      <w:r>
        <w:t>3 工作台与业务流程</w:t>
      </w:r>
    </w:p>
    <w:p>
      <w:pPr>
        <w:pStyle w:val="Heading2"/>
      </w:pPr>
      <w:r>
        <w:t>3.1 工作台</w:t>
      </w:r>
    </w:p>
    <w:p>
      <w:r>
        <w:rPr>
          <w:rFonts w:ascii="Arial" w:hAnsi="Arial" w:eastAsia="Noto Sans CJK SC"/>
          <w:b w:val="0"/>
          <w:sz w:val="21"/>
        </w:rPr>
        <w:t>“工作台”显示药品档案数、说明书版本数、比对任务数及待复核变更数，并提供最近比对任务和最近操作记录。点击“新建药品”可建立档案，点击最近任务可进入对应审核页面。统计值来自当前数据目录，切换数据目录后显示的内容可能不同。</w:t>
      </w:r>
    </w:p>
    <w:p>
      <w:pPr>
        <w:keepNext/>
        <w:spacing w:line="240" w:lineRule="auto"/>
        <w:jc w:val="center"/>
      </w:pPr>
      <w:r>
        <w:drawing>
          <wp:inline xmlns:a="http://schemas.openxmlformats.org/drawingml/2006/main" xmlns:pic="http://schemas.openxmlformats.org/drawingml/2006/picture">
            <wp:extent cx="5980595" cy="4391999"/>
            <wp:docPr id="1" name="Picture 1"/>
            <wp:cNvGraphicFramePr>
              <a:graphicFrameLocks noChangeAspect="1"/>
            </wp:cNvGraphicFramePr>
            <a:graphic>
              <a:graphicData uri="http://schemas.openxmlformats.org/drawingml/2006/picture">
                <pic:pic>
                  <pic:nvPicPr>
                    <pic:cNvPr id="0" name="01_dashboard.png"/>
                    <pic:cNvPicPr/>
                  </pic:nvPicPr>
                  <pic:blipFill>
                    <a:blip r:embed="rId11"/>
                    <a:stretch>
                      <a:fillRect/>
                    </a:stretch>
                  </pic:blipFill>
                  <pic:spPr>
                    <a:xfrm>
                      <a:off x="0" y="0"/>
                      <a:ext cx="5980595" cy="4391999"/>
                    </a:xfrm>
                    <a:prstGeom prst="rect"/>
                  </pic:spPr>
                </pic:pic>
              </a:graphicData>
            </a:graphic>
          </wp:inline>
        </w:drawing>
      </w:r>
    </w:p>
    <w:p>
      <w:pPr>
        <w:spacing w:after="180"/>
        <w:jc w:val="center"/>
      </w:pPr>
      <w:r>
        <w:rPr>
          <w:rFonts w:ascii="Arial" w:hAnsi="Arial" w:eastAsia="Noto Sans CJK SC"/>
          <w:b w:val="0"/>
          <w:color w:val="526763"/>
          <w:sz w:val="18"/>
        </w:rPr>
        <w:t>图1 工作台及业务统计</w:t>
      </w:r>
    </w:p>
    <w:p>
      <w:pPr>
        <w:pStyle w:val="Heading2"/>
      </w:pPr>
      <w:r>
        <w:t>3.2 首次体验</w:t>
      </w:r>
    </w:p>
    <w:p>
      <w:r>
        <w:rPr>
          <w:rFonts w:ascii="Arial" w:hAnsi="Arial" w:eastAsia="Noto Sans CJK SC"/>
          <w:b w:val="0"/>
          <w:sz w:val="21"/>
        </w:rPr>
        <w:t>首次使用可点击侧栏“体验模拟示例”。系统建立模拟药品的两个版本及一个比对任务，并打开变更审核页面。示例文字用于演示数字、单位、条款及章节变化，不是实际药品说明书，不得用于临床。</w:t>
      </w:r>
    </w:p>
    <w:p>
      <w:r>
        <w:rPr>
          <w:rFonts w:ascii="Arial" w:hAnsi="Arial" w:eastAsia="Noto Sans CJK SC"/>
          <w:b w:val="0"/>
          <w:sz w:val="21"/>
        </w:rPr>
        <w:t>重复点击该按钮不会反复生成同一套演示数据。此前保存的示例审核状态会保留，重新打开时不一定全部处于待复核状态。</w:t>
      </w:r>
    </w:p>
    <w:p>
      <w:pPr>
        <w:pStyle w:val="Heading2"/>
      </w:pPr>
      <w:r>
        <w:t>3.3 完整工作顺序</w:t>
      </w:r>
    </w:p>
    <w:p>
      <w:r>
        <w:rPr>
          <w:rFonts w:ascii="Arial" w:hAnsi="Arial" w:eastAsia="Noto Sans CJK SC"/>
          <w:b w:val="0"/>
          <w:sz w:val="21"/>
        </w:rPr>
        <w:t>建议依次执行：建立药品档案、导入旧版和新版、核对来源与原文、校正章节、创建比对、逐项审核、导出报告、保存原始资料和备份。创建比对后，参与该任务的章节会固定，因此应先完成章节核查，再生成正式比对任务。</w:t>
      </w:r>
    </w:p>
    <w:p>
      <w:pPr>
        <w:pStyle w:val="Heading1"/>
      </w:pPr>
      <w:r>
        <w:t>4 药品档案管理</w:t>
      </w:r>
    </w:p>
    <w:p>
      <w:pPr>
        <w:pStyle w:val="Heading2"/>
      </w:pPr>
      <w:r>
        <w:t>4.1 检索药品</w:t>
      </w:r>
    </w:p>
    <w:p>
      <w:r>
        <w:rPr>
          <w:rFonts w:ascii="Arial" w:hAnsi="Arial" w:eastAsia="Noto Sans CJK SC"/>
          <w:b w:val="0"/>
          <w:sz w:val="21"/>
        </w:rPr>
        <w:t>点击“药品与版本”进入药品列表，在搜索框输入药品名称、厂家或批准文号中的文字，列表随输入筛选。点击目标药品进入其档案，查看基本信息和说明书版本。搜索无结果时应核对关键词，或清空搜索条件恢复完整列表。</w:t>
      </w:r>
    </w:p>
    <w:p>
      <w:pPr>
        <w:keepNext/>
        <w:spacing w:line="240" w:lineRule="auto"/>
        <w:jc w:val="center"/>
      </w:pPr>
      <w:r>
        <w:drawing>
          <wp:inline xmlns:a="http://schemas.openxmlformats.org/drawingml/2006/main" xmlns:pic="http://schemas.openxmlformats.org/drawingml/2006/picture">
            <wp:extent cx="5980595" cy="4391999"/>
            <wp:docPr id="2" name="Picture 2"/>
            <wp:cNvGraphicFramePr>
              <a:graphicFrameLocks noChangeAspect="1"/>
            </wp:cNvGraphicFramePr>
            <a:graphic>
              <a:graphicData uri="http://schemas.openxmlformats.org/drawingml/2006/picture">
                <pic:pic>
                  <pic:nvPicPr>
                    <pic:cNvPr id="0" name="02_drugs.png"/>
                    <pic:cNvPicPr/>
                  </pic:nvPicPr>
                  <pic:blipFill>
                    <a:blip r:embed="rId12"/>
                    <a:stretch>
                      <a:fillRect/>
                    </a:stretch>
                  </pic:blipFill>
                  <pic:spPr>
                    <a:xfrm>
                      <a:off x="0" y="0"/>
                      <a:ext cx="5980595" cy="4391999"/>
                    </a:xfrm>
                    <a:prstGeom prst="rect"/>
                  </pic:spPr>
                </pic:pic>
              </a:graphicData>
            </a:graphic>
          </wp:inline>
        </w:drawing>
      </w:r>
    </w:p>
    <w:p>
      <w:pPr>
        <w:spacing w:after="180"/>
        <w:jc w:val="center"/>
      </w:pPr>
      <w:r>
        <w:rPr>
          <w:rFonts w:ascii="Arial" w:hAnsi="Arial" w:eastAsia="Noto Sans CJK SC"/>
          <w:b w:val="0"/>
          <w:color w:val="526763"/>
          <w:sz w:val="18"/>
        </w:rPr>
        <w:t>图2 药品档案列表与检索</w:t>
      </w:r>
    </w:p>
    <w:p>
      <w:pPr>
        <w:pStyle w:val="Heading2"/>
      </w:pPr>
      <w:r>
        <w:t>4.2 建立档案</w:t>
      </w:r>
    </w:p>
    <w:p>
      <w:r>
        <w:rPr>
          <w:rFonts w:ascii="Arial" w:hAnsi="Arial" w:eastAsia="Noto Sans CJK SC"/>
          <w:b w:val="0"/>
          <w:sz w:val="21"/>
        </w:rPr>
        <w:t>点击“新建药品”，在“建立药品档案”对话框中填写信息：</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4762"/>
            <w:vAlign w:val="center"/>
            <w:shd w:fill="E7F0EC"/>
          </w:tcPr>
          <w:p>
            <w:pPr>
              <w:spacing w:before="60" w:after="60" w:line="280" w:lineRule="exact"/>
            </w:pPr>
            <w:r>
              <w:rPr>
                <w:rFonts w:ascii="Arial" w:hAnsi="Arial" w:eastAsia="Noto Sans CJK SC"/>
                <w:b/>
                <w:sz w:val="18"/>
              </w:rPr>
              <w:t>界面字段</w:t>
            </w:r>
          </w:p>
        </w:tc>
        <w:tc>
          <w:tcPr>
            <w:tcW w:type="dxa" w:w="4762"/>
            <w:vAlign w:val="center"/>
            <w:shd w:fill="E7F0EC"/>
          </w:tcPr>
          <w:p>
            <w:pPr>
              <w:spacing w:before="60" w:after="60" w:line="280" w:lineRule="exact"/>
            </w:pPr>
            <w:r>
              <w:rPr>
                <w:rFonts w:ascii="Arial" w:hAnsi="Arial" w:eastAsia="Noto Sans CJK SC"/>
                <w:b/>
                <w:sz w:val="18"/>
              </w:rPr>
              <w:t>填写要求</w:t>
            </w:r>
          </w:p>
        </w:tc>
      </w:tr>
      <w:tr>
        <w:trPr>
          <w:cantSplit/>
        </w:trPr>
        <w:tc>
          <w:tcPr>
            <w:tcW w:type="dxa" w:w="4762"/>
            <w:vAlign w:val="center"/>
          </w:tcPr>
          <w:p>
            <w:pPr>
              <w:spacing w:before="60" w:after="60" w:line="280" w:lineRule="exact"/>
            </w:pPr>
            <w:r>
              <w:rPr>
                <w:rFonts w:ascii="Arial" w:hAnsi="Arial" w:eastAsia="Noto Sans CJK SC"/>
                <w:b w:val="0"/>
                <w:sz w:val="18"/>
              </w:rPr>
              <w:t>药品名称</w:t>
            </w:r>
          </w:p>
        </w:tc>
        <w:tc>
          <w:tcPr>
            <w:tcW w:type="dxa" w:w="4762"/>
            <w:vAlign w:val="center"/>
          </w:tcPr>
          <w:p>
            <w:pPr>
              <w:spacing w:before="60" w:after="60" w:line="280" w:lineRule="exact"/>
            </w:pPr>
            <w:r>
              <w:rPr>
                <w:rFonts w:ascii="Arial" w:hAnsi="Arial" w:eastAsia="Noto Sans CJK SC"/>
                <w:b w:val="0"/>
                <w:sz w:val="18"/>
              </w:rPr>
              <w:t>必填，用于列表、比对任务和报告展示</w:t>
            </w:r>
          </w:p>
        </w:tc>
      </w:tr>
      <w:tr>
        <w:trPr>
          <w:cantSplit/>
        </w:trPr>
        <w:tc>
          <w:tcPr>
            <w:tcW w:type="dxa" w:w="4762"/>
            <w:vAlign w:val="center"/>
          </w:tcPr>
          <w:p>
            <w:pPr>
              <w:spacing w:before="60" w:after="60" w:line="280" w:lineRule="exact"/>
            </w:pPr>
            <w:r>
              <w:rPr>
                <w:rFonts w:ascii="Arial" w:hAnsi="Arial" w:eastAsia="Noto Sans CJK SC"/>
                <w:b w:val="0"/>
                <w:sz w:val="18"/>
              </w:rPr>
              <w:t>生产厂家</w:t>
            </w:r>
          </w:p>
        </w:tc>
        <w:tc>
          <w:tcPr>
            <w:tcW w:type="dxa" w:w="4762"/>
            <w:vAlign w:val="center"/>
          </w:tcPr>
          <w:p>
            <w:pPr>
              <w:spacing w:before="60" w:after="60" w:line="280" w:lineRule="exact"/>
            </w:pPr>
            <w:r>
              <w:rPr>
                <w:rFonts w:ascii="Arial" w:hAnsi="Arial" w:eastAsia="Noto Sans CJK SC"/>
                <w:b w:val="0"/>
                <w:sz w:val="18"/>
              </w:rPr>
              <w:t>按说明书标示内容填写，可空</w:t>
            </w:r>
          </w:p>
        </w:tc>
      </w:tr>
      <w:tr>
        <w:trPr>
          <w:cantSplit/>
        </w:trPr>
        <w:tc>
          <w:tcPr>
            <w:tcW w:type="dxa" w:w="4762"/>
            <w:vAlign w:val="center"/>
          </w:tcPr>
          <w:p>
            <w:pPr>
              <w:spacing w:before="60" w:after="60" w:line="280" w:lineRule="exact"/>
            </w:pPr>
            <w:r>
              <w:rPr>
                <w:rFonts w:ascii="Arial" w:hAnsi="Arial" w:eastAsia="Noto Sans CJK SC"/>
                <w:b w:val="0"/>
                <w:sz w:val="18"/>
              </w:rPr>
              <w:t>药品规格</w:t>
            </w:r>
          </w:p>
        </w:tc>
        <w:tc>
          <w:tcPr>
            <w:tcW w:type="dxa" w:w="4762"/>
            <w:vAlign w:val="center"/>
          </w:tcPr>
          <w:p>
            <w:pPr>
              <w:spacing w:before="60" w:after="60" w:line="280" w:lineRule="exact"/>
            </w:pPr>
            <w:r>
              <w:rPr>
                <w:rFonts w:ascii="Arial" w:hAnsi="Arial" w:eastAsia="Noto Sans CJK SC"/>
                <w:b w:val="0"/>
                <w:sz w:val="18"/>
              </w:rPr>
              <w:t>按待管理资料填写，可空</w:t>
            </w:r>
          </w:p>
        </w:tc>
      </w:tr>
      <w:tr>
        <w:trPr>
          <w:cantSplit/>
        </w:trPr>
        <w:tc>
          <w:tcPr>
            <w:tcW w:type="dxa" w:w="4762"/>
            <w:vAlign w:val="center"/>
          </w:tcPr>
          <w:p>
            <w:pPr>
              <w:spacing w:before="60" w:after="60" w:line="280" w:lineRule="exact"/>
            </w:pPr>
            <w:r>
              <w:rPr>
                <w:rFonts w:ascii="Arial" w:hAnsi="Arial" w:eastAsia="Noto Sans CJK SC"/>
                <w:b w:val="0"/>
                <w:sz w:val="18"/>
              </w:rPr>
              <w:t>批准文号</w:t>
            </w:r>
          </w:p>
        </w:tc>
        <w:tc>
          <w:tcPr>
            <w:tcW w:type="dxa" w:w="4762"/>
            <w:vAlign w:val="center"/>
          </w:tcPr>
          <w:p>
            <w:pPr>
              <w:spacing w:before="60" w:after="60" w:line="280" w:lineRule="exact"/>
            </w:pPr>
            <w:r>
              <w:rPr>
                <w:rFonts w:ascii="Arial" w:hAnsi="Arial" w:eastAsia="Noto Sans CJK SC"/>
                <w:b w:val="0"/>
                <w:sz w:val="18"/>
              </w:rPr>
              <w:t>按原始资料填写，可空</w:t>
            </w:r>
          </w:p>
        </w:tc>
      </w:tr>
      <w:tr>
        <w:trPr>
          <w:cantSplit/>
        </w:trPr>
        <w:tc>
          <w:tcPr>
            <w:tcW w:type="dxa" w:w="4762"/>
            <w:vAlign w:val="center"/>
          </w:tcPr>
          <w:p>
            <w:pPr>
              <w:spacing w:before="60" w:after="60" w:line="280" w:lineRule="exact"/>
            </w:pPr>
            <w:r>
              <w:rPr>
                <w:rFonts w:ascii="Arial" w:hAnsi="Arial" w:eastAsia="Noto Sans CJK SC"/>
                <w:b w:val="0"/>
                <w:sz w:val="18"/>
              </w:rPr>
              <w:t>备注</w:t>
            </w:r>
          </w:p>
        </w:tc>
        <w:tc>
          <w:tcPr>
            <w:tcW w:type="dxa" w:w="4762"/>
            <w:vAlign w:val="center"/>
          </w:tcPr>
          <w:p>
            <w:pPr>
              <w:spacing w:before="60" w:after="60" w:line="280" w:lineRule="exact"/>
            </w:pPr>
            <w:r>
              <w:rPr>
                <w:rFonts w:ascii="Arial" w:hAnsi="Arial" w:eastAsia="Noto Sans CJK SC"/>
                <w:b w:val="0"/>
                <w:sz w:val="18"/>
              </w:rPr>
              <w:t>可记录资料用途、来源范围或其他说明</w:t>
            </w:r>
          </w:p>
        </w:tc>
      </w:tr>
    </w:tbl>
    <w:p>
      <w:pPr>
        <w:spacing w:after="0"/>
      </w:pPr>
    </w:p>
    <w:p>
      <w:pPr>
        <w:keepNext/>
        <w:spacing w:line="240" w:lineRule="auto"/>
        <w:jc w:val="center"/>
      </w:pPr>
      <w:r>
        <w:drawing>
          <wp:inline xmlns:a="http://schemas.openxmlformats.org/drawingml/2006/main" xmlns:pic="http://schemas.openxmlformats.org/drawingml/2006/picture">
            <wp:extent cx="4351829" cy="4392000"/>
            <wp:docPr id="3" name="Picture 3"/>
            <wp:cNvGraphicFramePr>
              <a:graphicFrameLocks noChangeAspect="1"/>
            </wp:cNvGraphicFramePr>
            <a:graphic>
              <a:graphicData uri="http://schemas.openxmlformats.org/drawingml/2006/picture">
                <pic:pic>
                  <pic:nvPicPr>
                    <pic:cNvPr id="0" name="03_drug_form.png"/>
                    <pic:cNvPicPr/>
                  </pic:nvPicPr>
                  <pic:blipFill>
                    <a:blip r:embed="rId13"/>
                    <a:stretch>
                      <a:fillRect/>
                    </a:stretch>
                  </pic:blipFill>
                  <pic:spPr>
                    <a:xfrm>
                      <a:off x="0" y="0"/>
                      <a:ext cx="4351829" cy="4392000"/>
                    </a:xfrm>
                    <a:prstGeom prst="rect"/>
                  </pic:spPr>
                </pic:pic>
              </a:graphicData>
            </a:graphic>
          </wp:inline>
        </w:drawing>
      </w:r>
    </w:p>
    <w:p>
      <w:pPr>
        <w:spacing w:after="180"/>
        <w:jc w:val="center"/>
      </w:pPr>
      <w:r>
        <w:rPr>
          <w:rFonts w:ascii="Arial" w:hAnsi="Arial" w:eastAsia="Noto Sans CJK SC"/>
          <w:b w:val="0"/>
          <w:color w:val="526763"/>
          <w:sz w:val="18"/>
        </w:rPr>
        <w:t>图3 建立药品档案</w:t>
      </w:r>
    </w:p>
    <w:p>
      <w:r>
        <w:rPr>
          <w:rFonts w:ascii="Arial" w:hAnsi="Arial" w:eastAsia="Noto Sans CJK SC"/>
          <w:b w:val="0"/>
          <w:sz w:val="21"/>
        </w:rPr>
        <w:t>点击“建立档案”完成保存；点击“取消”或关闭按钮放弃当前未提交内容。成功后进入药品详情，可继续导入说明书。名称仅含空格时不能提交。</w:t>
      </w:r>
    </w:p>
    <w:p>
      <w:r>
        <w:rPr>
          <w:rFonts w:ascii="Arial" w:hAnsi="Arial" w:eastAsia="Noto Sans CJK SC"/>
          <w:b w:val="0"/>
          <w:sz w:val="21"/>
        </w:rPr>
        <w:t>同一档案内的文件应由使用者确认属于需要相互比对的同一药品资料。软件不会查询监管数据库核验批准文号，也不会自动核实不同厂家或规格是否属于同一注册产品。需要区分管理时应分别建立档案。当前界面提供新增和查询，不提供药品档案的编辑或删除入口。</w:t>
      </w:r>
    </w:p>
    <w:p>
      <w:pPr>
        <w:pStyle w:val="Heading1"/>
      </w:pPr>
      <w:r>
        <w:t>5 导入和查看说明书版本</w:t>
      </w:r>
    </w:p>
    <w:p>
      <w:pPr>
        <w:pStyle w:val="Heading2"/>
      </w:pPr>
      <w:r>
        <w:t>5.1 版本信息</w:t>
      </w:r>
    </w:p>
    <w:p>
      <w:r>
        <w:rPr>
          <w:rFonts w:ascii="Arial" w:hAnsi="Arial" w:eastAsia="Noto Sans CJK SC"/>
          <w:b w:val="0"/>
          <w:sz w:val="21"/>
        </w:rPr>
        <w:t>进入药品详情，点击“导入版本”；尚无版本时也可点击“导入第一个版本”。每次导入形成一个独立版本，导入前填写版本名称、版本日期和资料来源。</w:t>
      </w:r>
    </w:p>
    <w:p>
      <w:r>
        <w:rPr>
          <w:rFonts w:ascii="Arial" w:hAnsi="Arial" w:eastAsia="Noto Sans CJK SC"/>
          <w:b w:val="0"/>
          <w:sz w:val="21"/>
        </w:rPr>
        <w:t>版本名称用于区分资料，可采用“初始版”“某年修订版”等可理解名称。版本日期应反映该份资料的实际版本信息，不应为满足比对条件随意更改。资料来源可填写发布机构、公告网址、文件编号或提供方，界面要求填写该项，报告会保留其内容。</w:t>
      </w:r>
    </w:p>
    <w:p>
      <w:pPr>
        <w:keepNext/>
        <w:spacing w:line="240" w:lineRule="auto"/>
        <w:jc w:val="center"/>
      </w:pPr>
      <w:r>
        <w:drawing>
          <wp:inline xmlns:a="http://schemas.openxmlformats.org/drawingml/2006/main" xmlns:pic="http://schemas.openxmlformats.org/drawingml/2006/picture">
            <wp:extent cx="5980595" cy="4391999"/>
            <wp:docPr id="4" name="Picture 4"/>
            <wp:cNvGraphicFramePr>
              <a:graphicFrameLocks noChangeAspect="1"/>
            </wp:cNvGraphicFramePr>
            <a:graphic>
              <a:graphicData uri="http://schemas.openxmlformats.org/drawingml/2006/picture">
                <pic:pic>
                  <pic:nvPicPr>
                    <pic:cNvPr id="0" name="04_versions.png"/>
                    <pic:cNvPicPr/>
                  </pic:nvPicPr>
                  <pic:blipFill>
                    <a:blip r:embed="rId14"/>
                    <a:stretch>
                      <a:fillRect/>
                    </a:stretch>
                  </pic:blipFill>
                  <pic:spPr>
                    <a:xfrm>
                      <a:off x="0" y="0"/>
                      <a:ext cx="5980595" cy="4391999"/>
                    </a:xfrm>
                    <a:prstGeom prst="rect"/>
                  </pic:spPr>
                </pic:pic>
              </a:graphicData>
            </a:graphic>
          </wp:inline>
        </w:drawing>
      </w:r>
    </w:p>
    <w:p>
      <w:pPr>
        <w:spacing w:after="180"/>
        <w:jc w:val="center"/>
      </w:pPr>
      <w:r>
        <w:rPr>
          <w:rFonts w:ascii="Arial" w:hAnsi="Arial" w:eastAsia="Noto Sans CJK SC"/>
          <w:b w:val="0"/>
          <w:color w:val="526763"/>
          <w:sz w:val="18"/>
        </w:rPr>
        <w:t>图4 药品详情与版本卡片</w:t>
      </w:r>
    </w:p>
    <w:p>
      <w:pPr>
        <w:pStyle w:val="Heading2"/>
      </w:pPr>
      <w:r>
        <w:t>5.2 上传文件</w:t>
      </w:r>
    </w:p>
    <w:p>
      <w:r>
        <w:rPr>
          <w:rFonts w:ascii="Arial" w:hAnsi="Arial" w:eastAsia="Noto Sans CJK SC"/>
          <w:b w:val="0"/>
          <w:sz w:val="21"/>
        </w:rPr>
        <w:t>在导入窗口选择“上传文件”，点击“选择说明书文件”并选择本地文件，然后点击“导入并识别章节”。文件须满足以下条件：</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4762"/>
            <w:vAlign w:val="center"/>
            <w:shd w:fill="E7F0EC"/>
          </w:tcPr>
          <w:p>
            <w:pPr>
              <w:spacing w:before="60" w:after="60" w:line="280" w:lineRule="exact"/>
            </w:pPr>
            <w:r>
              <w:rPr>
                <w:rFonts w:ascii="Arial" w:hAnsi="Arial" w:eastAsia="Noto Sans CJK SC"/>
                <w:b/>
                <w:sz w:val="18"/>
              </w:rPr>
              <w:t>类型或限制</w:t>
            </w:r>
          </w:p>
        </w:tc>
        <w:tc>
          <w:tcPr>
            <w:tcW w:type="dxa" w:w="4762"/>
            <w:vAlign w:val="center"/>
            <w:shd w:fill="E7F0EC"/>
          </w:tcPr>
          <w:p>
            <w:pPr>
              <w:spacing w:before="60" w:after="60" w:line="280" w:lineRule="exact"/>
            </w:pPr>
            <w:r>
              <w:rPr>
                <w:rFonts w:ascii="Arial" w:hAnsi="Arial" w:eastAsia="Noto Sans CJK SC"/>
                <w:b/>
                <w:sz w:val="18"/>
              </w:rPr>
              <w:t>本版支持范围</w:t>
            </w:r>
          </w:p>
        </w:tc>
      </w:tr>
      <w:tr>
        <w:trPr>
          <w:cantSplit/>
        </w:trPr>
        <w:tc>
          <w:tcPr>
            <w:tcW w:type="dxa" w:w="4762"/>
            <w:vAlign w:val="center"/>
          </w:tcPr>
          <w:p>
            <w:pPr>
              <w:spacing w:before="60" w:after="60" w:line="280" w:lineRule="exact"/>
            </w:pPr>
            <w:r>
              <w:rPr>
                <w:rFonts w:ascii="Arial" w:hAnsi="Arial" w:eastAsia="Noto Sans CJK SC"/>
                <w:b w:val="0"/>
                <w:sz w:val="18"/>
              </w:rPr>
              <w:t>TXT</w:t>
            </w:r>
          </w:p>
        </w:tc>
        <w:tc>
          <w:tcPr>
            <w:tcW w:type="dxa" w:w="4762"/>
            <w:vAlign w:val="center"/>
          </w:tcPr>
          <w:p>
            <w:pPr>
              <w:spacing w:before="60" w:after="60" w:line="280" w:lineRule="exact"/>
            </w:pPr>
            <w:r>
              <w:rPr>
                <w:rFonts w:ascii="Arial" w:hAnsi="Arial" w:eastAsia="Noto Sans CJK SC"/>
                <w:b w:val="0"/>
                <w:sz w:val="18"/>
              </w:rPr>
              <w:t>UTF-8 或 GB18030 编码的非空文本</w:t>
            </w:r>
          </w:p>
        </w:tc>
      </w:tr>
      <w:tr>
        <w:trPr>
          <w:cantSplit/>
        </w:trPr>
        <w:tc>
          <w:tcPr>
            <w:tcW w:type="dxa" w:w="4762"/>
            <w:vAlign w:val="center"/>
          </w:tcPr>
          <w:p>
            <w:pPr>
              <w:spacing w:before="60" w:after="60" w:line="280" w:lineRule="exact"/>
            </w:pPr>
            <w:r>
              <w:rPr>
                <w:rFonts w:ascii="Arial" w:hAnsi="Arial" w:eastAsia="Noto Sans CJK SC"/>
                <w:b w:val="0"/>
                <w:sz w:val="18"/>
              </w:rPr>
              <w:t>PDF</w:t>
            </w:r>
          </w:p>
        </w:tc>
        <w:tc>
          <w:tcPr>
            <w:tcW w:type="dxa" w:w="4762"/>
            <w:vAlign w:val="center"/>
          </w:tcPr>
          <w:p>
            <w:pPr>
              <w:spacing w:before="60" w:after="60" w:line="280" w:lineRule="exact"/>
            </w:pPr>
            <w:r>
              <w:rPr>
                <w:rFonts w:ascii="Arial" w:hAnsi="Arial" w:eastAsia="Noto Sans CJK SC"/>
                <w:b w:val="0"/>
                <w:sz w:val="18"/>
              </w:rPr>
              <w:t>不含图片、未加密且可提取文字的 PDF，最多 100 页</w:t>
            </w:r>
          </w:p>
        </w:tc>
      </w:tr>
      <w:tr>
        <w:trPr>
          <w:cantSplit/>
        </w:trPr>
        <w:tc>
          <w:tcPr>
            <w:tcW w:type="dxa" w:w="4762"/>
            <w:vAlign w:val="center"/>
          </w:tcPr>
          <w:p>
            <w:pPr>
              <w:spacing w:before="60" w:after="60" w:line="280" w:lineRule="exact"/>
            </w:pPr>
            <w:r>
              <w:rPr>
                <w:rFonts w:ascii="Arial" w:hAnsi="Arial" w:eastAsia="Noto Sans CJK SC"/>
                <w:b w:val="0"/>
                <w:sz w:val="18"/>
              </w:rPr>
              <w:t>DOCX</w:t>
            </w:r>
          </w:p>
        </w:tc>
        <w:tc>
          <w:tcPr>
            <w:tcW w:type="dxa" w:w="4762"/>
            <w:vAlign w:val="center"/>
          </w:tcPr>
          <w:p>
            <w:pPr>
              <w:spacing w:before="60" w:after="60" w:line="280" w:lineRule="exact"/>
            </w:pPr>
            <w:r>
              <w:rPr>
                <w:rFonts w:ascii="Arial" w:hAnsi="Arial" w:eastAsia="Noto Sans CJK SC"/>
                <w:b w:val="0"/>
                <w:sz w:val="18"/>
              </w:rPr>
              <w:t>可读取的 Word 文档文字，可包含表格、文本框及页眉页脚文字</w:t>
            </w:r>
          </w:p>
        </w:tc>
      </w:tr>
      <w:tr>
        <w:trPr>
          <w:cantSplit/>
        </w:trPr>
        <w:tc>
          <w:tcPr>
            <w:tcW w:type="dxa" w:w="4762"/>
            <w:vAlign w:val="center"/>
          </w:tcPr>
          <w:p>
            <w:pPr>
              <w:spacing w:before="60" w:after="60" w:line="280" w:lineRule="exact"/>
            </w:pPr>
            <w:r>
              <w:rPr>
                <w:rFonts w:ascii="Arial" w:hAnsi="Arial" w:eastAsia="Noto Sans CJK SC"/>
                <w:b w:val="0"/>
                <w:sz w:val="18"/>
              </w:rPr>
              <w:t>文件大小</w:t>
            </w:r>
          </w:p>
        </w:tc>
        <w:tc>
          <w:tcPr>
            <w:tcW w:type="dxa" w:w="4762"/>
            <w:vAlign w:val="center"/>
          </w:tcPr>
          <w:p>
            <w:pPr>
              <w:spacing w:before="60" w:after="60" w:line="280" w:lineRule="exact"/>
            </w:pPr>
            <w:r>
              <w:rPr>
                <w:rFonts w:ascii="Arial" w:hAnsi="Arial" w:eastAsia="Noto Sans CJK SC"/>
                <w:b w:val="0"/>
                <w:sz w:val="18"/>
              </w:rPr>
              <w:t>单文件不超过 10 MB</w:t>
            </w:r>
          </w:p>
        </w:tc>
      </w:tr>
      <w:tr>
        <w:trPr>
          <w:cantSplit/>
        </w:trPr>
        <w:tc>
          <w:tcPr>
            <w:tcW w:type="dxa" w:w="4762"/>
            <w:vAlign w:val="center"/>
          </w:tcPr>
          <w:p>
            <w:pPr>
              <w:spacing w:before="60" w:after="60" w:line="280" w:lineRule="exact"/>
            </w:pPr>
            <w:r>
              <w:rPr>
                <w:rFonts w:ascii="Arial" w:hAnsi="Arial" w:eastAsia="Noto Sans CJK SC"/>
                <w:b w:val="0"/>
                <w:sz w:val="18"/>
              </w:rPr>
              <w:t>提取正文</w:t>
            </w:r>
          </w:p>
        </w:tc>
        <w:tc>
          <w:tcPr>
            <w:tcW w:type="dxa" w:w="4762"/>
            <w:vAlign w:val="center"/>
          </w:tcPr>
          <w:p>
            <w:pPr>
              <w:spacing w:before="60" w:after="60" w:line="280" w:lineRule="exact"/>
            </w:pPr>
            <w:r>
              <w:rPr>
                <w:rFonts w:ascii="Arial" w:hAnsi="Arial" w:eastAsia="Noto Sans CJK SC"/>
                <w:b w:val="0"/>
                <w:sz w:val="18"/>
              </w:rPr>
              <w:t>应用接受的文本不超过 300000 个字符</w:t>
            </w:r>
          </w:p>
        </w:tc>
      </w:tr>
    </w:tbl>
    <w:p>
      <w:pPr>
        <w:spacing w:after="0"/>
      </w:pPr>
    </w:p>
    <w:p>
      <w:pPr>
        <w:keepNext/>
        <w:spacing w:line="240" w:lineRule="auto"/>
        <w:jc w:val="center"/>
      </w:pPr>
      <w:r>
        <w:drawing>
          <wp:inline xmlns:a="http://schemas.openxmlformats.org/drawingml/2006/main" xmlns:pic="http://schemas.openxmlformats.org/drawingml/2006/picture">
            <wp:extent cx="4223076" cy="4391999"/>
            <wp:docPr id="5" name="Picture 5"/>
            <wp:cNvGraphicFramePr>
              <a:graphicFrameLocks noChangeAspect="1"/>
            </wp:cNvGraphicFramePr>
            <a:graphic>
              <a:graphicData uri="http://schemas.openxmlformats.org/drawingml/2006/picture">
                <pic:pic>
                  <pic:nvPicPr>
                    <pic:cNvPr id="0" name="05_import_file.png"/>
                    <pic:cNvPicPr/>
                  </pic:nvPicPr>
                  <pic:blipFill>
                    <a:blip r:embed="rId15"/>
                    <a:stretch>
                      <a:fillRect/>
                    </a:stretch>
                  </pic:blipFill>
                  <pic:spPr>
                    <a:xfrm>
                      <a:off x="0" y="0"/>
                      <a:ext cx="4223076" cy="4391999"/>
                    </a:xfrm>
                    <a:prstGeom prst="rect"/>
                  </pic:spPr>
                </pic:pic>
              </a:graphicData>
            </a:graphic>
          </wp:inline>
        </w:drawing>
      </w:r>
    </w:p>
    <w:p>
      <w:pPr>
        <w:spacing w:after="180"/>
        <w:jc w:val="center"/>
      </w:pPr>
      <w:r>
        <w:rPr>
          <w:rFonts w:ascii="Arial" w:hAnsi="Arial" w:eastAsia="Noto Sans CJK SC"/>
          <w:b w:val="0"/>
          <w:color w:val="526763"/>
          <w:sz w:val="18"/>
        </w:rPr>
        <w:t>图5 上传说明书文件</w:t>
      </w:r>
    </w:p>
    <w:p>
      <w:r>
        <w:rPr>
          <w:rFonts w:ascii="Arial" w:hAnsi="Arial" w:eastAsia="Noto Sans CJK SC"/>
          <w:b w:val="0"/>
          <w:sz w:val="21"/>
        </w:rPr>
        <w:t>首版不支持 DOC、图片或扫描件 OCR。含图片的 PDF 会被拒绝，包括有可提取页码但正文为扫描图像、含图片页眉或标志的文件。此时应先在外部工具中转换为完整文字，再与原件核对后导入 TXT 或 DOCX。DOCX 中的图片文字不会自动识别；有关键内容位于图片中时，应先转为经核对的文字资料。</w:t>
      </w:r>
    </w:p>
    <w:p>
      <w:r>
        <w:rPr>
          <w:rFonts w:ascii="Arial" w:hAnsi="Arial" w:eastAsia="Noto Sans CJK SC"/>
          <w:b w:val="0"/>
          <w:sz w:val="21"/>
        </w:rPr>
        <w:t>含未处理修订、脚注或尾注的 DOCX 需先处理或转成包含完整内容的文本。损坏文件、异常压缩文件或空文件不能导入。程序不会因文件扩展名正确而保证其内容可读取。</w:t>
      </w:r>
    </w:p>
    <w:p>
      <w:r>
        <w:rPr>
          <w:rFonts w:ascii="Arial" w:hAnsi="Arial" w:eastAsia="Noto Sans CJK SC"/>
          <w:b w:val="0"/>
          <w:sz w:val="21"/>
        </w:rPr>
        <w:t>导入成功后，系统保存原始资料并打开章节查看窗口。请先核对提取结果，再关闭窗口继续导入下一版。若显示错误提示，修正文件或输入内容后重试；不要仅凭文件选择框中已有文件就认为导入成功。</w:t>
      </w:r>
    </w:p>
    <w:p>
      <w:pPr>
        <w:pStyle w:val="Heading2"/>
      </w:pPr>
      <w:r>
        <w:t>5.3 粘贴文本</w:t>
      </w:r>
    </w:p>
    <w:p>
      <w:r>
        <w:rPr>
          <w:rFonts w:ascii="Arial" w:hAnsi="Arial" w:eastAsia="Noto Sans CJK SC"/>
          <w:b w:val="0"/>
          <w:sz w:val="21"/>
        </w:rPr>
        <w:t>在导入窗口选择“粘贴文本”，保留版本名称、日期和来源，将完整正文粘贴到“说明书原文”。应保留“【药品名称】”“【用法用量】”等章节标题及必要换行。确认正文非空后点击“导入并识别章节”。</w:t>
      </w:r>
    </w:p>
    <w:p>
      <w:pPr>
        <w:keepNext/>
        <w:spacing w:line="240" w:lineRule="auto"/>
        <w:jc w:val="center"/>
      </w:pPr>
      <w:r>
        <w:drawing>
          <wp:inline xmlns:a="http://schemas.openxmlformats.org/drawingml/2006/main" xmlns:pic="http://schemas.openxmlformats.org/drawingml/2006/picture">
            <wp:extent cx="3756315" cy="4391999"/>
            <wp:docPr id="6" name="Picture 6"/>
            <wp:cNvGraphicFramePr>
              <a:graphicFrameLocks noChangeAspect="1"/>
            </wp:cNvGraphicFramePr>
            <a:graphic>
              <a:graphicData uri="http://schemas.openxmlformats.org/drawingml/2006/picture">
                <pic:pic>
                  <pic:nvPicPr>
                    <pic:cNvPr id="0" name="06_import_text.png"/>
                    <pic:cNvPicPr/>
                  </pic:nvPicPr>
                  <pic:blipFill>
                    <a:blip r:embed="rId16"/>
                    <a:stretch>
                      <a:fillRect/>
                    </a:stretch>
                  </pic:blipFill>
                  <pic:spPr>
                    <a:xfrm>
                      <a:off x="0" y="0"/>
                      <a:ext cx="3756315" cy="4391999"/>
                    </a:xfrm>
                    <a:prstGeom prst="rect"/>
                  </pic:spPr>
                </pic:pic>
              </a:graphicData>
            </a:graphic>
          </wp:inline>
        </w:drawing>
      </w:r>
    </w:p>
    <w:p>
      <w:pPr>
        <w:spacing w:after="180"/>
        <w:jc w:val="center"/>
      </w:pPr>
      <w:r>
        <w:rPr>
          <w:rFonts w:ascii="Arial" w:hAnsi="Arial" w:eastAsia="Noto Sans CJK SC"/>
          <w:b w:val="0"/>
          <w:color w:val="526763"/>
          <w:sz w:val="18"/>
        </w:rPr>
        <w:t>图6 粘贴说明书原文</w:t>
      </w:r>
    </w:p>
    <w:p>
      <w:r>
        <w:rPr>
          <w:rFonts w:ascii="Arial" w:hAnsi="Arial" w:eastAsia="Noto Sans CJK SC"/>
          <w:b w:val="0"/>
          <w:sz w:val="21"/>
        </w:rPr>
        <w:t>粘贴内容将以文本形式保存为该版本的原始资料。粘贴前应核查复制过程中是否遗漏表格、符号、脚注或分页内容；模拟资料应在正文或来源中明确标注。</w:t>
      </w:r>
    </w:p>
    <w:p>
      <w:pPr>
        <w:pStyle w:val="Heading2"/>
      </w:pPr>
      <w:r>
        <w:t>5.4 查看版本资料</w:t>
      </w:r>
    </w:p>
    <w:p>
      <w:r>
        <w:rPr>
          <w:rFonts w:ascii="Arial" w:hAnsi="Arial" w:eastAsia="Noto Sans CJK SC"/>
          <w:b w:val="0"/>
          <w:sz w:val="21"/>
        </w:rPr>
        <w:t>药品详情中的版本卡片显示版本名称、日期、文件、来源、章节数和文件摘要前缀。点击“原始文件”下载保存的文件；点击“查看与校正”打开版本窗口。窗口提供“章节与校正”“原始提取文本”“来源与文件”三个选项。</w:t>
      </w:r>
    </w:p>
    <w:p>
      <w:r>
        <w:rPr>
          <w:rFonts w:ascii="Arial" w:hAnsi="Arial" w:eastAsia="Noto Sans CJK SC"/>
          <w:b w:val="0"/>
          <w:sz w:val="21"/>
        </w:rPr>
        <w:t>“原始提取文本”用于核对解析后的全文。其换行和阅读顺序可能与 PDF 版面不同，必须结合原文件检查。“来源与文件”显示资料来源、完整 SHA-256 及导入时间，并提供“下载原始文件”。摘要用于核对文件内容，不能证明来源真实或监管核准状态。</w:t>
      </w:r>
    </w:p>
    <w:p>
      <w:pPr>
        <w:keepNext/>
        <w:spacing w:line="240" w:lineRule="auto"/>
        <w:jc w:val="center"/>
      </w:pPr>
      <w:r>
        <w:drawing>
          <wp:inline xmlns:a="http://schemas.openxmlformats.org/drawingml/2006/main" xmlns:pic="http://schemas.openxmlformats.org/drawingml/2006/picture">
            <wp:extent cx="6012000" cy="3837447"/>
            <wp:docPr id="7" name="Picture 7"/>
            <wp:cNvGraphicFramePr>
              <a:graphicFrameLocks noChangeAspect="1"/>
            </wp:cNvGraphicFramePr>
            <a:graphic>
              <a:graphicData uri="http://schemas.openxmlformats.org/drawingml/2006/picture">
                <pic:pic>
                  <pic:nvPicPr>
                    <pic:cNvPr id="0" name="08_raw_text.png"/>
                    <pic:cNvPicPr/>
                  </pic:nvPicPr>
                  <pic:blipFill>
                    <a:blip r:embed="rId17"/>
                    <a:stretch>
                      <a:fillRect/>
                    </a:stretch>
                  </pic:blipFill>
                  <pic:spPr>
                    <a:xfrm>
                      <a:off x="0" y="0"/>
                      <a:ext cx="6012000" cy="3837447"/>
                    </a:xfrm>
                    <a:prstGeom prst="rect"/>
                  </pic:spPr>
                </pic:pic>
              </a:graphicData>
            </a:graphic>
          </wp:inline>
        </w:drawing>
      </w:r>
    </w:p>
    <w:p>
      <w:pPr>
        <w:spacing w:after="180"/>
        <w:jc w:val="center"/>
      </w:pPr>
      <w:r>
        <w:rPr>
          <w:rFonts w:ascii="Arial" w:hAnsi="Arial" w:eastAsia="Noto Sans CJK SC"/>
          <w:b w:val="0"/>
          <w:color w:val="526763"/>
          <w:sz w:val="18"/>
        </w:rPr>
        <w:t>图7 原始提取文本</w:t>
      </w:r>
    </w:p>
    <w:p>
      <w:pPr>
        <w:keepNext/>
        <w:spacing w:line="240" w:lineRule="auto"/>
        <w:jc w:val="center"/>
      </w:pPr>
      <w:r>
        <w:drawing>
          <wp:inline xmlns:a="http://schemas.openxmlformats.org/drawingml/2006/main" xmlns:pic="http://schemas.openxmlformats.org/drawingml/2006/picture">
            <wp:extent cx="6012000" cy="3031583"/>
            <wp:docPr id="8" name="Picture 8"/>
            <wp:cNvGraphicFramePr>
              <a:graphicFrameLocks noChangeAspect="1"/>
            </wp:cNvGraphicFramePr>
            <a:graphic>
              <a:graphicData uri="http://schemas.openxmlformats.org/drawingml/2006/picture">
                <pic:pic>
                  <pic:nvPicPr>
                    <pic:cNvPr id="0" name="09_source.png"/>
                    <pic:cNvPicPr/>
                  </pic:nvPicPr>
                  <pic:blipFill>
                    <a:blip r:embed="rId18"/>
                    <a:stretch>
                      <a:fillRect/>
                    </a:stretch>
                  </pic:blipFill>
                  <pic:spPr>
                    <a:xfrm>
                      <a:off x="0" y="0"/>
                      <a:ext cx="6012000" cy="3031583"/>
                    </a:xfrm>
                    <a:prstGeom prst="rect"/>
                  </pic:spPr>
                </pic:pic>
              </a:graphicData>
            </a:graphic>
          </wp:inline>
        </w:drawing>
      </w:r>
    </w:p>
    <w:p>
      <w:pPr>
        <w:spacing w:after="180"/>
        <w:jc w:val="center"/>
      </w:pPr>
      <w:r>
        <w:rPr>
          <w:rFonts w:ascii="Arial" w:hAnsi="Arial" w:eastAsia="Noto Sans CJK SC"/>
          <w:b w:val="0"/>
          <w:color w:val="526763"/>
          <w:sz w:val="18"/>
        </w:rPr>
        <w:t>图8 资料来源与原始文件</w:t>
      </w:r>
    </w:p>
    <w:p>
      <w:pPr>
        <w:pStyle w:val="Heading1"/>
      </w:pPr>
      <w:r>
        <w:t>6 检查和校正章节</w:t>
      </w:r>
    </w:p>
    <w:p>
      <w:r>
        <w:rPr>
          <w:rFonts w:ascii="Arial" w:hAnsi="Arial" w:eastAsia="Noto Sans CJK SC"/>
          <w:b w:val="0"/>
          <w:sz w:val="21"/>
        </w:rPr>
        <w:t>在版本窗口选择“章节与校正”，逐项检查章节标题和正文。系统可以识别常见说明书标题，并保留未被标准标题覆盖的文字及重复标题。自动识别结果可能受排版影响，不能代替原件核对。</w:t>
      </w:r>
    </w:p>
    <w:p>
      <w:pPr>
        <w:keepNext/>
        <w:spacing w:line="240" w:lineRule="auto"/>
        <w:jc w:val="center"/>
      </w:pPr>
      <w:r>
        <w:drawing>
          <wp:inline xmlns:a="http://schemas.openxmlformats.org/drawingml/2006/main" xmlns:pic="http://schemas.openxmlformats.org/drawingml/2006/picture">
            <wp:extent cx="5980595" cy="4391999"/>
            <wp:docPr id="9" name="Picture 9"/>
            <wp:cNvGraphicFramePr>
              <a:graphicFrameLocks noChangeAspect="1"/>
            </wp:cNvGraphicFramePr>
            <a:graphic>
              <a:graphicData uri="http://schemas.openxmlformats.org/drawingml/2006/picture">
                <pic:pic>
                  <pic:nvPicPr>
                    <pic:cNvPr id="0" name="07_sections.png"/>
                    <pic:cNvPicPr/>
                  </pic:nvPicPr>
                  <pic:blipFill>
                    <a:blip r:embed="rId19"/>
                    <a:stretch>
                      <a:fillRect/>
                    </a:stretch>
                  </pic:blipFill>
                  <pic:spPr>
                    <a:xfrm>
                      <a:off x="0" y="0"/>
                      <a:ext cx="5980595" cy="4391999"/>
                    </a:xfrm>
                    <a:prstGeom prst="rect"/>
                  </pic:spPr>
                </pic:pic>
              </a:graphicData>
            </a:graphic>
          </wp:inline>
        </w:drawing>
      </w:r>
    </w:p>
    <w:p>
      <w:pPr>
        <w:spacing w:after="180"/>
        <w:jc w:val="center"/>
      </w:pPr>
      <w:r>
        <w:rPr>
          <w:rFonts w:ascii="Arial" w:hAnsi="Arial" w:eastAsia="Noto Sans CJK SC"/>
          <w:b w:val="0"/>
          <w:color w:val="526763"/>
          <w:sz w:val="18"/>
        </w:rPr>
        <w:t>图9 章节查看与人工校正</w:t>
      </w:r>
    </w:p>
    <w:p>
      <w:r>
        <w:rPr>
          <w:rFonts w:ascii="Arial" w:hAnsi="Arial" w:eastAsia="Noto Sans CJK SC"/>
          <w:b w:val="0"/>
          <w:sz w:val="21"/>
        </w:rPr>
        <w:t>校正时可修改标题及正文，点击“添加章节”增加内容，或使用章节旁的移除按钮调整结构。移除含正文的章节会出现确认提示；至少需要保留一个章节，且界面要求至少有一个章节含正文。确认各项内容后点击“保存章节校正”。保存完成后窗口展示更新后的结构及人工校正提示。</w:t>
      </w:r>
    </w:p>
    <w:p>
      <w:r>
        <w:rPr>
          <w:rFonts w:ascii="Arial" w:hAnsi="Arial" w:eastAsia="Noto Sans CJK SC"/>
          <w:b w:val="0"/>
          <w:sz w:val="21"/>
        </w:rPr>
        <w:t>应重点检查数字、小数点、计量单位、否定词、特殊人群条款、表格文字和跨页内容。校正的目的是恢复资料的正确结构和文字，不能通过改写内容掩盖真实版本差异。</w:t>
      </w:r>
    </w:p>
    <w:p>
      <w:r>
        <w:rPr>
          <w:rFonts w:ascii="Arial" w:hAnsi="Arial" w:eastAsia="Noto Sans CJK SC"/>
          <w:b w:val="0"/>
          <w:sz w:val="21"/>
        </w:rPr>
        <w:t>校正不会替换原始文件或原始提取文本，系统另行记录章节修改。经过人工校正的章节在比对中显示“手工校正章节”，不再把位置当作原文行号。</w:t>
      </w:r>
    </w:p>
    <w:p>
      <w:r>
        <w:rPr>
          <w:rFonts w:ascii="Arial" w:hAnsi="Arial" w:eastAsia="Noto Sans CJK SC"/>
          <w:b w:val="0"/>
          <w:sz w:val="21"/>
        </w:rPr>
        <w:t>版本首次用于比对后，系统拒绝修改其章节，以保持历史审核依据。需要纠正已锁定版本时，应将更正资料作为新版本导入，再创建新的比对任务。仅关闭提示、刷新页面或重新打开窗口不会解除此限制。</w:t>
      </w:r>
    </w:p>
    <w:p>
      <w:pPr>
        <w:pStyle w:val="Heading1"/>
      </w:pPr>
      <w:r>
        <w:t>7 创建和阅读版本比对</w:t>
      </w:r>
    </w:p>
    <w:p>
      <w:pPr>
        <w:pStyle w:val="Heading2"/>
      </w:pPr>
      <w:r>
        <w:t>7.1 创建任务</w:t>
      </w:r>
    </w:p>
    <w:p>
      <w:r>
        <w:rPr>
          <w:rFonts w:ascii="Arial" w:hAnsi="Arial" w:eastAsia="Noto Sans CJK SC"/>
          <w:b w:val="0"/>
          <w:sz w:val="21"/>
        </w:rPr>
        <w:t>同一药品至少有两个版本后，在详情页点击“创建比对”。在对话框中选择“旧版说明书”和“新版说明书”，确认无误后点击“生成章节比对”。两个版本必须不同，旧版日期不能晚于新版日期。</w:t>
      </w:r>
    </w:p>
    <w:p>
      <w:pPr>
        <w:keepNext/>
        <w:spacing w:line="240" w:lineRule="auto"/>
        <w:jc w:val="center"/>
      </w:pPr>
      <w:r>
        <w:drawing>
          <wp:inline xmlns:a="http://schemas.openxmlformats.org/drawingml/2006/main" xmlns:pic="http://schemas.openxmlformats.org/drawingml/2006/picture">
            <wp:extent cx="6012000" cy="4291643"/>
            <wp:docPr id="10" name="Picture 10"/>
            <wp:cNvGraphicFramePr>
              <a:graphicFrameLocks noChangeAspect="1"/>
            </wp:cNvGraphicFramePr>
            <a:graphic>
              <a:graphicData uri="http://schemas.openxmlformats.org/drawingml/2006/picture">
                <pic:pic>
                  <pic:nvPicPr>
                    <pic:cNvPr id="0" name="10_compare_form.png"/>
                    <pic:cNvPicPr/>
                  </pic:nvPicPr>
                  <pic:blipFill>
                    <a:blip r:embed="rId20"/>
                    <a:stretch>
                      <a:fillRect/>
                    </a:stretch>
                  </pic:blipFill>
                  <pic:spPr>
                    <a:xfrm>
                      <a:off x="0" y="0"/>
                      <a:ext cx="6012000" cy="4291643"/>
                    </a:xfrm>
                    <a:prstGeom prst="rect"/>
                  </pic:spPr>
                </pic:pic>
              </a:graphicData>
            </a:graphic>
          </wp:inline>
        </w:drawing>
      </w:r>
    </w:p>
    <w:p>
      <w:pPr>
        <w:spacing w:after="180"/>
        <w:jc w:val="center"/>
      </w:pPr>
      <w:r>
        <w:rPr>
          <w:rFonts w:ascii="Arial" w:hAnsi="Arial" w:eastAsia="Noto Sans CJK SC"/>
          <w:b w:val="0"/>
          <w:color w:val="526763"/>
          <w:sz w:val="18"/>
        </w:rPr>
        <w:t>图10 选择新旧版本创建比对</w:t>
      </w:r>
    </w:p>
    <w:p>
      <w:r>
        <w:rPr>
          <w:rFonts w:ascii="Arial" w:hAnsi="Arial" w:eastAsia="Noto Sans CJK SC"/>
          <w:b w:val="0"/>
          <w:sz w:val="21"/>
        </w:rPr>
        <w:t>系统完成比对后打开审核页面。任务保存在“比对与审核”中，可通过药品名称或版本文字检索，并按“全部任务”“有待复核变更”“已完成复核”筛选。重复对同一对版本建立比对会形成独立任务，其审核状态分别保存。</w:t>
      </w:r>
    </w:p>
    <w:p>
      <w:pPr>
        <w:pStyle w:val="Heading2"/>
      </w:pPr>
      <w:r>
        <w:t>7.2 阅读差异</w:t>
      </w:r>
    </w:p>
    <w:p>
      <w:r>
        <w:rPr>
          <w:rFonts w:ascii="Arial" w:hAnsi="Arial" w:eastAsia="Noto Sans CJK SC"/>
          <w:b w:val="0"/>
          <w:sz w:val="21"/>
        </w:rPr>
        <w:t>页面顶部显示版本名称、日期、变更章节数、内容一致的章节数和审核完成度。每张差异卡片显示章节名称、变化类型、提示、两版文字及位置。左侧为旧版，右侧为新版；红色标识删除，绿色标识新增。</w:t>
      </w:r>
    </w:p>
    <w:p>
      <w:pPr>
        <w:keepNext/>
        <w:spacing w:line="240" w:lineRule="auto"/>
        <w:jc w:val="center"/>
      </w:pPr>
      <w:r>
        <w:drawing>
          <wp:inline xmlns:a="http://schemas.openxmlformats.org/drawingml/2006/main" xmlns:pic="http://schemas.openxmlformats.org/drawingml/2006/picture">
            <wp:extent cx="5980595" cy="4391999"/>
            <wp:docPr id="11" name="Picture 11"/>
            <wp:cNvGraphicFramePr>
              <a:graphicFrameLocks noChangeAspect="1"/>
            </wp:cNvGraphicFramePr>
            <a:graphic>
              <a:graphicData uri="http://schemas.openxmlformats.org/drawingml/2006/picture">
                <pic:pic>
                  <pic:nvPicPr>
                    <pic:cNvPr id="0" name="11_comparison.png"/>
                    <pic:cNvPicPr/>
                  </pic:nvPicPr>
                  <pic:blipFill>
                    <a:blip r:embed="rId21"/>
                    <a:stretch>
                      <a:fillRect/>
                    </a:stretch>
                  </pic:blipFill>
                  <pic:spPr>
                    <a:xfrm>
                      <a:off x="0" y="0"/>
                      <a:ext cx="5980595" cy="4391999"/>
                    </a:xfrm>
                    <a:prstGeom prst="rect"/>
                  </pic:spPr>
                </pic:pic>
              </a:graphicData>
            </a:graphic>
          </wp:inline>
        </w:drawing>
      </w:r>
    </w:p>
    <w:p>
      <w:pPr>
        <w:spacing w:after="180"/>
        <w:jc w:val="center"/>
      </w:pPr>
      <w:r>
        <w:rPr>
          <w:rFonts w:ascii="Arial" w:hAnsi="Arial" w:eastAsia="Noto Sans CJK SC"/>
          <w:b w:val="0"/>
          <w:color w:val="526763"/>
          <w:sz w:val="18"/>
        </w:rPr>
        <w:t>图11 章节差异与位置对照</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4762"/>
            <w:vAlign w:val="center"/>
            <w:shd w:fill="E7F0EC"/>
          </w:tcPr>
          <w:p>
            <w:pPr>
              <w:spacing w:before="60" w:after="60" w:line="280" w:lineRule="exact"/>
            </w:pPr>
            <w:r>
              <w:rPr>
                <w:rFonts w:ascii="Arial" w:hAnsi="Arial" w:eastAsia="Noto Sans CJK SC"/>
                <w:b/>
                <w:sz w:val="18"/>
              </w:rPr>
              <w:t>差异或提示</w:t>
            </w:r>
          </w:p>
        </w:tc>
        <w:tc>
          <w:tcPr>
            <w:tcW w:type="dxa" w:w="4762"/>
            <w:vAlign w:val="center"/>
            <w:shd w:fill="E7F0EC"/>
          </w:tcPr>
          <w:p>
            <w:pPr>
              <w:spacing w:before="60" w:after="60" w:line="280" w:lineRule="exact"/>
            </w:pPr>
            <w:r>
              <w:rPr>
                <w:rFonts w:ascii="Arial" w:hAnsi="Arial" w:eastAsia="Noto Sans CJK SC"/>
                <w:b/>
                <w:sz w:val="18"/>
              </w:rPr>
              <w:t>阅读方法</w:t>
            </w:r>
          </w:p>
        </w:tc>
      </w:tr>
      <w:tr>
        <w:trPr>
          <w:cantSplit/>
        </w:trPr>
        <w:tc>
          <w:tcPr>
            <w:tcW w:type="dxa" w:w="4762"/>
            <w:vAlign w:val="center"/>
          </w:tcPr>
          <w:p>
            <w:pPr>
              <w:spacing w:before="60" w:after="60" w:line="280" w:lineRule="exact"/>
            </w:pPr>
            <w:r>
              <w:rPr>
                <w:rFonts w:ascii="Arial" w:hAnsi="Arial" w:eastAsia="Noto Sans CJK SC"/>
                <w:b w:val="0"/>
                <w:sz w:val="18"/>
              </w:rPr>
              <w:t>新增</w:t>
            </w:r>
          </w:p>
        </w:tc>
        <w:tc>
          <w:tcPr>
            <w:tcW w:type="dxa" w:w="4762"/>
            <w:vAlign w:val="center"/>
          </w:tcPr>
          <w:p>
            <w:pPr>
              <w:spacing w:before="60" w:after="60" w:line="280" w:lineRule="exact"/>
            </w:pPr>
            <w:r>
              <w:rPr>
                <w:rFonts w:ascii="Arial" w:hAnsi="Arial" w:eastAsia="Noto Sans CJK SC"/>
                <w:b w:val="0"/>
                <w:sz w:val="18"/>
              </w:rPr>
              <w:t>新版出现而旧版无对应内容的章节</w:t>
            </w:r>
          </w:p>
        </w:tc>
      </w:tr>
      <w:tr>
        <w:trPr>
          <w:cantSplit/>
        </w:trPr>
        <w:tc>
          <w:tcPr>
            <w:tcW w:type="dxa" w:w="4762"/>
            <w:vAlign w:val="center"/>
          </w:tcPr>
          <w:p>
            <w:pPr>
              <w:spacing w:before="60" w:after="60" w:line="280" w:lineRule="exact"/>
            </w:pPr>
            <w:r>
              <w:rPr>
                <w:rFonts w:ascii="Arial" w:hAnsi="Arial" w:eastAsia="Noto Sans CJK SC"/>
                <w:b w:val="0"/>
                <w:sz w:val="18"/>
              </w:rPr>
              <w:t>删除</w:t>
            </w:r>
          </w:p>
        </w:tc>
        <w:tc>
          <w:tcPr>
            <w:tcW w:type="dxa" w:w="4762"/>
            <w:vAlign w:val="center"/>
          </w:tcPr>
          <w:p>
            <w:pPr>
              <w:spacing w:before="60" w:after="60" w:line="280" w:lineRule="exact"/>
            </w:pPr>
            <w:r>
              <w:rPr>
                <w:rFonts w:ascii="Arial" w:hAnsi="Arial" w:eastAsia="Noto Sans CJK SC"/>
                <w:b w:val="0"/>
                <w:sz w:val="18"/>
              </w:rPr>
              <w:t>旧版存在而新版无对应内容的章节</w:t>
            </w:r>
          </w:p>
        </w:tc>
      </w:tr>
      <w:tr>
        <w:trPr>
          <w:cantSplit/>
        </w:trPr>
        <w:tc>
          <w:tcPr>
            <w:tcW w:type="dxa" w:w="4762"/>
            <w:vAlign w:val="center"/>
          </w:tcPr>
          <w:p>
            <w:pPr>
              <w:spacing w:before="60" w:after="60" w:line="280" w:lineRule="exact"/>
            </w:pPr>
            <w:r>
              <w:rPr>
                <w:rFonts w:ascii="Arial" w:hAnsi="Arial" w:eastAsia="Noto Sans CJK SC"/>
                <w:b w:val="0"/>
                <w:sz w:val="18"/>
              </w:rPr>
              <w:t>修改</w:t>
            </w:r>
          </w:p>
        </w:tc>
        <w:tc>
          <w:tcPr>
            <w:tcW w:type="dxa" w:w="4762"/>
            <w:vAlign w:val="center"/>
          </w:tcPr>
          <w:p>
            <w:pPr>
              <w:spacing w:before="60" w:after="60" w:line="280" w:lineRule="exact"/>
            </w:pPr>
            <w:r>
              <w:rPr>
                <w:rFonts w:ascii="Arial" w:hAnsi="Arial" w:eastAsia="Noto Sans CJK SC"/>
                <w:b w:val="0"/>
                <w:sz w:val="18"/>
              </w:rPr>
              <w:t>对齐章节的正文发生变化</w:t>
            </w:r>
          </w:p>
        </w:tc>
      </w:tr>
      <w:tr>
        <w:trPr>
          <w:cantSplit/>
        </w:trPr>
        <w:tc>
          <w:tcPr>
            <w:tcW w:type="dxa" w:w="4762"/>
            <w:vAlign w:val="center"/>
          </w:tcPr>
          <w:p>
            <w:pPr>
              <w:spacing w:before="60" w:after="60" w:line="280" w:lineRule="exact"/>
            </w:pPr>
            <w:r>
              <w:rPr>
                <w:rFonts w:ascii="Arial" w:hAnsi="Arial" w:eastAsia="Noto Sans CJK SC"/>
                <w:b w:val="0"/>
                <w:sz w:val="18"/>
              </w:rPr>
              <w:t>重点复核</w:t>
            </w:r>
          </w:p>
        </w:tc>
        <w:tc>
          <w:tcPr>
            <w:tcW w:type="dxa" w:w="4762"/>
            <w:vAlign w:val="center"/>
          </w:tcPr>
          <w:p>
            <w:pPr>
              <w:spacing w:before="60" w:after="60" w:line="280" w:lineRule="exact"/>
            </w:pPr>
            <w:r>
              <w:rPr>
                <w:rFonts w:ascii="Arial" w:hAnsi="Arial" w:eastAsia="Noto Sans CJK SC"/>
                <w:b w:val="0"/>
                <w:sz w:val="18"/>
              </w:rPr>
              <w:t>重点章节或数字、单位等发生规则识别的变化</w:t>
            </w:r>
          </w:p>
        </w:tc>
      </w:tr>
      <w:tr>
        <w:trPr>
          <w:cantSplit/>
        </w:trPr>
        <w:tc>
          <w:tcPr>
            <w:tcW w:type="dxa" w:w="4762"/>
            <w:vAlign w:val="center"/>
          </w:tcPr>
          <w:p>
            <w:pPr>
              <w:spacing w:before="60" w:after="60" w:line="280" w:lineRule="exact"/>
            </w:pPr>
            <w:r>
              <w:rPr>
                <w:rFonts w:ascii="Arial" w:hAnsi="Arial" w:eastAsia="Noto Sans CJK SC"/>
                <w:b w:val="0"/>
                <w:sz w:val="18"/>
              </w:rPr>
              <w:t>提取文本行号</w:t>
            </w:r>
          </w:p>
        </w:tc>
        <w:tc>
          <w:tcPr>
            <w:tcW w:type="dxa" w:w="4762"/>
            <w:vAlign w:val="center"/>
          </w:tcPr>
          <w:p>
            <w:pPr>
              <w:spacing w:before="60" w:after="60" w:line="280" w:lineRule="exact"/>
            </w:pPr>
            <w:r>
              <w:rPr>
                <w:rFonts w:ascii="Arial" w:hAnsi="Arial" w:eastAsia="Noto Sans CJK SC"/>
                <w:b w:val="0"/>
                <w:sz w:val="18"/>
              </w:rPr>
              <w:t>对应提取后的文本行，不是 PDF 页面坐标</w:t>
            </w:r>
          </w:p>
        </w:tc>
      </w:tr>
      <w:tr>
        <w:trPr>
          <w:cantSplit/>
        </w:trPr>
        <w:tc>
          <w:tcPr>
            <w:tcW w:type="dxa" w:w="4762"/>
            <w:vAlign w:val="center"/>
          </w:tcPr>
          <w:p>
            <w:pPr>
              <w:spacing w:before="60" w:after="60" w:line="280" w:lineRule="exact"/>
            </w:pPr>
            <w:r>
              <w:rPr>
                <w:rFonts w:ascii="Arial" w:hAnsi="Arial" w:eastAsia="Noto Sans CJK SC"/>
                <w:b w:val="0"/>
                <w:sz w:val="18"/>
              </w:rPr>
              <w:t>手工校正章节</w:t>
            </w:r>
          </w:p>
        </w:tc>
        <w:tc>
          <w:tcPr>
            <w:tcW w:type="dxa" w:w="4762"/>
            <w:vAlign w:val="center"/>
          </w:tcPr>
          <w:p>
            <w:pPr>
              <w:spacing w:before="60" w:after="60" w:line="280" w:lineRule="exact"/>
            </w:pPr>
            <w:r>
              <w:rPr>
                <w:rFonts w:ascii="Arial" w:hAnsi="Arial" w:eastAsia="Noto Sans CJK SC"/>
                <w:b w:val="0"/>
                <w:sz w:val="18"/>
              </w:rPr>
              <w:t>章节经过人工修改，需要结合原始文件核查</w:t>
            </w:r>
          </w:p>
        </w:tc>
      </w:tr>
    </w:tbl>
    <w:p>
      <w:pPr>
        <w:spacing w:after="0"/>
      </w:pPr>
    </w:p>
    <w:p>
      <w:r>
        <w:rPr>
          <w:rFonts w:ascii="Arial" w:hAnsi="Arial" w:eastAsia="Noto Sans CJK SC"/>
          <w:b w:val="0"/>
          <w:sz w:val="21"/>
        </w:rPr>
        <w:t>可用“全部变更”“待复核”“已确认”“已忽略”切换状态，也可按“全部优先级”“重点复核”“常规复核”筛选。筛选只改变当前显示范围，不删除任务中的变化。</w:t>
      </w:r>
    </w:p>
    <w:p>
      <w:r>
        <w:rPr>
          <w:rFonts w:ascii="Arial" w:hAnsi="Arial" w:eastAsia="Noto Sans CJK SC"/>
          <w:b w:val="0"/>
          <w:sz w:val="21"/>
        </w:rPr>
        <w:t>重复标题按出现次序配对，并提示人工核对。章节顺序调整会提示，但不单独算作正文变化。没有标准标题或超长章节时也会给出相应提示；超长章节可能整体显示增删，须结合完整原文检查。“未发现章节内容差异”不等于证明两份原始资料在所有版面、图片或药学含义上完全一致。</w:t>
      </w:r>
    </w:p>
    <w:p>
      <w:pPr>
        <w:pStyle w:val="Heading1"/>
      </w:pPr>
      <w:r>
        <w:t>8 人工审核变更</w:t>
      </w:r>
    </w:p>
    <w:p>
      <w:pPr>
        <w:pStyle w:val="Heading2"/>
      </w:pPr>
      <w:r>
        <w:t>8.1 确认与忽略</w:t>
      </w:r>
    </w:p>
    <w:p>
      <w:r>
        <w:rPr>
          <w:rFonts w:ascii="Arial" w:hAnsi="Arial" w:eastAsia="Noto Sans CJK SC"/>
          <w:b w:val="0"/>
          <w:sz w:val="21"/>
        </w:rPr>
        <w:t>每条变化初始为“待复核”。核对原始资料和两版文字后，在“复核意见”中记录依据，点击“确认变更”，状态变为“已确认”。再次调整意见时点击“保存确认意见”。</w:t>
      </w:r>
    </w:p>
    <w:p>
      <w:r>
        <w:rPr>
          <w:rFonts w:ascii="Arial" w:hAnsi="Arial" w:eastAsia="Noto Sans CJK SC"/>
          <w:b w:val="0"/>
          <w:sz w:val="21"/>
        </w:rPr>
        <w:t>如果判断某条差异无需纳入本次关注范围，应填写明确原因再点击“忽略”。原因未填或仅为空白时不能保存。“已确认”表示使用者完成了该项资料核对，不表示药品安全性或监管合规已获批准。</w:t>
      </w:r>
    </w:p>
    <w:p>
      <w:pPr>
        <w:keepNext/>
        <w:spacing w:line="240" w:lineRule="auto"/>
        <w:jc w:val="center"/>
      </w:pPr>
      <w:r>
        <w:drawing>
          <wp:inline xmlns:a="http://schemas.openxmlformats.org/drawingml/2006/main" xmlns:pic="http://schemas.openxmlformats.org/drawingml/2006/picture">
            <wp:extent cx="6012000" cy="2204814"/>
            <wp:docPr id="12" name="Picture 12"/>
            <wp:cNvGraphicFramePr>
              <a:graphicFrameLocks noChangeAspect="1"/>
            </wp:cNvGraphicFramePr>
            <a:graphic>
              <a:graphicData uri="http://schemas.openxmlformats.org/drawingml/2006/picture">
                <pic:pic>
                  <pic:nvPicPr>
                    <pic:cNvPr id="0" name="12_reviewed.png"/>
                    <pic:cNvPicPr/>
                  </pic:nvPicPr>
                  <pic:blipFill>
                    <a:blip r:embed="rId22"/>
                    <a:stretch>
                      <a:fillRect/>
                    </a:stretch>
                  </pic:blipFill>
                  <pic:spPr>
                    <a:xfrm>
                      <a:off x="0" y="0"/>
                      <a:ext cx="6012000" cy="2204814"/>
                    </a:xfrm>
                    <a:prstGeom prst="rect"/>
                  </pic:spPr>
                </pic:pic>
              </a:graphicData>
            </a:graphic>
          </wp:inline>
        </w:drawing>
      </w:r>
    </w:p>
    <w:p>
      <w:pPr>
        <w:spacing w:after="180"/>
        <w:jc w:val="center"/>
      </w:pPr>
      <w:r>
        <w:rPr>
          <w:rFonts w:ascii="Arial" w:hAnsi="Arial" w:eastAsia="Noto Sans CJK SC"/>
          <w:b w:val="0"/>
          <w:color w:val="526763"/>
          <w:sz w:val="18"/>
        </w:rPr>
        <w:t>图12 已确认的审核意见与状态</w:t>
      </w:r>
    </w:p>
    <w:p>
      <w:pPr>
        <w:pStyle w:val="Heading2"/>
      </w:pPr>
      <w:r>
        <w:t>8.2 重新核查与保存冲突</w:t>
      </w:r>
    </w:p>
    <w:p>
      <w:r>
        <w:rPr>
          <w:rFonts w:ascii="Arial" w:hAnsi="Arial" w:eastAsia="Noto Sans CJK SC"/>
          <w:b w:val="0"/>
          <w:sz w:val="21"/>
        </w:rPr>
        <w:t>已确认或已忽略的变化提供“重置待复核”按钮。需要再次核查时点击该按钮，任务的待复核数量和完成度相应更新。系统保存每次状态变化及意见，不应把当前卡片上的最后一次记录当作全部历史。</w:t>
      </w:r>
    </w:p>
    <w:p>
      <w:r>
        <w:rPr>
          <w:rFonts w:ascii="Arial" w:hAnsi="Arial" w:eastAsia="Noto Sans CJK SC"/>
          <w:b w:val="0"/>
          <w:sz w:val="21"/>
        </w:rPr>
        <w:t>如果在多个浏览器标签页打开同一任务，其他页面保存后，旧页面再次提交可能出现冲突提示。此时先保留尚需使用的意见，刷新获得最新记录，再决定是否更新。系统通过记录修订号拒绝过期提交，避免旧内容覆盖新结论。</w:t>
      </w:r>
    </w:p>
    <w:p>
      <w:r>
        <w:rPr>
          <w:rFonts w:ascii="Arial" w:hAnsi="Arial" w:eastAsia="Noto Sans CJK SC"/>
          <w:b w:val="0"/>
          <w:sz w:val="21"/>
        </w:rPr>
        <w:t>审核进度达到全部处理完成，表示每条检出的变化均已确认或忽略；忽略原因和结论质量仍由使用者核查。输入意见后必须点击相应按钮并确认成功提示，单纯离开输入框不会保存。</w:t>
      </w:r>
    </w:p>
    <w:p>
      <w:pPr>
        <w:pStyle w:val="Heading1"/>
      </w:pPr>
      <w:r>
        <w:t>9 导出与归档</w:t>
      </w:r>
    </w:p>
    <w:p>
      <w:r>
        <w:rPr>
          <w:rFonts w:ascii="Arial" w:hAnsi="Arial" w:eastAsia="Noto Sans CJK SC"/>
          <w:b w:val="0"/>
          <w:sz w:val="21"/>
        </w:rPr>
        <w:t>在比对审核页点击“HTML 报告”“CSV”或“JSON”下载当前结果。导出文件包含药品名称、版本名称和日期、资料来源、原始文件摘要、章节变化及审核信息，反映导出时点的状态。</w:t>
      </w:r>
    </w:p>
    <w:p>
      <w:r>
        <w:rPr>
          <w:rFonts w:ascii="Arial" w:hAnsi="Arial" w:eastAsia="Noto Sans CJK SC"/>
          <w:b w:val="0"/>
          <w:sz w:val="21"/>
        </w:rPr>
        <w:t>HTML 报告可独立打开，按章节展示新旧内容、复核提示和意见。使用浏览器“打印”功能可选择另存为 PDF。系统提供的是 HTML 下载，PDF 由浏览器打印生成。</w:t>
      </w:r>
    </w:p>
    <w:p>
      <w:pPr>
        <w:keepNext/>
        <w:spacing w:line="240" w:lineRule="auto"/>
        <w:jc w:val="center"/>
      </w:pPr>
      <w:r>
        <w:drawing>
          <wp:inline xmlns:a="http://schemas.openxmlformats.org/drawingml/2006/main" xmlns:pic="http://schemas.openxmlformats.org/drawingml/2006/picture">
            <wp:extent cx="5980595" cy="4391999"/>
            <wp:docPr id="13" name="Picture 13"/>
            <wp:cNvGraphicFramePr>
              <a:graphicFrameLocks noChangeAspect="1"/>
            </wp:cNvGraphicFramePr>
            <a:graphic>
              <a:graphicData uri="http://schemas.openxmlformats.org/drawingml/2006/picture">
                <pic:pic>
                  <pic:nvPicPr>
                    <pic:cNvPr id="0" name="13_report.png"/>
                    <pic:cNvPicPr/>
                  </pic:nvPicPr>
                  <pic:blipFill>
                    <a:blip r:embed="rId23"/>
                    <a:stretch>
                      <a:fillRect/>
                    </a:stretch>
                  </pic:blipFill>
                  <pic:spPr>
                    <a:xfrm>
                      <a:off x="0" y="0"/>
                      <a:ext cx="5980595" cy="4391999"/>
                    </a:xfrm>
                    <a:prstGeom prst="rect"/>
                  </pic:spPr>
                </pic:pic>
              </a:graphicData>
            </a:graphic>
          </wp:inline>
        </w:drawing>
      </w:r>
    </w:p>
    <w:p>
      <w:pPr>
        <w:spacing w:after="180"/>
        <w:jc w:val="center"/>
      </w:pPr>
      <w:r>
        <w:rPr>
          <w:rFonts w:ascii="Arial" w:hAnsi="Arial" w:eastAsia="Noto Sans CJK SC"/>
          <w:b w:val="0"/>
          <w:color w:val="526763"/>
          <w:sz w:val="18"/>
        </w:rPr>
        <w:t>图13 导出的 HTML 审核报告</w:t>
      </w:r>
    </w:p>
    <w:p>
      <w:r>
        <w:rPr>
          <w:rFonts w:ascii="Arial" w:hAnsi="Arial" w:eastAsia="Noto Sans CJK SC"/>
          <w:b w:val="0"/>
          <w:sz w:val="21"/>
        </w:rPr>
        <w:t>CSV 适合在电子表格中整理，JSON 适合程序读取。CSV 对可能被表格程序解释为公式的内容进行处理；打开后不应因展示形式不同擅自删除原文。仍存在待复核项时也可以导出，报告保留待复核状态，不应据此宣称任务已经审核完成。</w:t>
      </w:r>
    </w:p>
    <w:p>
      <w:r>
        <w:rPr>
          <w:rFonts w:ascii="Arial" w:hAnsi="Arial" w:eastAsia="Noto Sans CJK SC"/>
          <w:b w:val="0"/>
          <w:sz w:val="21"/>
        </w:rPr>
        <w:t>归档时建议同时保存报告、两份原始文件和来源说明。导出报告不能替代完整应用数据备份，也不能独立恢复药品档案、版本附件及所有操作历史。</w:t>
      </w:r>
    </w:p>
    <w:p>
      <w:pPr>
        <w:pStyle w:val="Heading1"/>
      </w:pPr>
      <w:r>
        <w:t>10 操作记录与数据保存</w:t>
      </w:r>
    </w:p>
    <w:p>
      <w:pPr>
        <w:pStyle w:val="Heading2"/>
      </w:pPr>
      <w:r>
        <w:t>10.1 查看操作记录</w:t>
      </w:r>
    </w:p>
    <w:p>
      <w:r>
        <w:rPr>
          <w:rFonts w:ascii="Arial" w:hAnsi="Arial" w:eastAsia="Noto Sans CJK SC"/>
          <w:b w:val="0"/>
          <w:sz w:val="21"/>
        </w:rPr>
        <w:t>点击“操作记录”查看创建档案、版本导入、章节校正、比对生成和审核更新等动作。列表显示时间、操作、操作对象、记录内容和记录人。可输入关键词筛选，也可点击“刷新记录”重新读取。</w:t>
      </w:r>
    </w:p>
    <w:p>
      <w:pPr>
        <w:keepNext/>
        <w:spacing w:line="240" w:lineRule="auto"/>
        <w:jc w:val="center"/>
      </w:pPr>
      <w:r>
        <w:drawing>
          <wp:inline xmlns:a="http://schemas.openxmlformats.org/drawingml/2006/main" xmlns:pic="http://schemas.openxmlformats.org/drawingml/2006/picture">
            <wp:extent cx="5980595" cy="4391999"/>
            <wp:docPr id="14" name="Picture 14"/>
            <wp:cNvGraphicFramePr>
              <a:graphicFrameLocks noChangeAspect="1"/>
            </wp:cNvGraphicFramePr>
            <a:graphic>
              <a:graphicData uri="http://schemas.openxmlformats.org/drawingml/2006/picture">
                <pic:pic>
                  <pic:nvPicPr>
                    <pic:cNvPr id="0" name="14_audit.png"/>
                    <pic:cNvPicPr/>
                  </pic:nvPicPr>
                  <pic:blipFill>
                    <a:blip r:embed="rId24"/>
                    <a:stretch>
                      <a:fillRect/>
                    </a:stretch>
                  </pic:blipFill>
                  <pic:spPr>
                    <a:xfrm>
                      <a:off x="0" y="0"/>
                      <a:ext cx="5980595" cy="4391999"/>
                    </a:xfrm>
                    <a:prstGeom prst="rect"/>
                  </pic:spPr>
                </pic:pic>
              </a:graphicData>
            </a:graphic>
          </wp:inline>
        </w:drawing>
      </w:r>
    </w:p>
    <w:p>
      <w:pPr>
        <w:spacing w:after="180"/>
        <w:jc w:val="center"/>
      </w:pPr>
      <w:r>
        <w:rPr>
          <w:rFonts w:ascii="Arial" w:hAnsi="Arial" w:eastAsia="Noto Sans CJK SC"/>
          <w:b w:val="0"/>
          <w:color w:val="526763"/>
          <w:sz w:val="18"/>
        </w:rPr>
        <w:t>图14 操作记录查询</w:t>
      </w:r>
    </w:p>
    <w:p>
      <w:r>
        <w:rPr>
          <w:rFonts w:ascii="Arial" w:hAnsi="Arial" w:eastAsia="Noto Sans CJK SC"/>
          <w:b w:val="0"/>
          <w:sz w:val="21"/>
        </w:rPr>
        <w:t>当前列表最多读取最近 500 条记录，页面无匹配项不必然说明历史数据库中没有该动作。审核员默认为“本地审核员”；配置其他显示名称后，新操作使用新名称，既有记录仍保留当时信息。日志存于本地数据库，不是外部认证的不可篡改审计链。</w:t>
      </w:r>
    </w:p>
    <w:p>
      <w:pPr>
        <w:pStyle w:val="Heading2"/>
      </w:pPr>
      <w:r>
        <w:t>10.2 数据目录、备份与恢复</w:t>
      </w:r>
    </w:p>
    <w:p>
      <w:r>
        <w:rPr>
          <w:rFonts w:ascii="Arial" w:hAnsi="Arial" w:eastAsia="Noto Sans CJK SC"/>
          <w:b w:val="0"/>
          <w:sz w:val="21"/>
        </w:rPr>
        <w:t xml:space="preserve">使用 </w:t>
      </w:r>
      <w:r>
        <w:rPr>
          <w:rFonts w:ascii="DejaVu Sans Mono" w:hAnsi="DejaVu Sans Mono" w:eastAsia="Noto Sans Mono CJK SC"/>
          <w:b w:val="0"/>
          <w:sz w:val="20"/>
        </w:rPr>
        <w:t>run.py</w:t>
      </w:r>
      <w:r>
        <w:rPr>
          <w:rFonts w:ascii="Arial" w:hAnsi="Arial" w:eastAsia="Noto Sans CJK SC"/>
          <w:b w:val="0"/>
          <w:sz w:val="21"/>
        </w:rPr>
        <w:t xml:space="preserve"> 启动时，默认数据目录为项目目录下的 </w:t>
      </w:r>
      <w:r>
        <w:rPr>
          <w:rFonts w:ascii="DejaVu Sans Mono" w:hAnsi="DejaVu Sans Mono" w:eastAsia="Noto Sans Mono CJK SC"/>
          <w:b w:val="0"/>
          <w:sz w:val="20"/>
        </w:rPr>
        <w:t>data</w:t>
      </w:r>
      <w:r>
        <w:rPr>
          <w:rFonts w:ascii="Arial" w:hAnsi="Arial" w:eastAsia="Noto Sans CJK SC"/>
          <w:b w:val="0"/>
          <w:sz w:val="21"/>
        </w:rPr>
        <w:t xml:space="preserve">。其中 </w:t>
      </w:r>
      <w:r>
        <w:rPr>
          <w:rFonts w:ascii="DejaVu Sans Mono" w:hAnsi="DejaVu Sans Mono" w:eastAsia="Noto Sans Mono CJK SC"/>
          <w:b w:val="0"/>
          <w:sz w:val="20"/>
        </w:rPr>
        <w:t>medlabel.sqlite3</w:t>
      </w:r>
      <w:r>
        <w:rPr>
          <w:rFonts w:ascii="Arial" w:hAnsi="Arial" w:eastAsia="Noto Sans CJK SC"/>
          <w:b w:val="0"/>
          <w:sz w:val="21"/>
        </w:rPr>
        <w:t xml:space="preserve"> 保存业务记录，</w:t>
      </w:r>
      <w:r>
        <w:rPr>
          <w:rFonts w:ascii="DejaVu Sans Mono" w:hAnsi="DejaVu Sans Mono" w:eastAsia="Noto Sans Mono CJK SC"/>
          <w:b w:val="0"/>
          <w:sz w:val="20"/>
        </w:rPr>
        <w:t>uploads</w:t>
      </w:r>
      <w:r>
        <w:rPr>
          <w:rFonts w:ascii="Arial" w:hAnsi="Arial" w:eastAsia="Noto Sans CJK SC"/>
          <w:b w:val="0"/>
          <w:sz w:val="21"/>
        </w:rPr>
        <w:t xml:space="preserve"> 保存原始资料。可用 </w:t>
      </w:r>
      <w:r>
        <w:rPr>
          <w:rFonts w:ascii="DejaVu Sans Mono" w:hAnsi="DejaVu Sans Mono" w:eastAsia="Noto Sans Mono CJK SC"/>
          <w:b w:val="0"/>
          <w:sz w:val="20"/>
        </w:rPr>
        <w:t>python run.py --data-dir 指定目录</w:t>
      </w:r>
      <w:r>
        <w:rPr>
          <w:rFonts w:ascii="Arial" w:hAnsi="Arial" w:eastAsia="Noto Sans CJK SC"/>
          <w:b w:val="0"/>
          <w:sz w:val="21"/>
        </w:rPr>
        <w:t xml:space="preserve"> 选择其他位置。直接使用 Uvicorn 启动的配置方法以项目运行说明为准。</w:t>
      </w:r>
    </w:p>
    <w:p>
      <w:r>
        <w:rPr>
          <w:rFonts w:ascii="Arial" w:hAnsi="Arial" w:eastAsia="Noto Sans CJK SC"/>
          <w:b w:val="0"/>
          <w:sz w:val="21"/>
        </w:rPr>
        <w:t>备份前保存页面编辑并停止服务，再完整复制数据目录。数据库和附件必须一起备份，不能只复制其中一个。恢复时保持停服状态，将完整目录恢复到目标位置，然后以该目录启动并核对档案、版本和原文件下载。</w:t>
      </w:r>
    </w:p>
    <w:p>
      <w:r>
        <w:rPr>
          <w:rFonts w:ascii="Arial" w:hAnsi="Arial" w:eastAsia="Noto Sans CJK SC"/>
          <w:b w:val="0"/>
          <w:sz w:val="21"/>
        </w:rPr>
        <w:t>源代码目录和业务数据目录的用途不同。重新下载项目源码不会自动恢复历史业务资料；修改数据目录也不会自动迁移旧资料。请在替换项目或调整路径前确认已完成备份。</w:t>
      </w:r>
    </w:p>
    <w:p>
      <w:pPr>
        <w:pStyle w:val="Heading1"/>
      </w:pPr>
      <w:r>
        <w:t>11 常见问题处理</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3175"/>
            <w:vAlign w:val="center"/>
            <w:shd w:fill="E7F0EC"/>
          </w:tcPr>
          <w:p>
            <w:pPr>
              <w:spacing w:before="60" w:after="60" w:line="280" w:lineRule="exact"/>
            </w:pPr>
            <w:r>
              <w:rPr>
                <w:rFonts w:ascii="Arial" w:hAnsi="Arial" w:eastAsia="Noto Sans CJK SC"/>
                <w:b/>
                <w:sz w:val="18"/>
              </w:rPr>
              <w:t>现象</w:t>
            </w:r>
          </w:p>
        </w:tc>
        <w:tc>
          <w:tcPr>
            <w:tcW w:type="dxa" w:w="3175"/>
            <w:vAlign w:val="center"/>
            <w:shd w:fill="E7F0EC"/>
          </w:tcPr>
          <w:p>
            <w:pPr>
              <w:spacing w:before="60" w:after="60" w:line="280" w:lineRule="exact"/>
            </w:pPr>
            <w:r>
              <w:rPr>
                <w:rFonts w:ascii="Arial" w:hAnsi="Arial" w:eastAsia="Noto Sans CJK SC"/>
                <w:b/>
                <w:sz w:val="18"/>
              </w:rPr>
              <w:t>原因或检查方向</w:t>
            </w:r>
          </w:p>
        </w:tc>
        <w:tc>
          <w:tcPr>
            <w:tcW w:type="dxa" w:w="3175"/>
            <w:vAlign w:val="center"/>
            <w:shd w:fill="E7F0EC"/>
          </w:tcPr>
          <w:p>
            <w:pPr>
              <w:spacing w:before="60" w:after="60" w:line="280" w:lineRule="exact"/>
            </w:pPr>
            <w:r>
              <w:rPr>
                <w:rFonts w:ascii="Arial" w:hAnsi="Arial" w:eastAsia="Noto Sans CJK SC"/>
                <w:b/>
                <w:sz w:val="18"/>
              </w:rPr>
              <w:t>处理方法</w:t>
            </w:r>
          </w:p>
        </w:tc>
      </w:tr>
      <w:tr>
        <w:trPr>
          <w:cantSplit/>
        </w:trPr>
        <w:tc>
          <w:tcPr>
            <w:tcW w:type="dxa" w:w="3175"/>
            <w:vAlign w:val="center"/>
          </w:tcPr>
          <w:p>
            <w:pPr>
              <w:spacing w:before="60" w:after="60" w:line="280" w:lineRule="exact"/>
            </w:pPr>
            <w:r>
              <w:rPr>
                <w:rFonts w:ascii="Arial" w:hAnsi="Arial" w:eastAsia="Noto Sans CJK SC"/>
                <w:b w:val="0"/>
                <w:sz w:val="18"/>
              </w:rPr>
              <w:t>浏览器无法打开页面</w:t>
            </w:r>
          </w:p>
        </w:tc>
        <w:tc>
          <w:tcPr>
            <w:tcW w:type="dxa" w:w="3175"/>
            <w:vAlign w:val="center"/>
          </w:tcPr>
          <w:p>
            <w:pPr>
              <w:spacing w:before="60" w:after="60" w:line="280" w:lineRule="exact"/>
            </w:pPr>
            <w:r>
              <w:rPr>
                <w:rFonts w:ascii="Arial" w:hAnsi="Arial" w:eastAsia="Noto Sans CJK SC"/>
                <w:b w:val="0"/>
                <w:sz w:val="18"/>
              </w:rPr>
              <w:t>服务未启动、端口错误或进程已停止</w:t>
            </w:r>
          </w:p>
        </w:tc>
        <w:tc>
          <w:tcPr>
            <w:tcW w:type="dxa" w:w="3175"/>
            <w:vAlign w:val="center"/>
          </w:tcPr>
          <w:p>
            <w:pPr>
              <w:spacing w:before="60" w:after="60" w:line="280" w:lineRule="exact"/>
            </w:pPr>
            <w:r>
              <w:rPr>
                <w:rFonts w:ascii="Arial" w:hAnsi="Arial" w:eastAsia="Noto Sans CJK SC"/>
                <w:b w:val="0"/>
                <w:sz w:val="18"/>
              </w:rPr>
              <w:t>检查终端启动信息，使用对应本机地址和端口</w:t>
            </w:r>
          </w:p>
        </w:tc>
      </w:tr>
      <w:tr>
        <w:trPr>
          <w:cantSplit/>
        </w:trPr>
        <w:tc>
          <w:tcPr>
            <w:tcW w:type="dxa" w:w="3175"/>
            <w:vAlign w:val="center"/>
          </w:tcPr>
          <w:p>
            <w:pPr>
              <w:spacing w:before="60" w:after="60" w:line="280" w:lineRule="exact"/>
            </w:pPr>
            <w:r>
              <w:rPr>
                <w:rFonts w:ascii="Arial" w:hAnsi="Arial" w:eastAsia="Noto Sans CJK SC"/>
                <w:b w:val="0"/>
                <w:sz w:val="18"/>
              </w:rPr>
              <w:t>导入按钮无法提交</w:t>
            </w:r>
          </w:p>
        </w:tc>
        <w:tc>
          <w:tcPr>
            <w:tcW w:type="dxa" w:w="3175"/>
            <w:vAlign w:val="center"/>
          </w:tcPr>
          <w:p>
            <w:pPr>
              <w:spacing w:before="60" w:after="60" w:line="280" w:lineRule="exact"/>
            </w:pPr>
            <w:r>
              <w:rPr>
                <w:rFonts w:ascii="Arial" w:hAnsi="Arial" w:eastAsia="Noto Sans CJK SC"/>
                <w:b w:val="0"/>
                <w:sz w:val="18"/>
              </w:rPr>
              <w:t>必填字段、正文或文件不完整</w:t>
            </w:r>
          </w:p>
        </w:tc>
        <w:tc>
          <w:tcPr>
            <w:tcW w:type="dxa" w:w="3175"/>
            <w:vAlign w:val="center"/>
          </w:tcPr>
          <w:p>
            <w:pPr>
              <w:spacing w:before="60" w:after="60" w:line="280" w:lineRule="exact"/>
            </w:pPr>
            <w:r>
              <w:rPr>
                <w:rFonts w:ascii="Arial" w:hAnsi="Arial" w:eastAsia="Noto Sans CJK SC"/>
                <w:b w:val="0"/>
                <w:sz w:val="18"/>
              </w:rPr>
              <w:t>检查版本名称、日期、来源和导入内容</w:t>
            </w:r>
          </w:p>
        </w:tc>
      </w:tr>
      <w:tr>
        <w:trPr>
          <w:cantSplit/>
        </w:trPr>
        <w:tc>
          <w:tcPr>
            <w:tcW w:type="dxa" w:w="3175"/>
            <w:vAlign w:val="center"/>
          </w:tcPr>
          <w:p>
            <w:pPr>
              <w:spacing w:before="60" w:after="60" w:line="280" w:lineRule="exact"/>
            </w:pPr>
            <w:r>
              <w:rPr>
                <w:rFonts w:ascii="Arial" w:hAnsi="Arial" w:eastAsia="Noto Sans CJK SC"/>
                <w:b w:val="0"/>
                <w:sz w:val="18"/>
              </w:rPr>
              <w:t>PDF 被拒绝</w:t>
            </w:r>
          </w:p>
        </w:tc>
        <w:tc>
          <w:tcPr>
            <w:tcW w:type="dxa" w:w="3175"/>
            <w:vAlign w:val="center"/>
          </w:tcPr>
          <w:p>
            <w:pPr>
              <w:spacing w:before="60" w:after="60" w:line="280" w:lineRule="exact"/>
            </w:pPr>
            <w:r>
              <w:rPr>
                <w:rFonts w:ascii="Arial" w:hAnsi="Arial" w:eastAsia="Noto Sans CJK SC"/>
                <w:b w:val="0"/>
                <w:sz w:val="18"/>
              </w:rPr>
              <w:t>含图片、加密、损坏或超过页数限制</w:t>
            </w:r>
          </w:p>
        </w:tc>
        <w:tc>
          <w:tcPr>
            <w:tcW w:type="dxa" w:w="3175"/>
            <w:vAlign w:val="center"/>
          </w:tcPr>
          <w:p>
            <w:pPr>
              <w:spacing w:before="60" w:after="60" w:line="280" w:lineRule="exact"/>
            </w:pPr>
            <w:r>
              <w:rPr>
                <w:rFonts w:ascii="Arial" w:hAnsi="Arial" w:eastAsia="Noto Sans CJK SC"/>
                <w:b w:val="0"/>
                <w:sz w:val="18"/>
              </w:rPr>
              <w:t>转成经核查的完整文字文件后重试</w:t>
            </w:r>
          </w:p>
        </w:tc>
      </w:tr>
      <w:tr>
        <w:trPr>
          <w:cantSplit/>
        </w:trPr>
        <w:tc>
          <w:tcPr>
            <w:tcW w:type="dxa" w:w="3175"/>
            <w:vAlign w:val="center"/>
          </w:tcPr>
          <w:p>
            <w:pPr>
              <w:spacing w:before="60" w:after="60" w:line="280" w:lineRule="exact"/>
            </w:pPr>
            <w:r>
              <w:rPr>
                <w:rFonts w:ascii="Arial" w:hAnsi="Arial" w:eastAsia="Noto Sans CJK SC"/>
                <w:b w:val="0"/>
                <w:sz w:val="18"/>
              </w:rPr>
              <w:t>DOCX 被拒绝</w:t>
            </w:r>
          </w:p>
        </w:tc>
        <w:tc>
          <w:tcPr>
            <w:tcW w:type="dxa" w:w="3175"/>
            <w:vAlign w:val="center"/>
          </w:tcPr>
          <w:p>
            <w:pPr>
              <w:spacing w:before="60" w:after="60" w:line="280" w:lineRule="exact"/>
            </w:pPr>
            <w:r>
              <w:rPr>
                <w:rFonts w:ascii="Arial" w:hAnsi="Arial" w:eastAsia="Noto Sans CJK SC"/>
                <w:b w:val="0"/>
                <w:sz w:val="18"/>
              </w:rPr>
              <w:t>文件损坏、异常压缩、修订或脚尾注未处理</w:t>
            </w:r>
          </w:p>
        </w:tc>
        <w:tc>
          <w:tcPr>
            <w:tcW w:type="dxa" w:w="3175"/>
            <w:vAlign w:val="center"/>
          </w:tcPr>
          <w:p>
            <w:pPr>
              <w:spacing w:before="60" w:after="60" w:line="280" w:lineRule="exact"/>
            </w:pPr>
            <w:r>
              <w:rPr>
                <w:rFonts w:ascii="Arial" w:hAnsi="Arial" w:eastAsia="Noto Sans CJK SC"/>
                <w:b w:val="0"/>
                <w:sz w:val="18"/>
              </w:rPr>
              <w:t>使用文字处理软件整理完整内容后重新保存</w:t>
            </w:r>
          </w:p>
        </w:tc>
      </w:tr>
      <w:tr>
        <w:trPr>
          <w:cantSplit/>
        </w:trPr>
        <w:tc>
          <w:tcPr>
            <w:tcW w:type="dxa" w:w="3175"/>
            <w:vAlign w:val="center"/>
          </w:tcPr>
          <w:p>
            <w:pPr>
              <w:spacing w:before="60" w:after="60" w:line="280" w:lineRule="exact"/>
            </w:pPr>
            <w:r>
              <w:rPr>
                <w:rFonts w:ascii="Arial" w:hAnsi="Arial" w:eastAsia="Noto Sans CJK SC"/>
                <w:b w:val="0"/>
                <w:sz w:val="18"/>
              </w:rPr>
              <w:t>提取结果不完整或顺序异常</w:t>
            </w:r>
          </w:p>
        </w:tc>
        <w:tc>
          <w:tcPr>
            <w:tcW w:type="dxa" w:w="3175"/>
            <w:vAlign w:val="center"/>
          </w:tcPr>
          <w:p>
            <w:pPr>
              <w:spacing w:before="60" w:after="60" w:line="280" w:lineRule="exact"/>
            </w:pPr>
            <w:r>
              <w:rPr>
                <w:rFonts w:ascii="Arial" w:hAnsi="Arial" w:eastAsia="Noto Sans CJK SC"/>
                <w:b w:val="0"/>
                <w:sz w:val="18"/>
              </w:rPr>
              <w:t>文档版式或复制过程影响</w:t>
            </w:r>
          </w:p>
        </w:tc>
        <w:tc>
          <w:tcPr>
            <w:tcW w:type="dxa" w:w="3175"/>
            <w:vAlign w:val="center"/>
          </w:tcPr>
          <w:p>
            <w:pPr>
              <w:spacing w:before="60" w:after="60" w:line="280" w:lineRule="exact"/>
            </w:pPr>
            <w:r>
              <w:rPr>
                <w:rFonts w:ascii="Arial" w:hAnsi="Arial" w:eastAsia="Noto Sans CJK SC"/>
                <w:b w:val="0"/>
                <w:sz w:val="18"/>
              </w:rPr>
              <w:t>对照原件整理文本，在比对前校正章节</w:t>
            </w:r>
          </w:p>
        </w:tc>
      </w:tr>
      <w:tr>
        <w:trPr>
          <w:cantSplit/>
        </w:trPr>
        <w:tc>
          <w:tcPr>
            <w:tcW w:type="dxa" w:w="3175"/>
            <w:vAlign w:val="center"/>
          </w:tcPr>
          <w:p>
            <w:pPr>
              <w:spacing w:before="60" w:after="60" w:line="280" w:lineRule="exact"/>
            </w:pPr>
            <w:r>
              <w:rPr>
                <w:rFonts w:ascii="Arial" w:hAnsi="Arial" w:eastAsia="Noto Sans CJK SC"/>
                <w:b w:val="0"/>
                <w:sz w:val="18"/>
              </w:rPr>
              <w:t>章节保存失败</w:t>
            </w:r>
          </w:p>
        </w:tc>
        <w:tc>
          <w:tcPr>
            <w:tcW w:type="dxa" w:w="3175"/>
            <w:vAlign w:val="center"/>
          </w:tcPr>
          <w:p>
            <w:pPr>
              <w:spacing w:before="60" w:after="60" w:line="280" w:lineRule="exact"/>
            </w:pPr>
            <w:r>
              <w:rPr>
                <w:rFonts w:ascii="Arial" w:hAnsi="Arial" w:eastAsia="Noto Sans CJK SC"/>
                <w:b w:val="0"/>
                <w:sz w:val="18"/>
              </w:rPr>
              <w:t>标题为空、内容超限或版本已被引用</w:t>
            </w:r>
          </w:p>
        </w:tc>
        <w:tc>
          <w:tcPr>
            <w:tcW w:type="dxa" w:w="3175"/>
            <w:vAlign w:val="center"/>
          </w:tcPr>
          <w:p>
            <w:pPr>
              <w:spacing w:before="60" w:after="60" w:line="280" w:lineRule="exact"/>
            </w:pPr>
            <w:r>
              <w:rPr>
                <w:rFonts w:ascii="Arial" w:hAnsi="Arial" w:eastAsia="Noto Sans CJK SC"/>
                <w:b w:val="0"/>
                <w:sz w:val="18"/>
              </w:rPr>
              <w:t>修正输入；已引用版本以新版本方式处理</w:t>
            </w:r>
          </w:p>
        </w:tc>
      </w:tr>
      <w:tr>
        <w:trPr>
          <w:cantSplit/>
        </w:trPr>
        <w:tc>
          <w:tcPr>
            <w:tcW w:type="dxa" w:w="3175"/>
            <w:vAlign w:val="center"/>
          </w:tcPr>
          <w:p>
            <w:pPr>
              <w:spacing w:before="60" w:after="60" w:line="280" w:lineRule="exact"/>
            </w:pPr>
            <w:r>
              <w:rPr>
                <w:rFonts w:ascii="Arial" w:hAnsi="Arial" w:eastAsia="Noto Sans CJK SC"/>
                <w:b w:val="0"/>
                <w:sz w:val="18"/>
              </w:rPr>
              <w:t>创建比对失败</w:t>
            </w:r>
          </w:p>
        </w:tc>
        <w:tc>
          <w:tcPr>
            <w:tcW w:type="dxa" w:w="3175"/>
            <w:vAlign w:val="center"/>
          </w:tcPr>
          <w:p>
            <w:pPr>
              <w:spacing w:before="60" w:after="60" w:line="280" w:lineRule="exact"/>
            </w:pPr>
            <w:r>
              <w:rPr>
                <w:rFonts w:ascii="Arial" w:hAnsi="Arial" w:eastAsia="Noto Sans CJK SC"/>
                <w:b w:val="0"/>
                <w:sz w:val="18"/>
              </w:rPr>
              <w:t>版本相同、所属药品不同或日期倒置</w:t>
            </w:r>
          </w:p>
        </w:tc>
        <w:tc>
          <w:tcPr>
            <w:tcW w:type="dxa" w:w="3175"/>
            <w:vAlign w:val="center"/>
          </w:tcPr>
          <w:p>
            <w:pPr>
              <w:spacing w:before="60" w:after="60" w:line="280" w:lineRule="exact"/>
            </w:pPr>
            <w:r>
              <w:rPr>
                <w:rFonts w:ascii="Arial" w:hAnsi="Arial" w:eastAsia="Noto Sans CJK SC"/>
                <w:b w:val="0"/>
                <w:sz w:val="18"/>
              </w:rPr>
              <w:t>核对资料归属和真实版本日期后重新选择</w:t>
            </w:r>
          </w:p>
        </w:tc>
      </w:tr>
      <w:tr>
        <w:trPr>
          <w:cantSplit/>
        </w:trPr>
        <w:tc>
          <w:tcPr>
            <w:tcW w:type="dxa" w:w="3175"/>
            <w:vAlign w:val="center"/>
          </w:tcPr>
          <w:p>
            <w:pPr>
              <w:spacing w:before="60" w:after="60" w:line="280" w:lineRule="exact"/>
            </w:pPr>
            <w:r>
              <w:rPr>
                <w:rFonts w:ascii="Arial" w:hAnsi="Arial" w:eastAsia="Noto Sans CJK SC"/>
                <w:b w:val="0"/>
                <w:sz w:val="18"/>
              </w:rPr>
              <w:t>忽略操作失败</w:t>
            </w:r>
          </w:p>
        </w:tc>
        <w:tc>
          <w:tcPr>
            <w:tcW w:type="dxa" w:w="3175"/>
            <w:vAlign w:val="center"/>
          </w:tcPr>
          <w:p>
            <w:pPr>
              <w:spacing w:before="60" w:after="60" w:line="280" w:lineRule="exact"/>
            </w:pPr>
            <w:r>
              <w:rPr>
                <w:rFonts w:ascii="Arial" w:hAnsi="Arial" w:eastAsia="Noto Sans CJK SC"/>
                <w:b w:val="0"/>
                <w:sz w:val="18"/>
              </w:rPr>
              <w:t>未填写忽略原因</w:t>
            </w:r>
          </w:p>
        </w:tc>
        <w:tc>
          <w:tcPr>
            <w:tcW w:type="dxa" w:w="3175"/>
            <w:vAlign w:val="center"/>
          </w:tcPr>
          <w:p>
            <w:pPr>
              <w:spacing w:before="60" w:after="60" w:line="280" w:lineRule="exact"/>
            </w:pPr>
            <w:r>
              <w:rPr>
                <w:rFonts w:ascii="Arial" w:hAnsi="Arial" w:eastAsia="Noto Sans CJK SC"/>
                <w:b w:val="0"/>
                <w:sz w:val="18"/>
              </w:rPr>
              <w:t>补充复核依据后保存</w:t>
            </w:r>
          </w:p>
        </w:tc>
      </w:tr>
      <w:tr>
        <w:trPr>
          <w:cantSplit/>
        </w:trPr>
        <w:tc>
          <w:tcPr>
            <w:tcW w:type="dxa" w:w="3175"/>
            <w:vAlign w:val="center"/>
          </w:tcPr>
          <w:p>
            <w:pPr>
              <w:spacing w:before="60" w:after="60" w:line="280" w:lineRule="exact"/>
            </w:pPr>
            <w:r>
              <w:rPr>
                <w:rFonts w:ascii="Arial" w:hAnsi="Arial" w:eastAsia="Noto Sans CJK SC"/>
                <w:b w:val="0"/>
                <w:sz w:val="18"/>
              </w:rPr>
              <w:t>审核保存提示冲突</w:t>
            </w:r>
          </w:p>
        </w:tc>
        <w:tc>
          <w:tcPr>
            <w:tcW w:type="dxa" w:w="3175"/>
            <w:vAlign w:val="center"/>
          </w:tcPr>
          <w:p>
            <w:pPr>
              <w:spacing w:before="60" w:after="60" w:line="280" w:lineRule="exact"/>
            </w:pPr>
            <w:r>
              <w:rPr>
                <w:rFonts w:ascii="Arial" w:hAnsi="Arial" w:eastAsia="Noto Sans CJK SC"/>
                <w:b w:val="0"/>
                <w:sz w:val="18"/>
              </w:rPr>
              <w:t>其他页面已更新同一条记录</w:t>
            </w:r>
          </w:p>
        </w:tc>
        <w:tc>
          <w:tcPr>
            <w:tcW w:type="dxa" w:w="3175"/>
            <w:vAlign w:val="center"/>
          </w:tcPr>
          <w:p>
            <w:pPr>
              <w:spacing w:before="60" w:after="60" w:line="280" w:lineRule="exact"/>
            </w:pPr>
            <w:r>
              <w:rPr>
                <w:rFonts w:ascii="Arial" w:hAnsi="Arial" w:eastAsia="Noto Sans CJK SC"/>
                <w:b w:val="0"/>
                <w:sz w:val="18"/>
              </w:rPr>
              <w:t>读取最新记录后重新核查并提交</w:t>
            </w:r>
          </w:p>
        </w:tc>
      </w:tr>
      <w:tr>
        <w:trPr>
          <w:cantSplit/>
        </w:trPr>
        <w:tc>
          <w:tcPr>
            <w:tcW w:type="dxa" w:w="3175"/>
            <w:vAlign w:val="center"/>
          </w:tcPr>
          <w:p>
            <w:pPr>
              <w:spacing w:before="60" w:after="60" w:line="280" w:lineRule="exact"/>
            </w:pPr>
            <w:r>
              <w:rPr>
                <w:rFonts w:ascii="Arial" w:hAnsi="Arial" w:eastAsia="Noto Sans CJK SC"/>
                <w:b w:val="0"/>
                <w:sz w:val="18"/>
              </w:rPr>
              <w:t>找不到旧资料</w:t>
            </w:r>
          </w:p>
        </w:tc>
        <w:tc>
          <w:tcPr>
            <w:tcW w:type="dxa" w:w="3175"/>
            <w:vAlign w:val="center"/>
          </w:tcPr>
          <w:p>
            <w:pPr>
              <w:spacing w:before="60" w:after="60" w:line="280" w:lineRule="exact"/>
            </w:pPr>
            <w:r>
              <w:rPr>
                <w:rFonts w:ascii="Arial" w:hAnsi="Arial" w:eastAsia="Noto Sans CJK SC"/>
                <w:b w:val="0"/>
                <w:sz w:val="18"/>
              </w:rPr>
              <w:t>数据目录变化或只恢复了部分文件</w:t>
            </w:r>
          </w:p>
        </w:tc>
        <w:tc>
          <w:tcPr>
            <w:tcW w:type="dxa" w:w="3175"/>
            <w:vAlign w:val="center"/>
          </w:tcPr>
          <w:p>
            <w:pPr>
              <w:spacing w:before="60" w:after="60" w:line="280" w:lineRule="exact"/>
            </w:pPr>
            <w:r>
              <w:rPr>
                <w:rFonts w:ascii="Arial" w:hAnsi="Arial" w:eastAsia="Noto Sans CJK SC"/>
                <w:b w:val="0"/>
                <w:sz w:val="18"/>
              </w:rPr>
              <w:t>检查启动路径，使用完整备份恢复</w:t>
            </w:r>
          </w:p>
        </w:tc>
      </w:tr>
    </w:tbl>
    <w:p>
      <w:pPr>
        <w:spacing w:after="0"/>
      </w:pPr>
    </w:p>
    <w:p>
      <w:pPr>
        <w:pStyle w:val="Heading1"/>
      </w:pPr>
      <w:r>
        <w:t>12 示例操作与完成检查</w:t>
      </w:r>
    </w:p>
    <w:p>
      <w:r>
        <w:rPr>
          <w:rFonts w:ascii="Arial" w:hAnsi="Arial" w:eastAsia="Noto Sans CJK SC"/>
          <w:b w:val="0"/>
          <w:sz w:val="21"/>
        </w:rPr>
        <w:t xml:space="preserve">初次演示可使用项目 </w:t>
      </w:r>
      <w:r>
        <w:rPr>
          <w:rFonts w:ascii="DejaVu Sans Mono" w:hAnsi="DejaVu Sans Mono" w:eastAsia="Noto Sans Mono CJK SC"/>
          <w:b w:val="0"/>
          <w:sz w:val="20"/>
        </w:rPr>
        <w:t>examples</w:t>
      </w:r>
      <w:r>
        <w:rPr>
          <w:rFonts w:ascii="Arial" w:hAnsi="Arial" w:eastAsia="Noto Sans CJK SC"/>
          <w:b w:val="0"/>
          <w:sz w:val="21"/>
        </w:rPr>
        <w:t xml:space="preserve"> 目录中的 </w:t>
      </w:r>
      <w:r>
        <w:rPr>
          <w:rFonts w:ascii="DejaVu Sans Mono" w:hAnsi="DejaVu Sans Mono" w:eastAsia="Noto Sans Mono CJK SC"/>
          <w:b w:val="0"/>
          <w:sz w:val="20"/>
        </w:rPr>
        <w:t>demo-v1.txt</w:t>
      </w:r>
      <w:r>
        <w:rPr>
          <w:rFonts w:ascii="Arial" w:hAnsi="Arial" w:eastAsia="Noto Sans CJK SC"/>
          <w:b w:val="0"/>
          <w:sz w:val="21"/>
        </w:rPr>
        <w:t xml:space="preserve"> 和 </w:t>
      </w:r>
      <w:r>
        <w:rPr>
          <w:rFonts w:ascii="DejaVu Sans Mono" w:hAnsi="DejaVu Sans Mono" w:eastAsia="Noto Sans Mono CJK SC"/>
          <w:b w:val="0"/>
          <w:sz w:val="20"/>
        </w:rPr>
        <w:t>demo-v2.docx</w:t>
      </w:r>
      <w:r>
        <w:rPr>
          <w:rFonts w:ascii="Arial" w:hAnsi="Arial" w:eastAsia="Noto Sans CJK SC"/>
          <w:b w:val="0"/>
          <w:sz w:val="21"/>
        </w:rPr>
        <w:t>。建立注明“模拟”的药品档案，分别导入两份资料，并填写与示例相符的新旧日期及“项目内置模拟资料”来源。逐项查看章节、原文和文件摘要，确认输入内容完整，再生成比对。</w:t>
      </w:r>
    </w:p>
    <w:p>
      <w:r>
        <w:rPr>
          <w:rFonts w:ascii="Arial" w:hAnsi="Arial" w:eastAsia="Noto Sans CJK SC"/>
          <w:b w:val="0"/>
          <w:sz w:val="21"/>
        </w:rPr>
        <w:t>在审核页面选择一项变化，填写“已对照模拟原文，确认演示变更”并确认；选择另一项变化，填写清楚的演示忽略原因并忽略。切换状态筛选，核对条目和审核完成度。导出 HTML 报告，在浏览器查看两版来源与意见，再进入“操作记录”确认操作已留存。</w:t>
      </w:r>
    </w:p>
    <w:p>
      <w:r>
        <w:rPr>
          <w:rFonts w:ascii="Arial" w:hAnsi="Arial" w:eastAsia="Noto Sans CJK SC"/>
          <w:b w:val="0"/>
          <w:sz w:val="21"/>
        </w:rPr>
        <w:t>正式结束一次资料核对前，应确认版本选择正确、章节结构已核验、原文位置可回查、待复核项已按实际情况处理、忽略项有原因、报告与原始资料已归档。需要继续处理的事项应保留待复核状态，不能通过批量忽略或改写原文掩盖未完成工作。</w:t>
      </w:r>
    </w:p>
    <w:sectPr w:rsidR="00FC693F" w:rsidRPr="0006063C" w:rsidSect="00034616">
      <w:headerReference w:type="default" r:id="rId9"/>
      <w:footerReference w:type="default" r:id="rId10"/>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color w:val="526763"/>
        <w:sz w:val="16"/>
      </w:rPr>
      <w:t xml:space="preserve">用户操作说明书  |  第 </w:t>
    </w:r>
    <w:fldSimple w:instr="PAGE"/>
    <w:r>
      <w:rPr>
        <w:rFonts w:ascii="Arial" w:hAnsi="Arial" w:eastAsia="Noto Sans CJK SC"/>
        <w:b w:val="0"/>
        <w:color w:val="526763"/>
        <w:sz w:val="16"/>
      </w:rPr>
      <w:t xml:space="preserve"> 页 / 共 </w:t>
    </w:r>
    <w:fldSimple w:instr="NUMPAGES"/>
    <w:r>
      <w:rPr>
        <w:rFonts w:ascii="Arial" w:hAnsi="Arial" w:eastAsia="Noto Sans CJK SC"/>
        <w:b w:val="0"/>
        <w:color w:val="526763"/>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eastAsia="Noto Sans CJK SC"/>
        <w:b w:val="0"/>
        <w:color w:val="526763"/>
        <w:sz w:val="16"/>
      </w:rPr>
      <w:t>药品说明书版本比对与变更审核系统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0" w:lineRule="exact" w:after="100"/>
    </w:pPr>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Noto Sans CJK SC"/>
      <w:b/>
      <w:bCs/>
      <w:color w:val="173F3C"/>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Noto Sans CJK SC"/>
      <w:b/>
      <w:bCs/>
      <w:color w:val="173F3C"/>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Noto Sans CJK SC"/>
      <w:b/>
      <w:bCs/>
      <w:color w:val="173F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eastAsia="Noto Sans CJK SC"/>
      <w:color w:val="173F3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药品说明书版本比对与变更审核系统 V1.0 用户操作说明书</dc:title>
  <dc:subject>对应已实现软件的登记材料整理稿</dc:subject>
  <dc:creator>待申请人填写</dc:creator>
  <cp:keywords>MedLabel Review, V1.0</cp:keywords>
  <dc:description>generated by python-docx</dc:description>
  <cp:lastModifiedBy/>
  <cp:revision>1</cp:revision>
  <dcterms:created xsi:type="dcterms:W3CDTF">2026-10-25T23:40:47Z</dcterms:created>
  <dcterms:modified xsi:type="dcterms:W3CDTF">2026-10-25T23:40:47Z</dcterms:modified>
  <cp:category/>
</cp:coreProperties>
</file>