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rial" w:hAnsi="Arial" w:eastAsia="Noto Sans CJK SC"/>
          <w:b/>
          <w:color w:val="176B60"/>
          <w:sz w:val="24"/>
        </w:rPr>
        <w:t>MEDLABEL REVIEW</w:t>
      </w:r>
    </w:p>
    <w:p>
      <w:pPr>
        <w:pStyle w:val="Title"/>
        <w:spacing w:after="280"/>
      </w:pPr>
      <w:r>
        <w:t>药品说明书版本比对与变更审核系统</w:t>
      </w:r>
    </w:p>
    <w:p>
      <w:pPr>
        <w:spacing w:after="680"/>
      </w:pPr>
      <w:r>
        <w:rPr>
          <w:rFonts w:ascii="Arial" w:hAnsi="Arial" w:eastAsia="Noto Sans CJK SC"/>
          <w:b w:val="0"/>
          <w:color w:val="173F3C"/>
          <w:sz w:val="44"/>
        </w:rPr>
        <w:t>V1.0</w:t>
      </w:r>
    </w:p>
    <w:p>
      <w:r>
        <w:rPr>
          <w:rFonts w:ascii="Arial" w:hAnsi="Arial" w:eastAsia="Noto Sans CJK SC"/>
          <w:b/>
          <w:color w:val="173F3C"/>
          <w:sz w:val="38"/>
        </w:rPr>
        <w:t>源程序编排说明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著作权人：待申请人填写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对应代码版本：98e406f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文档状态：技术内容已编制，申请信息待确认</w:t>
      </w:r>
    </w:p>
    <w:p>
      <w:pPr>
        <w:spacing w:before="720"/>
      </w:pPr>
      <w:r>
        <w:rPr>
          <w:rFonts w:ascii="Arial" w:hAnsi="Arial" w:eastAsia="Noto Sans CJK SC"/>
          <w:b w:val="0"/>
          <w:color w:val="526763"/>
          <w:sz w:val="18"/>
        </w:rPr>
        <w:t>本文所示药品、说明书及审核记录均为软件演示资料。</w:t>
      </w:r>
    </w:p>
    <w:p>
      <w:r>
        <w:br w:type="page"/>
      </w:r>
    </w:p>
    <w:p>
      <w:r>
        <w:rPr>
          <w:rFonts w:ascii="Arial" w:hAnsi="Arial" w:eastAsia="Noto Sans CJK SC"/>
          <w:b w:val="0"/>
          <w:sz w:val="21"/>
        </w:rPr>
        <w:t>本说明用于核对源程序鉴别材料的来源与页段，不作为新增的程序内容。代码固定于提交 98e406f93f8777fc416014cee05d1737966fab4e；文档编制及截图工具不计入该运行版本的源程序量。</w:t>
      </w:r>
    </w:p>
    <w:p>
      <w:pPr>
        <w:pStyle w:val="Heading1"/>
      </w:pPr>
      <w:r>
        <w:t>1 统计口径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项目</w:t>
            </w:r>
          </w:p>
        </w:tc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统计对象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11 个软件运行源文件，包括 Python、JavaScript、HTML 和 CSS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实际物理行数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4,505 行，包含注释和空白行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非空源代码行数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4,079 行，包含注释，不等同于可执行语句数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排版后的代码显示行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4,490 行，长行显示折行，省略纯空白行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全量编排页数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82 页，每页 55 个显示行，最后一页 35 行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鉴别材料选取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全量编排第 1—30 页及第 53—82 页，共 60 页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提交稿页码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重新连续编号为第 1—60 页，原编排页码在清单中保留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源码总行数是明确统计范围下的项目事实，不表示法律规定的最低行数。源程序量字段可使用“4,505 行”并保留本说明的统计口径，最终按办理系统要求填写。</w:t>
      </w:r>
    </w:p>
    <w:p>
      <w:pPr>
        <w:pStyle w:val="Heading1"/>
      </w:pPr>
      <w:r>
        <w:t>2 编排方式</w:t>
      </w:r>
    </w:p>
    <w:p>
      <w:r>
        <w:rPr>
          <w:rFonts w:ascii="Arial" w:hAnsi="Arial" w:eastAsia="Noto Sans CJK SC"/>
          <w:b w:val="0"/>
          <w:sz w:val="21"/>
        </w:rPr>
        <w:t>材料逐文件读取固定提交中的原始内容。每个原始非空行按显示宽度进行必要折行，不改写、补造或复制代码；仅为排版省略纯空白行。显示行号用于查找位置，不属于程序文本。每页顶部列出该页首尾所属源文件及原始行号。</w:t>
      </w:r>
    </w:p>
    <w:p>
      <w:r>
        <w:rPr>
          <w:rFonts w:ascii="Arial" w:hAnsi="Arial" w:eastAsia="Noto Sans CJK SC"/>
          <w:b w:val="0"/>
          <w:sz w:val="21"/>
        </w:rPr>
        <w:t>所有显示行及原始行之间的对应关系可根据 source_manifest.json 中的文件列表、每页起止映射与固定提交重现。scripts/build_registration_docs.py 包含实际生成逻辑。完整源程序汇编.txt 保留所列文件的原始文本和空白行，文件间分隔标题是索引，不计入源程序量。</w:t>
      </w:r>
    </w:p>
    <w:p>
      <w:r>
        <w:rPr>
          <w:rFonts w:ascii="Arial" w:hAnsi="Arial" w:eastAsia="Noto Sans CJK SC"/>
          <w:b w:val="0"/>
          <w:sz w:val="21"/>
        </w:rPr>
        <w:t>本次按一般交存方式准备前后各 30 页。截取位置依据统一、完整的显示编排，不在页段内部挑选或拼接代码。最后一页仅保留实际内容，没有为增加行数填充代码。提交前应核对登记机构当时的版式、长行折行及末页要求，必要时从相同完整源程序重新排版。</w:t>
      </w:r>
    </w:p>
    <w:p>
      <w:pPr>
        <w:pStyle w:val="Heading1"/>
      </w:pPr>
      <w:r>
        <w:t>3 文件顺序与范围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顺序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文件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对应功能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run.py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本地启动入口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app/__init__.py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应用包声明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app/main.py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接口、校验与业务编排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app/database.py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数据库与事务日志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app/documents.py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文件提取、章节解析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app/comparison.py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章节对齐与差异计算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app/static/styles.css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界面布局与样式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app/static/index.html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页面入口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app/static/app.js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页面交互与审核流程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app/reports.py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审核报告导出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app/demo.py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内置虚构演示资料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该顺序覆盖上述运行源文件，没有纳入第三方依赖源码、虚拟环境、缓存、数据库、上传资料、测试、文档工具或个人凭证。SHA-256 逐文件校验值见 source_manifest.json；校验值用于核对内容，不构成第三方认证。</w:t>
      </w:r>
    </w:p>
    <w:p>
      <w:pPr>
        <w:pStyle w:val="Heading1"/>
      </w:pPr>
      <w:r>
        <w:t>4 使用本套材料</w:t>
      </w:r>
    </w:p>
    <w:p>
      <w:r>
        <w:rPr>
          <w:rFonts w:ascii="Arial" w:hAnsi="Arial" w:eastAsia="Noto Sans CJK SC"/>
          <w:b w:val="0"/>
          <w:sz w:val="21"/>
        </w:rPr>
        <w:t>05_源程序鉴别材料.docx 可供编辑排版，其 PDF 版本可供检查页码与版面。任何程序修改都应重新固定代码版本、计算行数并生成整套源程序材料，不能只修改个别页面后继续使用旧清单。</w:t>
      </w:r>
    </w:p>
    <w:p>
      <w:r>
        <w:rPr>
          <w:rFonts w:ascii="Arial" w:hAnsi="Arial" w:eastAsia="Noto Sans CJK SC"/>
          <w:b w:val="0"/>
          <w:sz w:val="21"/>
        </w:rPr>
        <w:t>鉴别材料页眉统一为软件全称与 V1.0。申请人确认名称、版本及权利归属后，再按办理系统要求完成其他署名信息。本说明不代替申请表或权属证明。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26763"/>
        <w:sz w:val="16"/>
      </w:rPr>
      <w:t xml:space="preserve">源程序编排说明  |  第 </w:t>
    </w:r>
    <w:fldSimple w:instr="PAGE"/>
    <w:r>
      <w:rPr>
        <w:rFonts w:ascii="Arial" w:hAnsi="Arial" w:eastAsia="Noto Sans CJK SC"/>
        <w:b w:val="0"/>
        <w:color w:val="526763"/>
        <w:sz w:val="16"/>
      </w:rPr>
      <w:t xml:space="preserve"> 页 / 共 </w:t>
    </w:r>
    <w:fldSimple w:instr="NUMPAGES"/>
    <w:r>
      <w:rPr>
        <w:rFonts w:ascii="Arial" w:hAnsi="Arial" w:eastAsia="Noto Sans CJK SC"/>
        <w:b w:val="0"/>
        <w:color w:val="5267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Noto Sans CJK SC"/>
        <w:b w:val="0"/>
        <w:color w:val="526763"/>
        <w:sz w:val="16"/>
      </w:rPr>
      <w:t>药品说明书版本比对与变更审核系统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Noto Sans CJK SC"/>
      <w:color w:val="173F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药品说明书版本比对与变更审核系统 V1.0 源程序编排说明</dc:title>
  <dc:subject>对应已实现软件的登记材料整理稿</dc:subject>
  <dc:creator>待申请人填写</dc:creator>
  <cp:keywords>MedLabel Review, V1.0</cp:keywords>
  <dc:description>generated by python-docx</dc:description>
  <cp:lastModifiedBy/>
  <cp:revision>1</cp:revision>
  <dcterms:created xsi:type="dcterms:W3CDTF">2026-10-25T23:40:48Z</dcterms:created>
  <dcterms:modified xsi:type="dcterms:W3CDTF">2026-10-25T23:40:48Z</dcterms:modified>
  <cp:category/>
</cp:coreProperties>
</file>