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通事 TONGSHI · 本次改动总结</w:t>
      </w:r>
    </w:p>
    <w:p>
      <w:pPr>
        <w:spacing w:after="280"/>
        <w:jc w:val="center"/>
      </w:pPr>
      <w:r>
        <w:rPr>
          <w:color w:val="556070"/>
        </w:rPr>
        <w:t>2026-10-29 · 传智杯参赛项目</w:t>
      </w:r>
    </w:p>
    <w:p>
      <w:pPr>
        <w:pStyle w:val="Heading1"/>
      </w:pPr>
      <w:r>
        <w:t>一、项目地址与当前状态</w:t>
      </w:r>
    </w:p>
    <w:p>
      <w:pPr>
        <w:spacing w:after="60"/>
      </w:pPr>
      <w:r>
        <w:rPr>
          <w:b/>
        </w:rPr>
        <w:t>GitHub 仓库：</w:t>
      </w:r>
      <w:r>
        <w:rPr>
          <w:color w:val="0B57D0"/>
        </w:rPr>
        <w:t>https://github.com/yinyongshuiyiguoqi/tongshi</w:t>
      </w:r>
    </w:p>
    <w:p>
      <w:pPr>
        <w:spacing w:after="60"/>
      </w:pPr>
      <w:r>
        <w:rPr>
          <w:b/>
        </w:rPr>
        <w:t>在线演示：</w:t>
      </w:r>
      <w:r>
        <w:rPr>
          <w:color w:val="0B57D0"/>
        </w:rPr>
        <w:t>https://tongshizhifa.cn</w:t>
      </w:r>
    </w:p>
    <w:p>
      <w:pPr>
        <w:spacing w:after="160"/>
      </w:pPr>
      <w:r>
        <w:t>仓库为 Public，默认分支 main，工作区干净；演示账号 001984 / tongshi。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仓库可见性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默认分支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提交历史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50 条（真实历史）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GitHub Actions CI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通过（npm ci → tsc → vite build）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本地 git status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干净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线上 /api/health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200</w:t>
            </w:r>
          </w:p>
        </w:tc>
      </w:tr>
    </w:tbl>
    <w:p>
      <w:pPr>
        <w:spacing w:after="40"/>
      </w:pPr>
    </w:p>
    <w:p>
      <w:pPr>
        <w:pStyle w:val="Heading1"/>
      </w:pPr>
      <w:r>
        <w:t>二、开机动画升级</w:t>
      </w:r>
    </w:p>
    <w:p>
      <w:pPr>
        <w:spacing w:after="120"/>
      </w:pPr>
      <w:r>
        <w:t>从“点击一次直接进入”改为有节奏的两次点击，并把运镜、蓄力、文字与玻璃细节全部参数化。</w:t>
      </w:r>
    </w:p>
    <w:p>
      <w:pPr>
        <w:pStyle w:val="ListBullet"/>
        <w:spacing w:after="60"/>
      </w:pPr>
      <w:r>
        <w:t>两次点击流程：第一次点击离开问候、进入 Logo 与蓄力；蓄力后停住等待，第二次点击才一镜到底进入主页面。</w:t>
      </w:r>
    </w:p>
    <w:p>
      <w:pPr>
        <w:pStyle w:val="ListBullet"/>
        <w:spacing w:after="60"/>
      </w:pPr>
      <w:r>
        <w:t>真实文字测宽：用 ResizeObserver 测量当前问候语排版尺寸，驱动镜片宽度与缩放，长词不再溢出或过窄。</w:t>
      </w:r>
    </w:p>
    <w:p>
      <w:pPr>
        <w:pStyle w:val="ListBullet"/>
        <w:spacing w:after="60"/>
      </w:pPr>
      <w:r>
        <w:t>新增星空/星云/流星、行星轨道与两颗卫星、镜片月牙晨昏线，以及镜片微光、扫光、水光、内圈涟漪等细节。</w:t>
      </w:r>
    </w:p>
    <w:p>
      <w:pPr>
        <w:pStyle w:val="ListBullet"/>
        <w:spacing w:after="60"/>
      </w:pPr>
      <w:r>
        <w:t>点击处三重水波、等待态光晕呼吸与邀请水波；点击与运镜同一帧发生，反馈更直接。</w:t>
      </w:r>
    </w:p>
    <w:p>
      <w:pPr>
        <w:pStyle w:val="ListBullet"/>
        <w:spacing w:after="60"/>
      </w:pPr>
      <w:r>
        <w:t>进度条不再假装百分比：加载时不定长扫光，页面就绪后淡出。</w:t>
      </w:r>
    </w:p>
    <w:p>
      <w:pPr>
        <w:pStyle w:val="ListBullet"/>
        <w:spacing w:after="60"/>
      </w:pPr>
      <w:r>
        <w:t>降级与可访问性：支持 prefers-reduced-motion、reduced-transparency、prefers-contrast，并补充 aria-live 状态播报。</w:t>
      </w:r>
    </w:p>
    <w:p>
      <w:pPr>
        <w:pStyle w:val="ListBullet"/>
        <w:spacing w:after="60"/>
      </w:pPr>
      <w:r>
        <w:t>全部参数写入项目 skill：tongshi-boot-splash（1843 行，覆盖 34 个 keyframes、相位状态机、逐帧时间轴与验收清单）。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0"/>
          <w:sz w:val="18"/>
        </w:rPr>
        <w:t>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4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0"/>
          <w:sz w:val="18"/>
        </w:rPr>
        <w:t>工作台</w:t>
      </w:r>
    </w:p>
    <w:p>
      <w:pPr>
        <w:pStyle w:val="Heading1"/>
      </w:pPr>
      <w:r>
        <w:t>三、同期完善的功能</w:t>
      </w:r>
    </w:p>
    <w:p>
      <w:pPr>
        <w:pStyle w:val="ListBullet"/>
        <w:spacing w:after="60"/>
      </w:pPr>
      <w:r>
        <w:t>账号体系：注册、登录、找回密码，会话与个人页；Agent 设置支持用户级 Key / Base URL / 模型。</w:t>
      </w:r>
    </w:p>
    <w:p>
      <w:pPr>
        <w:pStyle w:val="ListBullet"/>
        <w:spacing w:after="60"/>
      </w:pPr>
      <w:r>
        <w:t>背景系统：按天轮换、手动切换、自定义上传，配合液态玻璃 Dock 的亮度自适应。</w:t>
      </w:r>
    </w:p>
    <w:p>
      <w:pPr>
        <w:pStyle w:val="ListBullet"/>
        <w:spacing w:after="60"/>
      </w:pPr>
      <w:r>
        <w:t>服务端：模型与法规检索配置、反馈邮件、重置密码邮件、SenseVoice 语音识别脚本。</w:t>
      </w:r>
    </w:p>
    <w:p>
      <w:pPr>
        <w:pStyle w:val="ListBullet"/>
        <w:spacing w:after="60"/>
      </w:pPr>
      <w:r>
        <w:t>匹配逻辑：高相似度走人工核定情形库，其余走 Agent 研判 + 法条检索，并做条号校验。</w:t>
      </w:r>
    </w:p>
    <w:p>
      <w:pPr>
        <w:pStyle w:val="Heading1"/>
      </w:pPr>
      <w:r>
        <w:t>四、提交工程化改动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改动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排除 data/、tmp/、boot-static-test.html 等本机运行数据与临时文件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敏感信息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.env.local、data/sessions.json 未进入仓库；.env.example 的邮箱改为占位符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README 运行说明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补充后端启动命令，并醒目标注语音识别依赖（sherpa-onnx / zhconv / ffmpeg）不在 package.json 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README 界面预览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新增登录页、工作台、开机动画三张真实截图，并加 CI 状态徽章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GitHub Actions CI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推送或 PR 时自动执行 npm ci、TypeScript 类型检查、生产构建</w:t>
            </w:r>
          </w:p>
        </w:tc>
      </w:tr>
    </w:tbl>
    <w:p>
      <w:pPr>
        <w:spacing w:after="40"/>
      </w:pPr>
    </w:p>
    <w:p>
      <w:pPr>
        <w:pStyle w:val="Heading1"/>
      </w:pPr>
      <w:r>
        <w:t>五、提交前自查结果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仓库 Public / 默认 main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工作区干净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.env.local 不在仓库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是（远端 404）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data/sessions.json 不在仓库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是（远端 404）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src/data 在仓库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在线 /api/health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200，正常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README 截图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可正常显示</w:t>
            </w:r>
          </w:p>
        </w:tc>
      </w:tr>
    </w:tbl>
    <w:p>
      <w:pPr>
        <w:spacing w:after="40"/>
      </w:pPr>
    </w:p>
    <w:p>
      <w:pPr>
        <w:pStyle w:val="Heading1"/>
      </w:pPr>
      <w:r>
        <w:t>六、说明</w:t>
      </w:r>
    </w:p>
    <w:p>
      <w:pPr>
        <w:pStyle w:val="ListBullet"/>
        <w:spacing w:after="60"/>
      </w:pPr>
      <w:r>
        <w:t>本项目按“不开源”处理：仓库为 Public 供评审查看，但没有添加 LICENSE，默认保留所有权利。</w:t>
      </w:r>
    </w:p>
    <w:p>
      <w:pPr>
        <w:pStyle w:val="ListBullet"/>
        <w:spacing w:after="60"/>
      </w:pPr>
      <w:r>
        <w:t>语音识别是可选的服务端能力，依赖 sherpa-onnx、zhconv 与 ffmpeg，不写入 package.json，避免评审安装前端依赖时失败。</w:t>
      </w:r>
    </w:p>
    <w:p>
      <w:pPr>
        <w:pStyle w:val="ListBullet"/>
        <w:spacing w:after="60"/>
      </w:pPr>
      <w:r>
        <w:t>在线演示保持可用至评审结束（11 月 18 日）；当前演示地址与仓库主页均已填写。</w:t>
      </w:r>
    </w:p>
    <w:p>
      <w:pPr>
        <w:spacing w:after="120"/>
      </w:pPr>
      <w:r/>
    </w:p>
    <w:p>
      <w:pPr>
        <w:spacing w:after="120"/>
        <w:jc w:val="right"/>
      </w:pPr>
      <w:r>
        <w:rPr>
          <w:color w:val="778090"/>
          <w:sz w:val="18"/>
        </w:rPr>
        <w:t>生成时间：2026-10-29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