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7C43B" w14:textId="0B4714D8" w:rsidR="003927D8" w:rsidRPr="003927D8" w:rsidRDefault="003927D8" w:rsidP="00392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F7562B" wp14:editId="0CB88AE9">
                <wp:simplePos x="0" y="0"/>
                <wp:positionH relativeFrom="column">
                  <wp:posOffset>2861310</wp:posOffset>
                </wp:positionH>
                <wp:positionV relativeFrom="paragraph">
                  <wp:posOffset>565872</wp:posOffset>
                </wp:positionV>
                <wp:extent cx="3758268" cy="1778466"/>
                <wp:effectExtent l="0" t="0" r="127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8268" cy="1778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F85D60" w14:textId="62BDAF32" w:rsidR="003927D8" w:rsidRPr="003927D8" w:rsidRDefault="003927D8" w:rsidP="003927D8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b/>
                                <w:color w:val="1F4E79" w:themeColor="accent5" w:themeShade="80"/>
                                <w:sz w:val="32"/>
                                <w:szCs w:val="32"/>
                              </w:rPr>
                            </w:pPr>
                            <w:r w:rsidRPr="003927D8">
                              <w:rPr>
                                <w:rFonts w:cstheme="minorHAnsi"/>
                                <w:b/>
                                <w:color w:val="1F4E79" w:themeColor="accent5" w:themeShade="80"/>
                                <w:sz w:val="32"/>
                                <w:szCs w:val="32"/>
                              </w:rPr>
                              <w:t>Incremental Inpatient Healthcare Resource Use and Costs Among CMV Seropositive Allogeneic Stem Cell Transplant Recipients Managed Through Preemptive Approach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7562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25.3pt;margin-top:44.55pt;width:295.95pt;height:14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" fillcolor="white [3201]" stroked="f" strokeweight=".5pt">
                <v:textbox>
                  <w:txbxContent>
                    <w:p w14:paraId="28F85D60" w14:textId="62BDAF32" w:rsidR="003927D8" w:rsidRPr="003927D8" w:rsidRDefault="003927D8" w:rsidP="003927D8">
                      <w:pPr>
                        <w:pStyle w:val="NoSpacing"/>
                        <w:jc w:val="center"/>
                        <w:rPr>
                          <w:rFonts w:cstheme="minorHAnsi"/>
                          <w:b/>
                          <w:color w:val="1F4E79" w:themeColor="accent5" w:themeShade="80"/>
                          <w:sz w:val="32"/>
                          <w:szCs w:val="32"/>
                        </w:rPr>
                      </w:pPr>
                      <w:r w:rsidRPr="003927D8">
                        <w:rPr>
                          <w:rFonts w:cstheme="minorHAnsi"/>
                          <w:b/>
                          <w:color w:val="1F4E79" w:themeColor="accent5" w:themeShade="80"/>
                          <w:sz w:val="32"/>
                          <w:szCs w:val="32"/>
                        </w:rPr>
                        <w:t>Incremental Inpatient Healthcare Resource Use and Costs Among CMV Seropositive Allogeneic Stem Cell Transplant Recipients Managed Through Preemptive Approach</w:t>
                      </w:r>
                    </w:p>
                  </w:txbxContent>
                </v:textbox>
              </v:shape>
            </w:pict>
          </mc:Fallback>
        </mc:AlternateContent>
      </w:r>
      <w:r w:rsidRPr="003927D8">
        <w:rPr>
          <w:rFonts w:ascii="Times New Roman" w:eastAsia="Times New Roman" w:hAnsi="Times New Roman" w:cs="Times New Roman"/>
          <w:sz w:val="24"/>
          <w:szCs w:val="24"/>
          <w:lang w:eastAsia="zh-CN"/>
        </w:rPr>
        <w:fldChar w:fldCharType="begin"/>
      </w:r>
      <w:r w:rsidRPr="003927D8">
        <w:rPr>
          <w:rFonts w:ascii="Times New Roman" w:eastAsia="Times New Roman" w:hAnsi="Times New Roman" w:cs="Times New Roman"/>
          <w:sz w:val="24"/>
          <w:szCs w:val="24"/>
          <w:lang w:eastAsia="zh-CN"/>
        </w:rPr>
        <w:instrText xml:space="preserve"> INCLUDEPICTURE "https://siop-online.org/wp-content/uploads/2020/01/300x250_MAD20-1.jpg" \* MERGEFORMATINET </w:instrText>
      </w:r>
      <w:r w:rsidRPr="003927D8">
        <w:rPr>
          <w:rFonts w:ascii="Times New Roman" w:eastAsia="Times New Roman" w:hAnsi="Times New Roman" w:cs="Times New Roman"/>
          <w:sz w:val="24"/>
          <w:szCs w:val="24"/>
          <w:lang w:eastAsia="zh-CN"/>
        </w:rPr>
        <w:fldChar w:fldCharType="separate"/>
      </w:r>
      <w:r w:rsidRPr="003927D8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70E59580" wp14:editId="6A77067D">
            <wp:extent cx="2860646" cy="2380220"/>
            <wp:effectExtent l="0" t="0" r="0" b="0"/>
            <wp:docPr id="2" name="Picture 2" descr="EBMT 2020 | SI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BMT 2020 | SIO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389" cy="245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27D8">
        <w:rPr>
          <w:rFonts w:ascii="Times New Roman" w:eastAsia="Times New Roman" w:hAnsi="Times New Roman" w:cs="Times New Roman"/>
          <w:sz w:val="24"/>
          <w:szCs w:val="24"/>
          <w:lang w:eastAsia="zh-CN"/>
        </w:rPr>
        <w:fldChar w:fldCharType="end"/>
      </w:r>
    </w:p>
    <w:p w14:paraId="6B2B90A7" w14:textId="77777777" w:rsidR="003927D8" w:rsidRDefault="003927D8" w:rsidP="000A4998">
      <w:pPr>
        <w:pStyle w:val="NoSpacing"/>
        <w:jc w:val="center"/>
        <w:rPr>
          <w:rFonts w:cstheme="minorHAnsi"/>
          <w:b/>
          <w:sz w:val="20"/>
          <w:szCs w:val="20"/>
        </w:rPr>
      </w:pPr>
    </w:p>
    <w:p w14:paraId="3B65F7D7" w14:textId="29AAB136" w:rsidR="005F3098" w:rsidRPr="007C2785" w:rsidRDefault="005F3098" w:rsidP="005F3098">
      <w:pPr>
        <w:rPr>
          <w:rFonts w:cstheme="minorHAnsi"/>
          <w:sz w:val="20"/>
          <w:szCs w:val="20"/>
        </w:rPr>
      </w:pPr>
    </w:p>
    <w:p w14:paraId="5233039D" w14:textId="0C922128" w:rsidR="005F3098" w:rsidRPr="003927D8" w:rsidRDefault="005F3098" w:rsidP="000C2CA0">
      <w:pPr>
        <w:rPr>
          <w:rFonts w:cstheme="minorHAnsi"/>
          <w:vertAlign w:val="superscript"/>
        </w:rPr>
      </w:pPr>
      <w:r w:rsidRPr="003927D8">
        <w:rPr>
          <w:rFonts w:cstheme="minorHAnsi"/>
          <w:b/>
          <w:bCs/>
        </w:rPr>
        <w:t>Jiaqi Fang</w:t>
      </w:r>
      <w:r w:rsidRPr="003927D8">
        <w:rPr>
          <w:rFonts w:cstheme="minorHAnsi"/>
          <w:vertAlign w:val="superscript"/>
        </w:rPr>
        <w:t>1</w:t>
      </w:r>
      <w:r w:rsidRPr="003927D8">
        <w:rPr>
          <w:rFonts w:cstheme="minorHAnsi"/>
        </w:rPr>
        <w:t xml:space="preserve">, </w:t>
      </w:r>
      <w:proofErr w:type="spellStart"/>
      <w:r w:rsidRPr="003927D8">
        <w:rPr>
          <w:rFonts w:cstheme="minorHAnsi"/>
        </w:rPr>
        <w:t>Phaedon</w:t>
      </w:r>
      <w:proofErr w:type="spellEnd"/>
      <w:r w:rsidRPr="003927D8">
        <w:rPr>
          <w:rFonts w:cstheme="minorHAnsi"/>
        </w:rPr>
        <w:t xml:space="preserve"> D. Zavras</w:t>
      </w:r>
      <w:r w:rsidRPr="003927D8">
        <w:rPr>
          <w:rFonts w:cstheme="minorHAnsi"/>
          <w:vertAlign w:val="superscript"/>
        </w:rPr>
        <w:t>1</w:t>
      </w:r>
      <w:r w:rsidRPr="003927D8">
        <w:rPr>
          <w:rFonts w:cstheme="minorHAnsi"/>
        </w:rPr>
        <w:t xml:space="preserve">, </w:t>
      </w:r>
      <w:proofErr w:type="spellStart"/>
      <w:r w:rsidRPr="003927D8">
        <w:rPr>
          <w:rFonts w:cstheme="minorHAnsi"/>
        </w:rPr>
        <w:t>Yiqi</w:t>
      </w:r>
      <w:proofErr w:type="spellEnd"/>
      <w:r w:rsidRPr="003927D8">
        <w:rPr>
          <w:rFonts w:cstheme="minorHAnsi"/>
        </w:rPr>
        <w:t xml:space="preserve"> Su</w:t>
      </w:r>
      <w:r w:rsidRPr="003927D8">
        <w:rPr>
          <w:rFonts w:cstheme="minorHAnsi"/>
          <w:vertAlign w:val="superscript"/>
        </w:rPr>
        <w:t>1</w:t>
      </w:r>
      <w:r w:rsidRPr="003927D8">
        <w:rPr>
          <w:rFonts w:cstheme="minorHAnsi"/>
        </w:rPr>
        <w:t xml:space="preserve">, </w:t>
      </w:r>
      <w:r w:rsidR="005C4C58" w:rsidRPr="003927D8">
        <w:rPr>
          <w:rFonts w:cstheme="minorHAnsi"/>
        </w:rPr>
        <w:t>Amit Raval</w:t>
      </w:r>
      <w:r w:rsidR="00DA6594" w:rsidRPr="003927D8">
        <w:rPr>
          <w:rFonts w:cstheme="minorHAnsi"/>
          <w:vertAlign w:val="superscript"/>
        </w:rPr>
        <w:t>2</w:t>
      </w:r>
      <w:r w:rsidR="005C4C58" w:rsidRPr="003927D8">
        <w:rPr>
          <w:rFonts w:cstheme="minorHAnsi"/>
        </w:rPr>
        <w:t xml:space="preserve">, </w:t>
      </w:r>
      <w:proofErr w:type="spellStart"/>
      <w:r w:rsidR="005C4C58" w:rsidRPr="003927D8">
        <w:rPr>
          <w:rFonts w:cstheme="minorHAnsi"/>
        </w:rPr>
        <w:t>Yuexin</w:t>
      </w:r>
      <w:proofErr w:type="spellEnd"/>
      <w:r w:rsidR="005C4C58" w:rsidRPr="003927D8">
        <w:rPr>
          <w:rFonts w:cstheme="minorHAnsi"/>
        </w:rPr>
        <w:t xml:space="preserve"> Tang</w:t>
      </w:r>
      <w:r w:rsidR="00DA6594" w:rsidRPr="003927D8">
        <w:rPr>
          <w:rFonts w:cstheme="minorHAnsi"/>
          <w:vertAlign w:val="superscript"/>
        </w:rPr>
        <w:t>2</w:t>
      </w:r>
      <w:r w:rsidR="005C4C58" w:rsidRPr="003927D8">
        <w:rPr>
          <w:rFonts w:cstheme="minorHAnsi"/>
        </w:rPr>
        <w:t xml:space="preserve">, </w:t>
      </w:r>
      <w:proofErr w:type="spellStart"/>
      <w:r w:rsidRPr="003927D8">
        <w:rPr>
          <w:rFonts w:cstheme="minorHAnsi"/>
        </w:rPr>
        <w:t>Anat</w:t>
      </w:r>
      <w:proofErr w:type="spellEnd"/>
      <w:r w:rsidRPr="003927D8">
        <w:rPr>
          <w:rFonts w:cstheme="minorHAnsi"/>
        </w:rPr>
        <w:t xml:space="preserve"> Stern</w:t>
      </w:r>
      <w:r w:rsidRPr="003927D8">
        <w:rPr>
          <w:rFonts w:cstheme="minorHAnsi"/>
          <w:vertAlign w:val="superscript"/>
        </w:rPr>
        <w:t>1</w:t>
      </w:r>
      <w:r w:rsidR="005C4C58" w:rsidRPr="003927D8">
        <w:rPr>
          <w:rFonts w:cstheme="minorHAnsi"/>
        </w:rPr>
        <w:t>,</w:t>
      </w:r>
      <w:r w:rsidR="00DA6594" w:rsidRPr="003927D8">
        <w:rPr>
          <w:rFonts w:cstheme="minorHAnsi"/>
        </w:rPr>
        <w:t xml:space="preserve"> </w:t>
      </w:r>
      <w:proofErr w:type="gramStart"/>
      <w:r w:rsidRPr="003927D8">
        <w:rPr>
          <w:rFonts w:cstheme="minorHAnsi"/>
        </w:rPr>
        <w:t>Miguel-Angel</w:t>
      </w:r>
      <w:proofErr w:type="gramEnd"/>
      <w:r w:rsidRPr="003927D8">
        <w:rPr>
          <w:rFonts w:cstheme="minorHAnsi"/>
        </w:rPr>
        <w:t xml:space="preserve"> Perales</w:t>
      </w:r>
      <w:r w:rsidR="00DA6594" w:rsidRPr="003927D8">
        <w:rPr>
          <w:rFonts w:cstheme="minorHAnsi"/>
          <w:vertAlign w:val="superscript"/>
        </w:rPr>
        <w:t>3</w:t>
      </w:r>
      <w:r w:rsidRPr="003927D8">
        <w:rPr>
          <w:rFonts w:cstheme="minorHAnsi"/>
          <w:vertAlign w:val="superscript"/>
        </w:rPr>
        <w:t>,</w:t>
      </w:r>
      <w:r w:rsidR="00DA6594" w:rsidRPr="003927D8">
        <w:rPr>
          <w:rFonts w:cstheme="minorHAnsi"/>
          <w:vertAlign w:val="superscript"/>
        </w:rPr>
        <w:t>4</w:t>
      </w:r>
      <w:r w:rsidRPr="003927D8">
        <w:rPr>
          <w:rFonts w:cstheme="minorHAnsi"/>
        </w:rPr>
        <w:t xml:space="preserve">, </w:t>
      </w:r>
      <w:r w:rsidR="00DA6594" w:rsidRPr="003927D8">
        <w:rPr>
          <w:rFonts w:cstheme="minorHAnsi"/>
        </w:rPr>
        <w:t>Sergio Giralt</w:t>
      </w:r>
      <w:r w:rsidR="00DA6594" w:rsidRPr="003927D8">
        <w:rPr>
          <w:rFonts w:cstheme="minorHAnsi"/>
          <w:vertAlign w:val="superscript"/>
        </w:rPr>
        <w:t>3,4</w:t>
      </w:r>
      <w:r w:rsidR="00DA6594" w:rsidRPr="003927D8">
        <w:rPr>
          <w:rFonts w:cstheme="minorHAnsi"/>
        </w:rPr>
        <w:t xml:space="preserve">, </w:t>
      </w:r>
      <w:proofErr w:type="spellStart"/>
      <w:r w:rsidRPr="003927D8">
        <w:rPr>
          <w:rFonts w:cstheme="minorHAnsi"/>
        </w:rPr>
        <w:t>Genovefa</w:t>
      </w:r>
      <w:proofErr w:type="spellEnd"/>
      <w:r w:rsidRPr="003927D8">
        <w:rPr>
          <w:rFonts w:cstheme="minorHAnsi"/>
        </w:rPr>
        <w:t xml:space="preserve"> Papanicolaou</w:t>
      </w:r>
      <w:r w:rsidRPr="003927D8">
        <w:rPr>
          <w:rFonts w:cstheme="minorHAnsi"/>
          <w:vertAlign w:val="superscript"/>
        </w:rPr>
        <w:t>1,</w:t>
      </w:r>
      <w:r w:rsidR="00DA6594" w:rsidRPr="003927D8">
        <w:rPr>
          <w:rFonts w:cstheme="minorHAnsi"/>
          <w:vertAlign w:val="superscript"/>
        </w:rPr>
        <w:t>4</w:t>
      </w:r>
    </w:p>
    <w:p w14:paraId="65E75D91" w14:textId="3BA48FD7" w:rsidR="00650CE8" w:rsidRPr="003927D8" w:rsidRDefault="005F3098" w:rsidP="000C2CA0">
      <w:pPr>
        <w:rPr>
          <w:rFonts w:cstheme="minorHAnsi"/>
          <w:i/>
          <w:iCs/>
          <w:color w:val="000000"/>
        </w:rPr>
      </w:pPr>
      <w:r w:rsidRPr="003927D8">
        <w:rPr>
          <w:rFonts w:cstheme="minorHAnsi"/>
          <w:i/>
          <w:iCs/>
          <w:vertAlign w:val="superscript"/>
        </w:rPr>
        <w:t>1</w:t>
      </w:r>
      <w:r w:rsidRPr="003927D8">
        <w:rPr>
          <w:rFonts w:cstheme="minorHAnsi"/>
          <w:i/>
          <w:iCs/>
        </w:rPr>
        <w:t xml:space="preserve">Memorial Sloan Kettering Cancer Center, Infectious Disease Service, New York, NY, United </w:t>
      </w:r>
      <w:r w:rsidR="00681BAE" w:rsidRPr="003927D8">
        <w:rPr>
          <w:rFonts w:cstheme="minorHAnsi"/>
          <w:i/>
          <w:iCs/>
        </w:rPr>
        <w:t>States,</w:t>
      </w:r>
      <w:r w:rsidR="000C2CA0" w:rsidRPr="003927D8">
        <w:rPr>
          <w:rFonts w:cstheme="minorHAnsi"/>
          <w:i/>
          <w:iCs/>
        </w:rPr>
        <w:br/>
      </w:r>
      <w:r w:rsidR="00844405" w:rsidRPr="003927D8">
        <w:rPr>
          <w:rFonts w:cstheme="minorHAnsi"/>
          <w:i/>
          <w:iCs/>
          <w:vertAlign w:val="superscript"/>
        </w:rPr>
        <w:t>2</w:t>
      </w:r>
      <w:r w:rsidR="00844405" w:rsidRPr="003927D8">
        <w:rPr>
          <w:rFonts w:cstheme="minorHAnsi"/>
          <w:i/>
          <w:iCs/>
          <w:color w:val="000000"/>
        </w:rPr>
        <w:t>Merck</w:t>
      </w:r>
      <w:r w:rsidR="000455D6" w:rsidRPr="003927D8">
        <w:rPr>
          <w:rFonts w:cstheme="minorHAnsi"/>
          <w:i/>
          <w:iCs/>
          <w:color w:val="000000"/>
        </w:rPr>
        <w:t xml:space="preserve"> &amp; Co., Inc., Kenilworth, NJ, United States</w:t>
      </w:r>
      <w:r w:rsidR="000C2CA0" w:rsidRPr="003927D8">
        <w:rPr>
          <w:rFonts w:cstheme="minorHAnsi"/>
          <w:i/>
          <w:iCs/>
          <w:color w:val="000000"/>
        </w:rPr>
        <w:t>;</w:t>
      </w:r>
      <w:r w:rsidR="000C2CA0" w:rsidRPr="003927D8">
        <w:rPr>
          <w:rFonts w:cstheme="minorHAnsi"/>
          <w:i/>
          <w:iCs/>
          <w:color w:val="000000"/>
        </w:rPr>
        <w:br/>
      </w:r>
      <w:r w:rsidRPr="003927D8">
        <w:rPr>
          <w:rFonts w:cstheme="minorHAnsi"/>
          <w:i/>
          <w:iCs/>
        </w:rPr>
        <w:t xml:space="preserve"> </w:t>
      </w:r>
      <w:r w:rsidR="00880613" w:rsidRPr="003927D8">
        <w:rPr>
          <w:rFonts w:cstheme="minorHAnsi"/>
          <w:i/>
          <w:iCs/>
          <w:vertAlign w:val="superscript"/>
        </w:rPr>
        <w:t>3</w:t>
      </w:r>
      <w:r w:rsidRPr="003927D8">
        <w:rPr>
          <w:rFonts w:cstheme="minorHAnsi"/>
          <w:i/>
          <w:iCs/>
        </w:rPr>
        <w:t>Memorial Sloan Kettering Cancer Center, Bone Marrow Transplant Service, New York, NY, United States</w:t>
      </w:r>
      <w:r w:rsidR="000C2CA0" w:rsidRPr="003927D8">
        <w:rPr>
          <w:rFonts w:cstheme="minorHAnsi"/>
          <w:i/>
          <w:iCs/>
          <w:color w:val="000000"/>
        </w:rPr>
        <w:t>;</w:t>
      </w:r>
      <w:r w:rsidR="000C2CA0" w:rsidRPr="003927D8">
        <w:rPr>
          <w:rFonts w:cstheme="minorHAnsi"/>
          <w:i/>
          <w:iCs/>
          <w:color w:val="000000"/>
        </w:rPr>
        <w:br/>
      </w:r>
      <w:r w:rsidRPr="003927D8">
        <w:rPr>
          <w:rFonts w:cstheme="minorHAnsi"/>
          <w:i/>
          <w:iCs/>
        </w:rPr>
        <w:t xml:space="preserve"> </w:t>
      </w:r>
      <w:r w:rsidR="00880613" w:rsidRPr="003927D8">
        <w:rPr>
          <w:rFonts w:cstheme="minorHAnsi"/>
          <w:i/>
          <w:iCs/>
          <w:vertAlign w:val="superscript"/>
        </w:rPr>
        <w:t>4</w:t>
      </w:r>
      <w:r w:rsidRPr="003927D8">
        <w:rPr>
          <w:rFonts w:cstheme="minorHAnsi"/>
          <w:i/>
          <w:iCs/>
        </w:rPr>
        <w:t>Weill Cornell Medical College, Cornell University, New York, NY, United States</w:t>
      </w:r>
    </w:p>
    <w:p w14:paraId="5E71FFBF" w14:textId="77777777" w:rsidR="00650CE8" w:rsidRPr="003927D8" w:rsidRDefault="00650CE8">
      <w:pPr>
        <w:pStyle w:val="NoSpacing"/>
        <w:rPr>
          <w:rFonts w:cstheme="minorHAnsi"/>
          <w:b/>
        </w:rPr>
      </w:pPr>
    </w:p>
    <w:p w14:paraId="4B73A489" w14:textId="37FA189E" w:rsidR="00736D10" w:rsidRPr="003927D8" w:rsidRDefault="00D75BAA">
      <w:pPr>
        <w:pStyle w:val="NoSpacing"/>
        <w:rPr>
          <w:rFonts w:cstheme="minorHAnsi"/>
        </w:rPr>
      </w:pPr>
      <w:r w:rsidRPr="003927D8">
        <w:rPr>
          <w:rFonts w:cstheme="minorHAnsi"/>
          <w:b/>
        </w:rPr>
        <w:t xml:space="preserve">Background: </w:t>
      </w:r>
      <w:r w:rsidRPr="003927D8">
        <w:rPr>
          <w:rFonts w:cstheme="minorHAnsi"/>
          <w:bCs/>
        </w:rPr>
        <w:t xml:space="preserve">Quantifying the impact of </w:t>
      </w:r>
      <w:r w:rsidR="00650CE8" w:rsidRPr="003927D8">
        <w:rPr>
          <w:rFonts w:cstheme="minorHAnsi"/>
          <w:bCs/>
        </w:rPr>
        <w:t>p</w:t>
      </w:r>
      <w:r w:rsidRPr="003927D8">
        <w:rPr>
          <w:rFonts w:cstheme="minorHAnsi"/>
          <w:bCs/>
        </w:rPr>
        <w:t>re-emptive therapy (PET) on the cost of</w:t>
      </w:r>
      <w:r w:rsidRPr="003927D8">
        <w:rPr>
          <w:rFonts w:cstheme="minorHAnsi"/>
        </w:rPr>
        <w:t xml:space="preserve"> </w:t>
      </w:r>
      <w:r w:rsidR="007C2785" w:rsidRPr="003927D8">
        <w:rPr>
          <w:rFonts w:cstheme="minorHAnsi"/>
        </w:rPr>
        <w:t>allogeneic hematopoietic stem-cell transplant (</w:t>
      </w:r>
      <w:r w:rsidRPr="003927D8">
        <w:rPr>
          <w:rFonts w:cstheme="minorHAnsi"/>
        </w:rPr>
        <w:t>HCT</w:t>
      </w:r>
      <w:r w:rsidR="007C2785" w:rsidRPr="003927D8">
        <w:rPr>
          <w:rFonts w:cstheme="minorHAnsi"/>
        </w:rPr>
        <w:t>)</w:t>
      </w:r>
      <w:r w:rsidRPr="003927D8">
        <w:rPr>
          <w:rFonts w:cstheme="minorHAnsi"/>
        </w:rPr>
        <w:t xml:space="preserve"> is essential for </w:t>
      </w:r>
      <w:r w:rsidRPr="003927D8">
        <w:rPr>
          <w:rFonts w:eastAsia="SimSun" w:cstheme="minorHAnsi"/>
          <w:lang w:eastAsia="zh-CN"/>
        </w:rPr>
        <w:t>assessing</w:t>
      </w:r>
      <w:r w:rsidRPr="003927D8">
        <w:rPr>
          <w:rFonts w:cstheme="minorHAnsi"/>
        </w:rPr>
        <w:t xml:space="preserve"> the net economic value of preventive strategies. We quantified the inpatient </w:t>
      </w:r>
      <w:r w:rsidR="007C2785" w:rsidRPr="003927D8">
        <w:rPr>
          <w:rFonts w:cstheme="minorHAnsi"/>
        </w:rPr>
        <w:t xml:space="preserve">healthcare </w:t>
      </w:r>
      <w:r w:rsidR="00650CE8" w:rsidRPr="003927D8">
        <w:rPr>
          <w:rFonts w:cstheme="minorHAnsi"/>
        </w:rPr>
        <w:t xml:space="preserve">resource use and </w:t>
      </w:r>
      <w:r w:rsidRPr="003927D8">
        <w:rPr>
          <w:rFonts w:cstheme="minorHAnsi"/>
        </w:rPr>
        <w:t xml:space="preserve">costs through Day 180 for a large contemporary cohort of CMV R+ HCT recipients managed preemptively in </w:t>
      </w:r>
      <w:r w:rsidR="00650CE8" w:rsidRPr="003927D8">
        <w:rPr>
          <w:rFonts w:cstheme="minorHAnsi"/>
        </w:rPr>
        <w:t xml:space="preserve">a </w:t>
      </w:r>
      <w:r w:rsidRPr="003927D8">
        <w:rPr>
          <w:rFonts w:cstheme="minorHAnsi"/>
        </w:rPr>
        <w:t>single institution to examine the impact of PET on</w:t>
      </w:r>
      <w:r w:rsidR="00650CE8" w:rsidRPr="003927D8">
        <w:rPr>
          <w:rFonts w:cstheme="minorHAnsi"/>
        </w:rPr>
        <w:t xml:space="preserve"> healthcare resource use and costs</w:t>
      </w:r>
      <w:r w:rsidRPr="003927D8">
        <w:rPr>
          <w:rFonts w:cstheme="minorHAnsi"/>
        </w:rPr>
        <w:t>.</w:t>
      </w:r>
    </w:p>
    <w:p w14:paraId="2E7BE7E6" w14:textId="77777777" w:rsidR="00736D10" w:rsidRPr="003927D8" w:rsidRDefault="00736D10">
      <w:pPr>
        <w:pStyle w:val="NoSpacing"/>
        <w:rPr>
          <w:rFonts w:cstheme="minorHAnsi"/>
          <w:b/>
        </w:rPr>
      </w:pPr>
    </w:p>
    <w:p w14:paraId="627C2B02" w14:textId="0CA2E772" w:rsidR="00736D10" w:rsidRPr="003927D8" w:rsidRDefault="00D75BAA">
      <w:pPr>
        <w:pStyle w:val="NoSpacing"/>
        <w:rPr>
          <w:rFonts w:cstheme="minorHAnsi"/>
        </w:rPr>
      </w:pPr>
      <w:r w:rsidRPr="003927D8">
        <w:rPr>
          <w:rFonts w:cstheme="minorHAnsi"/>
          <w:b/>
        </w:rPr>
        <w:t xml:space="preserve">Methods: </w:t>
      </w:r>
      <w:r w:rsidR="00B77BD3" w:rsidRPr="003927D8">
        <w:rPr>
          <w:rFonts w:cstheme="minorHAnsi"/>
        </w:rPr>
        <w:t>This r</w:t>
      </w:r>
      <w:r w:rsidRPr="003927D8">
        <w:rPr>
          <w:rFonts w:cstheme="minorHAnsi"/>
        </w:rPr>
        <w:t xml:space="preserve">etrospective cohort study </w:t>
      </w:r>
      <w:r w:rsidR="00B77BD3" w:rsidRPr="003927D8">
        <w:rPr>
          <w:rFonts w:cstheme="minorHAnsi"/>
        </w:rPr>
        <w:t xml:space="preserve">included </w:t>
      </w:r>
      <w:r w:rsidRPr="003927D8">
        <w:rPr>
          <w:rFonts w:cstheme="minorHAnsi"/>
        </w:rPr>
        <w:t xml:space="preserve">adult, CMV R+ recipients of first peripheral blood or marrow allografts from 03/2013 to 12/2017 routinely monitored </w:t>
      </w:r>
      <w:r w:rsidR="00850961" w:rsidRPr="003927D8">
        <w:rPr>
          <w:rFonts w:cstheme="minorHAnsi"/>
        </w:rPr>
        <w:t>post</w:t>
      </w:r>
      <w:r w:rsidR="009435DC" w:rsidRPr="003927D8">
        <w:rPr>
          <w:rFonts w:cstheme="minorHAnsi"/>
        </w:rPr>
        <w:t xml:space="preserve"> HCT</w:t>
      </w:r>
      <w:r w:rsidR="00850961" w:rsidRPr="003927D8">
        <w:rPr>
          <w:rFonts w:cstheme="minorHAnsi"/>
        </w:rPr>
        <w:t xml:space="preserve"> </w:t>
      </w:r>
      <w:r w:rsidRPr="003927D8">
        <w:rPr>
          <w:rFonts w:cstheme="minorHAnsi"/>
        </w:rPr>
        <w:t xml:space="preserve">for CMV by a quantitative PCR assay and managed </w:t>
      </w:r>
      <w:r w:rsidRPr="003927D8">
        <w:rPr>
          <w:rFonts w:eastAsia="SimSun" w:cstheme="minorHAnsi"/>
          <w:lang w:eastAsia="zh-CN"/>
        </w:rPr>
        <w:t>preemptively</w:t>
      </w:r>
      <w:r w:rsidRPr="003927D8">
        <w:rPr>
          <w:rFonts w:cstheme="minorHAnsi"/>
        </w:rPr>
        <w:t xml:space="preserve">. </w:t>
      </w:r>
      <w:r w:rsidR="00F6488A" w:rsidRPr="003927D8">
        <w:rPr>
          <w:rFonts w:cstheme="minorHAnsi"/>
        </w:rPr>
        <w:t xml:space="preserve">PET was initiated per standard of care. </w:t>
      </w:r>
      <w:r w:rsidRPr="003927D8">
        <w:rPr>
          <w:rFonts w:cstheme="minorHAnsi"/>
        </w:rPr>
        <w:t>Clinical characteristics and hospitalization data through Day 180 were extracted from the electronic medical records. Inpatient charges were obtained from the Vizient billing database and converted to adjusted costs</w:t>
      </w:r>
      <w:r w:rsidR="002C39E0" w:rsidRPr="003927D8">
        <w:rPr>
          <w:rFonts w:cstheme="minorHAnsi"/>
        </w:rPr>
        <w:t xml:space="preserve"> for 201</w:t>
      </w:r>
      <w:r w:rsidR="00DE0031" w:rsidRPr="003927D8">
        <w:rPr>
          <w:rFonts w:cstheme="minorHAnsi"/>
        </w:rPr>
        <w:t>7</w:t>
      </w:r>
      <w:r w:rsidR="002C39E0" w:rsidRPr="003927D8">
        <w:rPr>
          <w:rFonts w:cstheme="minorHAnsi"/>
        </w:rPr>
        <w:t xml:space="preserve"> USD</w:t>
      </w:r>
      <w:r w:rsidRPr="003927D8">
        <w:rPr>
          <w:rFonts w:cstheme="minorHAnsi"/>
        </w:rPr>
        <w:t xml:space="preserve"> using cost-to-charge ratios, wage index and inflation rate. Charges were divided into four categories: clinical procedure (including surgery,</w:t>
      </w:r>
      <w:r w:rsidRPr="003927D8">
        <w:rPr>
          <w:rFonts w:eastAsia="SimSun" w:cstheme="minorHAnsi"/>
          <w:lang w:eastAsia="zh-CN"/>
        </w:rPr>
        <w:t xml:space="preserve"> laboratory, </w:t>
      </w:r>
      <w:r w:rsidRPr="003927D8">
        <w:rPr>
          <w:rFonts w:cstheme="minorHAnsi"/>
        </w:rPr>
        <w:t xml:space="preserve">transfusion, hemodialysis etc.), </w:t>
      </w:r>
      <w:r w:rsidRPr="003927D8">
        <w:rPr>
          <w:rFonts w:eastAsia="SimSun" w:cstheme="minorHAnsi"/>
          <w:lang w:eastAsia="zh-CN"/>
        </w:rPr>
        <w:t xml:space="preserve">room &amp; board, </w:t>
      </w:r>
      <w:r w:rsidRPr="003927D8">
        <w:rPr>
          <w:rFonts w:cstheme="minorHAnsi"/>
        </w:rPr>
        <w:t>pharmacy</w:t>
      </w:r>
      <w:r w:rsidRPr="003927D8">
        <w:rPr>
          <w:rFonts w:eastAsia="SimSun" w:cstheme="minorHAnsi"/>
          <w:lang w:eastAsia="zh-CN"/>
        </w:rPr>
        <w:t xml:space="preserve"> </w:t>
      </w:r>
      <w:r w:rsidRPr="003927D8">
        <w:rPr>
          <w:rFonts w:cstheme="minorHAnsi"/>
        </w:rPr>
        <w:t xml:space="preserve">and imaging services. Generalized linear model with log links and gamma distribution was used to estimate </w:t>
      </w:r>
      <w:r w:rsidR="00B7502A" w:rsidRPr="003927D8">
        <w:rPr>
          <w:rFonts w:cstheme="minorHAnsi"/>
        </w:rPr>
        <w:t xml:space="preserve">incremental </w:t>
      </w:r>
      <w:r w:rsidRPr="003927D8">
        <w:rPr>
          <w:rFonts w:cstheme="minorHAnsi"/>
        </w:rPr>
        <w:t xml:space="preserve">total inpatient costs by PET use accounting for demographic and transplant characteristics. </w:t>
      </w:r>
    </w:p>
    <w:p w14:paraId="508ADE5E" w14:textId="77777777" w:rsidR="00736D10" w:rsidRPr="003927D8" w:rsidRDefault="00736D10">
      <w:pPr>
        <w:pStyle w:val="NoSpacing"/>
        <w:rPr>
          <w:rFonts w:cstheme="minorHAnsi"/>
        </w:rPr>
      </w:pPr>
    </w:p>
    <w:p w14:paraId="7A81928A" w14:textId="6D2AA3E6" w:rsidR="00736D10" w:rsidRPr="003927D8" w:rsidRDefault="00D75BAA">
      <w:pPr>
        <w:pStyle w:val="NoSpacing"/>
        <w:rPr>
          <w:rFonts w:cstheme="minorHAnsi"/>
        </w:rPr>
      </w:pPr>
      <w:r w:rsidRPr="003927D8">
        <w:rPr>
          <w:rFonts w:cstheme="minorHAnsi"/>
          <w:b/>
        </w:rPr>
        <w:t>Results:</w:t>
      </w:r>
      <w:r w:rsidRPr="003927D8">
        <w:rPr>
          <w:rFonts w:cstheme="minorHAnsi"/>
        </w:rPr>
        <w:t xml:space="preserve"> Of 368 R+ patients, 208/368 (57%) received PET</w:t>
      </w:r>
      <w:r w:rsidR="009435DC" w:rsidRPr="003927D8">
        <w:rPr>
          <w:rFonts w:cstheme="minorHAnsi"/>
        </w:rPr>
        <w:t xml:space="preserve"> for a median duration of 47 days (IQR: 34-70). </w:t>
      </w:r>
      <w:r w:rsidRPr="003927D8">
        <w:rPr>
          <w:rFonts w:cstheme="minorHAnsi"/>
          <w:color w:val="000000"/>
        </w:rPr>
        <w:t>112/208 (54%) PET recipients were readmitted compared to 53/160 (33%) of No-PET recipients (p</w:t>
      </w:r>
      <w:r w:rsidR="00B77BD3" w:rsidRPr="003927D8">
        <w:rPr>
          <w:rFonts w:cstheme="minorHAnsi"/>
          <w:color w:val="000000"/>
        </w:rPr>
        <w:t>&lt;0.01</w:t>
      </w:r>
      <w:r w:rsidRPr="003927D8">
        <w:rPr>
          <w:rFonts w:cstheme="minorHAnsi"/>
          <w:color w:val="000000"/>
        </w:rPr>
        <w:t xml:space="preserve">). Of 180 readmissions among PET recipients 67 (37%) were CMV-related with an average total cost per patient $185,053 (SD: 237,099). The </w:t>
      </w:r>
      <w:r w:rsidRPr="003927D8">
        <w:rPr>
          <w:rFonts w:cstheme="minorHAnsi"/>
        </w:rPr>
        <w:t xml:space="preserve">total readmission(s) cost for </w:t>
      </w:r>
      <w:r w:rsidRPr="003927D8">
        <w:rPr>
          <w:rFonts w:eastAsia="SimSun" w:cstheme="minorHAnsi"/>
          <w:lang w:eastAsia="zh-CN"/>
        </w:rPr>
        <w:t xml:space="preserve">patients with </w:t>
      </w:r>
      <w:r w:rsidRPr="003927D8">
        <w:rPr>
          <w:rFonts w:cstheme="minorHAnsi"/>
        </w:rPr>
        <w:t xml:space="preserve">CMV-related readmission(s) were higher than the cost of </w:t>
      </w:r>
      <w:r w:rsidRPr="003927D8">
        <w:rPr>
          <w:rFonts w:eastAsia="SimSun" w:cstheme="minorHAnsi"/>
          <w:lang w:eastAsia="zh-CN"/>
        </w:rPr>
        <w:t xml:space="preserve">those without </w:t>
      </w:r>
      <w:r w:rsidRPr="003927D8">
        <w:rPr>
          <w:rFonts w:cstheme="minorHAnsi"/>
        </w:rPr>
        <w:t>CMV-related readmission(s) (average $253,083 vs. $144,684, p</w:t>
      </w:r>
      <w:r w:rsidR="00B77BD3" w:rsidRPr="003927D8">
        <w:rPr>
          <w:rFonts w:cstheme="minorHAnsi"/>
        </w:rPr>
        <w:t>&lt;0.01</w:t>
      </w:r>
      <w:r w:rsidRPr="003927D8">
        <w:rPr>
          <w:rFonts w:cstheme="minorHAnsi"/>
        </w:rPr>
        <w:t xml:space="preserve">). </w:t>
      </w:r>
      <w:r w:rsidR="009435DC" w:rsidRPr="003927D8">
        <w:rPr>
          <w:rFonts w:cstheme="minorHAnsi"/>
        </w:rPr>
        <w:t>T</w:t>
      </w:r>
      <w:r w:rsidR="00B7502A" w:rsidRPr="003927D8">
        <w:rPr>
          <w:rFonts w:cstheme="minorHAnsi"/>
        </w:rPr>
        <w:t xml:space="preserve">he </w:t>
      </w:r>
      <w:r w:rsidR="00B30593" w:rsidRPr="003927D8">
        <w:rPr>
          <w:rFonts w:cstheme="minorHAnsi"/>
        </w:rPr>
        <w:t xml:space="preserve">mean </w:t>
      </w:r>
      <w:r w:rsidRPr="003927D8">
        <w:rPr>
          <w:rFonts w:cstheme="minorHAnsi"/>
        </w:rPr>
        <w:t xml:space="preserve">incremental total readmission cost </w:t>
      </w:r>
      <w:r w:rsidR="00B7502A" w:rsidRPr="003927D8">
        <w:rPr>
          <w:rFonts w:cstheme="minorHAnsi"/>
        </w:rPr>
        <w:t xml:space="preserve">for the PET group </w:t>
      </w:r>
      <w:r w:rsidRPr="003927D8">
        <w:rPr>
          <w:rFonts w:cstheme="minorHAnsi"/>
        </w:rPr>
        <w:t xml:space="preserve">was $42,882 compared with the </w:t>
      </w:r>
      <w:r w:rsidR="00B7502A" w:rsidRPr="003927D8">
        <w:rPr>
          <w:rFonts w:cstheme="minorHAnsi"/>
        </w:rPr>
        <w:t>NO</w:t>
      </w:r>
      <w:r w:rsidRPr="003927D8">
        <w:rPr>
          <w:rFonts w:cstheme="minorHAnsi"/>
        </w:rPr>
        <w:t>-PET group (P=0.04) (</w:t>
      </w:r>
      <w:r w:rsidR="00E57D82" w:rsidRPr="003927D8">
        <w:rPr>
          <w:rFonts w:cstheme="minorHAnsi"/>
        </w:rPr>
        <w:t>Figure 1a</w:t>
      </w:r>
      <w:r w:rsidRPr="003927D8">
        <w:rPr>
          <w:rFonts w:cstheme="minorHAnsi"/>
        </w:rPr>
        <w:t xml:space="preserve">). </w:t>
      </w:r>
      <w:r w:rsidR="00A91F62" w:rsidRPr="003927D8">
        <w:rPr>
          <w:rFonts w:cstheme="minorHAnsi"/>
        </w:rPr>
        <w:t>23/368 (6.25%) developed CMV end organ disease (EOD) by Day 180. CMV EOD</w:t>
      </w:r>
      <w:r w:rsidRPr="003927D8">
        <w:rPr>
          <w:rFonts w:cstheme="minorHAnsi"/>
        </w:rPr>
        <w:t xml:space="preserve"> was associated with </w:t>
      </w:r>
      <w:r w:rsidRPr="003927D8">
        <w:rPr>
          <w:rFonts w:cstheme="minorHAnsi"/>
        </w:rPr>
        <w:lastRenderedPageBreak/>
        <w:t>an incremental cost of $131,137 compared to those without EOD (</w:t>
      </w:r>
      <w:r w:rsidRPr="003927D8">
        <w:rPr>
          <w:rFonts w:eastAsia="Times New Roman" w:cstheme="minorHAnsi"/>
          <w:bCs/>
          <w:color w:val="000000"/>
        </w:rPr>
        <w:t>P</w:t>
      </w:r>
      <w:r w:rsidR="002D4329" w:rsidRPr="003927D8">
        <w:rPr>
          <w:rFonts w:eastAsia="Times New Roman" w:cstheme="minorHAnsi"/>
          <w:bCs/>
          <w:color w:val="000000"/>
        </w:rPr>
        <w:t>&lt;0.01</w:t>
      </w:r>
      <w:r w:rsidRPr="003927D8">
        <w:rPr>
          <w:rFonts w:eastAsia="Times New Roman" w:cstheme="minorHAnsi"/>
          <w:bCs/>
          <w:color w:val="000000"/>
        </w:rPr>
        <w:t>)</w:t>
      </w:r>
      <w:r w:rsidRPr="003927D8">
        <w:rPr>
          <w:rFonts w:cstheme="minorHAnsi"/>
        </w:rPr>
        <w:t>. In multivariable analyses</w:t>
      </w:r>
      <w:r w:rsidR="00B7502A" w:rsidRPr="003927D8">
        <w:rPr>
          <w:rFonts w:cstheme="minorHAnsi"/>
        </w:rPr>
        <w:t>,</w:t>
      </w:r>
      <w:r w:rsidRPr="003927D8">
        <w:rPr>
          <w:rFonts w:cstheme="minorHAnsi"/>
        </w:rPr>
        <w:t xml:space="preserve"> PET, grade 2-4 acute GVHD and CMV EOD </w:t>
      </w:r>
      <w:r w:rsidR="00B7502A" w:rsidRPr="003927D8">
        <w:rPr>
          <w:rFonts w:cstheme="minorHAnsi"/>
        </w:rPr>
        <w:t xml:space="preserve">had 22%, 63% and 42% </w:t>
      </w:r>
      <w:r w:rsidRPr="003927D8">
        <w:rPr>
          <w:rFonts w:cstheme="minorHAnsi"/>
        </w:rPr>
        <w:t xml:space="preserve">for </w:t>
      </w:r>
      <w:r w:rsidR="00B7502A" w:rsidRPr="003927D8">
        <w:rPr>
          <w:rFonts w:cstheme="minorHAnsi"/>
        </w:rPr>
        <w:t xml:space="preserve">greater </w:t>
      </w:r>
      <w:r w:rsidRPr="003927D8">
        <w:rPr>
          <w:rFonts w:cstheme="minorHAnsi"/>
        </w:rPr>
        <w:t>inpatient costs after adjusting for other characteristics</w:t>
      </w:r>
      <w:r w:rsidR="00B7502A" w:rsidRPr="003927D8">
        <w:rPr>
          <w:rFonts w:cstheme="minorHAnsi"/>
        </w:rPr>
        <w:t>, respectively</w:t>
      </w:r>
      <w:r w:rsidRPr="003927D8">
        <w:rPr>
          <w:rFonts w:cstheme="minorHAnsi"/>
        </w:rPr>
        <w:t xml:space="preserve"> (</w:t>
      </w:r>
      <w:r w:rsidR="00E57D82" w:rsidRPr="003927D8">
        <w:rPr>
          <w:rFonts w:cstheme="minorHAnsi"/>
        </w:rPr>
        <w:t>Figure 1a</w:t>
      </w:r>
      <w:r w:rsidRPr="003927D8">
        <w:rPr>
          <w:rFonts w:cstheme="minorHAnsi"/>
        </w:rPr>
        <w:t xml:space="preserve">). Breakdown of costs showed that PET recipients incurred higher average inpatient costs in clinical procedures, </w:t>
      </w:r>
      <w:r w:rsidRPr="003927D8">
        <w:rPr>
          <w:rFonts w:eastAsia="SimSun" w:cstheme="minorHAnsi"/>
          <w:lang w:eastAsia="zh-CN"/>
        </w:rPr>
        <w:t xml:space="preserve">room &amp; board and </w:t>
      </w:r>
      <w:r w:rsidRPr="003927D8">
        <w:rPr>
          <w:rFonts w:cstheme="minorHAnsi"/>
        </w:rPr>
        <w:t>pharmacy</w:t>
      </w:r>
      <w:r w:rsidRPr="003927D8">
        <w:rPr>
          <w:rFonts w:eastAsia="SimSun" w:cstheme="minorHAnsi"/>
          <w:lang w:eastAsia="zh-CN"/>
        </w:rPr>
        <w:t xml:space="preserve"> </w:t>
      </w:r>
      <w:r w:rsidRPr="003927D8">
        <w:rPr>
          <w:rFonts w:cstheme="minorHAnsi"/>
        </w:rPr>
        <w:t>categories compared with NO-PET group (Figure 1</w:t>
      </w:r>
      <w:r w:rsidR="00E57D82" w:rsidRPr="003927D8">
        <w:rPr>
          <w:rFonts w:cstheme="minorHAnsi"/>
        </w:rPr>
        <w:t>b</w:t>
      </w:r>
      <w:r w:rsidRPr="003927D8">
        <w:rPr>
          <w:rFonts w:cstheme="minorHAnsi"/>
        </w:rPr>
        <w:t>).</w:t>
      </w:r>
    </w:p>
    <w:p w14:paraId="57DFA288" w14:textId="77777777" w:rsidR="00736D10" w:rsidRPr="003927D8" w:rsidRDefault="00736D10">
      <w:pPr>
        <w:pStyle w:val="NoSpacing"/>
        <w:rPr>
          <w:rFonts w:cstheme="minorHAnsi"/>
        </w:rPr>
      </w:pPr>
    </w:p>
    <w:p w14:paraId="396B128C" w14:textId="6062B2B1" w:rsidR="00736D10" w:rsidRPr="003927D8" w:rsidRDefault="00D75BAA">
      <w:pPr>
        <w:pStyle w:val="NoSpacing"/>
        <w:rPr>
          <w:rFonts w:cstheme="minorHAnsi"/>
        </w:rPr>
      </w:pPr>
      <w:r w:rsidRPr="003927D8">
        <w:rPr>
          <w:rFonts w:cstheme="minorHAnsi"/>
          <w:b/>
        </w:rPr>
        <w:t xml:space="preserve">Conclusion: </w:t>
      </w:r>
      <w:r w:rsidRPr="003927D8">
        <w:rPr>
          <w:rFonts w:cstheme="minorHAnsi"/>
        </w:rPr>
        <w:t xml:space="preserve">PET </w:t>
      </w:r>
      <w:r w:rsidR="002D4329" w:rsidRPr="003927D8">
        <w:rPr>
          <w:rFonts w:cstheme="minorHAnsi"/>
        </w:rPr>
        <w:t>recipients had significant higher</w:t>
      </w:r>
      <w:r w:rsidRPr="003927D8">
        <w:rPr>
          <w:rFonts w:cstheme="minorHAnsi"/>
        </w:rPr>
        <w:t xml:space="preserve"> total readmission costs compared with NO-PET group</w:t>
      </w:r>
      <w:r w:rsidR="00B30593" w:rsidRPr="003927D8">
        <w:rPr>
          <w:rFonts w:cstheme="minorHAnsi"/>
        </w:rPr>
        <w:t xml:space="preserve"> even after adjusting for baseline demographic and clinical characteristics</w:t>
      </w:r>
      <w:r w:rsidR="002D4329" w:rsidRPr="003927D8">
        <w:rPr>
          <w:rFonts w:cstheme="minorHAnsi"/>
        </w:rPr>
        <w:t>.</w:t>
      </w:r>
      <w:r w:rsidRPr="003927D8">
        <w:rPr>
          <w:rFonts w:cstheme="minorHAnsi"/>
        </w:rPr>
        <w:t xml:space="preserve"> </w:t>
      </w:r>
      <w:r w:rsidR="006623DB" w:rsidRPr="003927D8">
        <w:rPr>
          <w:rFonts w:cstheme="minorHAnsi"/>
        </w:rPr>
        <w:t>Our study f</w:t>
      </w:r>
      <w:r w:rsidR="00B7502A" w:rsidRPr="003927D8">
        <w:rPr>
          <w:rFonts w:cstheme="minorHAnsi"/>
        </w:rPr>
        <w:t xml:space="preserve">indings </w:t>
      </w:r>
      <w:r w:rsidR="006623DB" w:rsidRPr="003927D8">
        <w:rPr>
          <w:rFonts w:cstheme="minorHAnsi"/>
        </w:rPr>
        <w:t xml:space="preserve">showed that </w:t>
      </w:r>
      <w:r w:rsidR="00B7502A" w:rsidRPr="003927D8">
        <w:rPr>
          <w:rFonts w:cstheme="minorHAnsi"/>
        </w:rPr>
        <w:t xml:space="preserve">managing CMV through preemptive approach </w:t>
      </w:r>
      <w:r w:rsidR="006623DB" w:rsidRPr="003927D8">
        <w:rPr>
          <w:rFonts w:cstheme="minorHAnsi"/>
        </w:rPr>
        <w:t xml:space="preserve">had substantial </w:t>
      </w:r>
      <w:r w:rsidR="00B7502A" w:rsidRPr="003927D8">
        <w:rPr>
          <w:rFonts w:cstheme="minorHAnsi"/>
        </w:rPr>
        <w:t>incremental inpatient healthcare resource and costs in CMV R+ HCT recipients</w:t>
      </w:r>
      <w:r w:rsidR="006623DB" w:rsidRPr="003927D8">
        <w:rPr>
          <w:rFonts w:cstheme="minorHAnsi"/>
        </w:rPr>
        <w:t xml:space="preserve"> and highlight needs for future interventions to reduce the excess healthcare resource use and costs. </w:t>
      </w:r>
    </w:p>
    <w:p w14:paraId="571F23D6" w14:textId="77777777" w:rsidR="00736D10" w:rsidRPr="007C2785" w:rsidRDefault="00736D10">
      <w:pPr>
        <w:pStyle w:val="NoSpacing"/>
        <w:rPr>
          <w:rFonts w:cstheme="minorHAnsi"/>
          <w:b/>
          <w:sz w:val="20"/>
          <w:szCs w:val="20"/>
        </w:rPr>
      </w:pPr>
    </w:p>
    <w:p w14:paraId="537EB071" w14:textId="03C01094" w:rsidR="007C2785" w:rsidRDefault="007C2785">
      <w:pPr>
        <w:spacing w:after="0" w:line="240" w:lineRule="auto"/>
        <w:rPr>
          <w:rFonts w:cstheme="minorHAnsi"/>
          <w:b/>
          <w:sz w:val="20"/>
          <w:szCs w:val="20"/>
        </w:rPr>
      </w:pPr>
    </w:p>
    <w:p w14:paraId="013C508E" w14:textId="0D2F3386" w:rsidR="00A91F62" w:rsidRPr="007C2785" w:rsidRDefault="00602873">
      <w:pPr>
        <w:pStyle w:val="NoSpacing"/>
        <w:rPr>
          <w:rFonts w:cstheme="minorHAnsi"/>
          <w:b/>
          <w:sz w:val="20"/>
          <w:szCs w:val="20"/>
        </w:rPr>
      </w:pPr>
      <w:r>
        <w:rPr>
          <w:rFonts w:cstheme="minorHAnsi" w:hint="eastAsia"/>
          <w:b/>
          <w:noProof/>
          <w:sz w:val="20"/>
          <w:szCs w:val="20"/>
          <w:lang w:eastAsia="zh-CN"/>
        </w:rPr>
        <w:drawing>
          <wp:inline distT="0" distB="0" distL="0" distR="0" wp14:anchorId="66D84629" wp14:editId="7B95CBD9">
            <wp:extent cx="6109454" cy="5146040"/>
            <wp:effectExtent l="0" t="0" r="1206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10 at 11.19.58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183" cy="514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F62" w:rsidRPr="007C2785" w:rsidSect="003927D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8E1C7" w14:textId="77777777" w:rsidR="00816EBC" w:rsidRDefault="00816EBC" w:rsidP="00650CE8">
      <w:pPr>
        <w:spacing w:after="0" w:line="240" w:lineRule="auto"/>
      </w:pPr>
      <w:r>
        <w:separator/>
      </w:r>
    </w:p>
  </w:endnote>
  <w:endnote w:type="continuationSeparator" w:id="0">
    <w:p w14:paraId="4F88130C" w14:textId="77777777" w:rsidR="00816EBC" w:rsidRDefault="00816EBC" w:rsidP="00650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B46DB" w14:textId="77777777" w:rsidR="00816EBC" w:rsidRDefault="00816EBC" w:rsidP="00650CE8">
      <w:pPr>
        <w:spacing w:after="0" w:line="240" w:lineRule="auto"/>
      </w:pPr>
      <w:r>
        <w:separator/>
      </w:r>
    </w:p>
  </w:footnote>
  <w:footnote w:type="continuationSeparator" w:id="0">
    <w:p w14:paraId="477112D5" w14:textId="77777777" w:rsidR="00816EBC" w:rsidRDefault="00816EBC" w:rsidP="00650C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073AD"/>
    <w:multiLevelType w:val="multilevel"/>
    <w:tmpl w:val="23E073AD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F5C"/>
    <w:rsid w:val="00004E66"/>
    <w:rsid w:val="00007D59"/>
    <w:rsid w:val="00022C8F"/>
    <w:rsid w:val="0002751E"/>
    <w:rsid w:val="000455D6"/>
    <w:rsid w:val="00086B51"/>
    <w:rsid w:val="00091260"/>
    <w:rsid w:val="000A4998"/>
    <w:rsid w:val="000C2CA0"/>
    <w:rsid w:val="000E71CE"/>
    <w:rsid w:val="0011423F"/>
    <w:rsid w:val="001729F4"/>
    <w:rsid w:val="001741C7"/>
    <w:rsid w:val="00197C79"/>
    <w:rsid w:val="002005B1"/>
    <w:rsid w:val="00216DC9"/>
    <w:rsid w:val="00223555"/>
    <w:rsid w:val="002479DB"/>
    <w:rsid w:val="002C39E0"/>
    <w:rsid w:val="002D4329"/>
    <w:rsid w:val="0035246B"/>
    <w:rsid w:val="00380CD9"/>
    <w:rsid w:val="003833BD"/>
    <w:rsid w:val="003927D8"/>
    <w:rsid w:val="003929A3"/>
    <w:rsid w:val="003C5B43"/>
    <w:rsid w:val="003E4789"/>
    <w:rsid w:val="00422163"/>
    <w:rsid w:val="00434523"/>
    <w:rsid w:val="00441861"/>
    <w:rsid w:val="00467EF7"/>
    <w:rsid w:val="0049619E"/>
    <w:rsid w:val="004B0C91"/>
    <w:rsid w:val="004B624B"/>
    <w:rsid w:val="004C09D7"/>
    <w:rsid w:val="004D0606"/>
    <w:rsid w:val="00562478"/>
    <w:rsid w:val="0056475E"/>
    <w:rsid w:val="005762AE"/>
    <w:rsid w:val="00585A56"/>
    <w:rsid w:val="005A6FCA"/>
    <w:rsid w:val="005C4C58"/>
    <w:rsid w:val="005D183F"/>
    <w:rsid w:val="005D3D5E"/>
    <w:rsid w:val="005E7260"/>
    <w:rsid w:val="005F3098"/>
    <w:rsid w:val="00602873"/>
    <w:rsid w:val="00616BB6"/>
    <w:rsid w:val="00631524"/>
    <w:rsid w:val="00650CE8"/>
    <w:rsid w:val="0065744A"/>
    <w:rsid w:val="006623DB"/>
    <w:rsid w:val="00681BAE"/>
    <w:rsid w:val="00695DD6"/>
    <w:rsid w:val="006F56B4"/>
    <w:rsid w:val="00736D10"/>
    <w:rsid w:val="007927E1"/>
    <w:rsid w:val="007B59F1"/>
    <w:rsid w:val="007C2785"/>
    <w:rsid w:val="008133BB"/>
    <w:rsid w:val="00816EBC"/>
    <w:rsid w:val="00830167"/>
    <w:rsid w:val="00844405"/>
    <w:rsid w:val="00850961"/>
    <w:rsid w:val="00854780"/>
    <w:rsid w:val="00880613"/>
    <w:rsid w:val="0089137B"/>
    <w:rsid w:val="008B0D51"/>
    <w:rsid w:val="008C3807"/>
    <w:rsid w:val="008D3733"/>
    <w:rsid w:val="009419B1"/>
    <w:rsid w:val="009435DC"/>
    <w:rsid w:val="00955F5C"/>
    <w:rsid w:val="0096660F"/>
    <w:rsid w:val="0097710E"/>
    <w:rsid w:val="009C3B15"/>
    <w:rsid w:val="00A05918"/>
    <w:rsid w:val="00A11D33"/>
    <w:rsid w:val="00A3338D"/>
    <w:rsid w:val="00A43220"/>
    <w:rsid w:val="00A54F25"/>
    <w:rsid w:val="00A833B3"/>
    <w:rsid w:val="00A91F62"/>
    <w:rsid w:val="00AD2A3A"/>
    <w:rsid w:val="00B30593"/>
    <w:rsid w:val="00B54BC0"/>
    <w:rsid w:val="00B64C8D"/>
    <w:rsid w:val="00B67A2C"/>
    <w:rsid w:val="00B7502A"/>
    <w:rsid w:val="00B77BD3"/>
    <w:rsid w:val="00BC0B53"/>
    <w:rsid w:val="00BC5143"/>
    <w:rsid w:val="00C13F35"/>
    <w:rsid w:val="00C80FC8"/>
    <w:rsid w:val="00CA7F90"/>
    <w:rsid w:val="00CF252B"/>
    <w:rsid w:val="00CF4378"/>
    <w:rsid w:val="00D10CB8"/>
    <w:rsid w:val="00D2030B"/>
    <w:rsid w:val="00D31F33"/>
    <w:rsid w:val="00D366FB"/>
    <w:rsid w:val="00D54425"/>
    <w:rsid w:val="00D71D07"/>
    <w:rsid w:val="00D75BAA"/>
    <w:rsid w:val="00DA6594"/>
    <w:rsid w:val="00DB2D11"/>
    <w:rsid w:val="00DC50EE"/>
    <w:rsid w:val="00DE0031"/>
    <w:rsid w:val="00E019F5"/>
    <w:rsid w:val="00E33DD8"/>
    <w:rsid w:val="00E5541A"/>
    <w:rsid w:val="00E57D82"/>
    <w:rsid w:val="00E95DE3"/>
    <w:rsid w:val="00F16614"/>
    <w:rsid w:val="00F258ED"/>
    <w:rsid w:val="00F3019B"/>
    <w:rsid w:val="00F34F71"/>
    <w:rsid w:val="00F4158D"/>
    <w:rsid w:val="00F426F9"/>
    <w:rsid w:val="00F6488A"/>
    <w:rsid w:val="00FA66DB"/>
    <w:rsid w:val="00FB0C4B"/>
    <w:rsid w:val="00FF2F15"/>
    <w:rsid w:val="19623053"/>
    <w:rsid w:val="71F4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B433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50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CE8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50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CE8"/>
    <w:rPr>
      <w:sz w:val="22"/>
      <w:szCs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50C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0C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0CE8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0C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0CE8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isl xmlns:xsi="http://www.w3.org/2001/XMLSchema-instance" xmlns:xsd="http://www.w3.org/2001/XMLSchema" xmlns="http://www.boldonjames.com/2008/01/sie/internal/label" sislVersion="0" policy="a10f9ac0-5937-4b4f-b459-96aedd9ed2c5" origin="userSelected">
  <element uid="9920fcc9-9f43-4d43-9e3e-b98a219cfd55" value=""/>
</sisl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C6BEC96-0508-6347-BF24-BD68CCBCBA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7EACC28-7818-456C-AE77-253FEE3015B0}">
  <ds:schemaRefs>
    <ds:schemaRef ds:uri="http://www.w3.org/2001/XMLSchema"/>
    <ds:schemaRef ds:uri="http://www.boldonjames.com/2008/01/sie/internal/label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Memorial Sloan Kettering Cancer Center</Company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Fang, Jiaqi/Sloan Kettering Institute</dc:creator>
  <cp:lastModifiedBy>Su Yiqi</cp:lastModifiedBy>
  <cp:revision>7</cp:revision>
  <dcterms:created xsi:type="dcterms:W3CDTF">2019-12-10T15:20:00Z</dcterms:created>
  <dcterms:modified xsi:type="dcterms:W3CDTF">2021-09-29T17:50:00Z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  <property fmtid="{D5CDD505-2E9C-101B-9397-08002B2CF9AE}" pid="3" name="docIndexRef">
    <vt:lpwstr>5c2b4272-abd3-4ded-92cd-5181e68226da</vt:lpwstr>
  </property>
  <property fmtid="{D5CDD505-2E9C-101B-9397-08002B2CF9AE}" pid="4" name="bjSaver">
    <vt:lpwstr>n51Vdlx41UIeOnPSgNAiC1Kf51cjBT5M</vt:lpwstr>
  </property>
  <property fmtid="{D5CDD505-2E9C-101B-9397-08002B2CF9AE}" pid="5" name="bjDocumentLabelXML">
    <vt:lpwstr>&lt;?xml version="1.0" encoding="us-ascii"?&gt;&lt;sisl xmlns:xsi="http://www.w3.org/2001/XMLSchema-instance" xmlns:xsd="http://www.w3.org/2001/XMLSchema" sislVersion="0" policy="a10f9ac0-5937-4b4f-b459-96aedd9ed2c5" origin="userSelected" xmlns="http://www.boldonj</vt:lpwstr>
  </property>
  <property fmtid="{D5CDD505-2E9C-101B-9397-08002B2CF9AE}" pid="6" name="bjDocumentLabelXML-0">
    <vt:lpwstr>ames.com/2008/01/sie/internal/label"&gt;&lt;element uid="9920fcc9-9f43-4d43-9e3e-b98a219cfd55" value="" /&gt;&lt;/sisl&gt;</vt:lpwstr>
  </property>
  <property fmtid="{D5CDD505-2E9C-101B-9397-08002B2CF9AE}" pid="7" name="bjDocumentSecurityLabel">
    <vt:lpwstr>Not Classified</vt:lpwstr>
  </property>
  <property fmtid="{D5CDD505-2E9C-101B-9397-08002B2CF9AE}" pid="8" name="_NewReviewCycle">
    <vt:lpwstr/>
  </property>
  <property fmtid="{D5CDD505-2E9C-101B-9397-08002B2CF9AE}" pid="9" name="_AdHocReviewCycleID">
    <vt:i4>1350298122</vt:i4>
  </property>
  <property fmtid="{D5CDD505-2E9C-101B-9397-08002B2CF9AE}" pid="10" name="_EmailSubject">
    <vt:lpwstr>MSK abstract via OSTIC</vt:lpwstr>
  </property>
  <property fmtid="{D5CDD505-2E9C-101B-9397-08002B2CF9AE}" pid="11" name="_AuthorEmail">
    <vt:lpwstr>yoshihiko.murata@merck.com</vt:lpwstr>
  </property>
  <property fmtid="{D5CDD505-2E9C-101B-9397-08002B2CF9AE}" pid="12" name="_AuthorEmailDisplayName">
    <vt:lpwstr>Murata, Yoshihiko</vt:lpwstr>
  </property>
</Properties>
</file>