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访问VPN地址</w:t>
      </w:r>
    </w:p>
    <w:p>
      <w:pPr>
        <w:numPr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"https://oa.kingsunsoft.com:301"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3"/>
          <w:rFonts w:hint="eastAsia"/>
          <w:color w:val="0000FF"/>
          <w:lang w:val="en-US" w:eastAsia="zh-CN"/>
        </w:rPr>
        <w:t>http://oa.kingsunsoft.com:30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0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第一次登陆需要下载客户端，打开网页会自动跳转到客户端下载页面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013710" cy="1640840"/>
            <wp:effectExtent l="0" t="0" r="1524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64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安装完成后重新打开VPN地址，输入账号密码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3118485" cy="2374265"/>
            <wp:effectExtent l="0" t="0" r="571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8485" cy="237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点击要访问的资源  财务分账系统 即可访问</w:t>
      </w:r>
    </w:p>
    <w:p>
      <w:pPr>
        <w:numPr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183890" cy="1283335"/>
            <wp:effectExtent l="0" t="0" r="1651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3890" cy="1283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29B00"/>
    <w:multiLevelType w:val="singleLevel"/>
    <w:tmpl w:val="6E129B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54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Office_10.8.2.6543_F1E327BC-269C-435d-A152-05C5408002CA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daosheng.li</dc:creator>
  <cp:lastModifiedBy>李道胜</cp:lastModifiedBy>
  <dcterms:modified xsi:type="dcterms:W3CDTF">2019-09-26T07:19:22Z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2052-10.8.2.6543</vt:lpwstr>
  </property>
</Properties>
</file>