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0E3DA" w14:textId="77777777" w:rsidR="007A0A6D" w:rsidRDefault="007A0A6D">
      <w:pPr>
        <w:rPr>
          <w:lang w:val="en-US"/>
        </w:rPr>
      </w:pPr>
    </w:p>
    <w:p w14:paraId="6D543C84" w14:textId="1AE8F466" w:rsidR="007A0A6D" w:rsidRDefault="007A0A6D" w:rsidP="007A0A6D">
      <w:pPr>
        <w:jc w:val="center"/>
        <w:rPr>
          <w:lang w:val="en-US"/>
        </w:rPr>
      </w:pPr>
      <w:r w:rsidRPr="007A0A6D">
        <w:rPr>
          <w:lang w:val="en-US"/>
        </w:rPr>
        <w:drawing>
          <wp:inline distT="0" distB="0" distL="0" distR="0" wp14:anchorId="58C2519D" wp14:editId="7726E750">
            <wp:extent cx="5271613" cy="2363056"/>
            <wp:effectExtent l="0" t="0" r="0" b="0"/>
            <wp:docPr id="454070036"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70036" name="Picture 1" descr="A screenshot of a chart&#10;&#10;AI-generated content may be incorrect."/>
                    <pic:cNvPicPr/>
                  </pic:nvPicPr>
                  <pic:blipFill>
                    <a:blip r:embed="rId5"/>
                    <a:stretch>
                      <a:fillRect/>
                    </a:stretch>
                  </pic:blipFill>
                  <pic:spPr>
                    <a:xfrm>
                      <a:off x="0" y="0"/>
                      <a:ext cx="5331091" cy="2389717"/>
                    </a:xfrm>
                    <a:prstGeom prst="rect">
                      <a:avLst/>
                    </a:prstGeom>
                  </pic:spPr>
                </pic:pic>
              </a:graphicData>
            </a:graphic>
          </wp:inline>
        </w:drawing>
      </w:r>
    </w:p>
    <w:p w14:paraId="532EA38A" w14:textId="6F88690A" w:rsidR="00C742B0" w:rsidRPr="00314862" w:rsidRDefault="00C742B0" w:rsidP="00A87A5C">
      <w:pPr>
        <w:rPr>
          <w:i/>
          <w:iCs/>
          <w:lang w:val="en-US"/>
        </w:rPr>
      </w:pPr>
      <w:r w:rsidRPr="00314862">
        <w:rPr>
          <w:i/>
          <w:iCs/>
          <w:lang w:val="en-US"/>
        </w:rPr>
        <w:t xml:space="preserve">Table 1: </w:t>
      </w:r>
      <w:r w:rsidR="00314862" w:rsidRPr="00314862">
        <w:rPr>
          <w:i/>
          <w:iCs/>
          <w:lang w:val="en-US"/>
        </w:rPr>
        <w:t xml:space="preserve">Summary Statistics of Personality </w:t>
      </w:r>
      <w:r w:rsidR="00314862">
        <w:rPr>
          <w:i/>
          <w:iCs/>
          <w:lang w:val="en-US"/>
        </w:rPr>
        <w:t>Traits</w:t>
      </w:r>
      <w:r w:rsidR="00314862" w:rsidRPr="00314862">
        <w:rPr>
          <w:i/>
          <w:iCs/>
          <w:lang w:val="en-US"/>
        </w:rPr>
        <w:t xml:space="preserve"> </w:t>
      </w:r>
    </w:p>
    <w:p w14:paraId="24D81715" w14:textId="5F4E6E16" w:rsidR="006F4927" w:rsidRDefault="006F4927" w:rsidP="006F4927">
      <w:pPr>
        <w:rPr>
          <w:lang w:val="en-US"/>
        </w:rPr>
      </w:pPr>
      <w:r>
        <w:rPr>
          <w:lang w:val="en-US"/>
        </w:rPr>
        <w:t xml:space="preserve">We found that </w:t>
      </w:r>
      <w:r w:rsidRPr="006F4927">
        <w:rPr>
          <w:lang w:val="en-US"/>
        </w:rPr>
        <w:t xml:space="preserve">risk tolerance </w:t>
      </w:r>
      <w:r>
        <w:rPr>
          <w:lang w:val="en-US"/>
        </w:rPr>
        <w:t>is</w:t>
      </w:r>
      <w:r w:rsidRPr="006F4927">
        <w:rPr>
          <w:lang w:val="en-US"/>
        </w:rPr>
        <w:t xml:space="preserve"> the most stable trait (range: 0.299–0.745; low dispersion), confirming its reliability for client profiling. In contrast, impact desire and impulsivity exhibit extreme variability (0.005–0.997 ranges with high standard deviations), necessitating client-specific calibration. All traits demonstrate balanced mean values (~0.5), indicating a representative sample suitable for </w:t>
      </w:r>
      <w:proofErr w:type="spellStart"/>
      <w:r w:rsidRPr="006F4927">
        <w:rPr>
          <w:lang w:val="en-US"/>
        </w:rPr>
        <w:t>generali</w:t>
      </w:r>
      <w:r>
        <w:rPr>
          <w:lang w:val="en-US"/>
        </w:rPr>
        <w:t>s</w:t>
      </w:r>
      <w:r w:rsidRPr="006F4927">
        <w:rPr>
          <w:lang w:val="en-US"/>
        </w:rPr>
        <w:t>ed</w:t>
      </w:r>
      <w:proofErr w:type="spellEnd"/>
      <w:r w:rsidRPr="006F4927">
        <w:rPr>
          <w:lang w:val="en-US"/>
        </w:rPr>
        <w:t xml:space="preserve"> </w:t>
      </w:r>
      <w:proofErr w:type="spellStart"/>
      <w:r w:rsidRPr="006F4927">
        <w:rPr>
          <w:lang w:val="en-US"/>
        </w:rPr>
        <w:t>behavio</w:t>
      </w:r>
      <w:r>
        <w:rPr>
          <w:lang w:val="en-US"/>
        </w:rPr>
        <w:t>u</w:t>
      </w:r>
      <w:r w:rsidRPr="006F4927">
        <w:rPr>
          <w:lang w:val="en-US"/>
        </w:rPr>
        <w:t>ral</w:t>
      </w:r>
      <w:proofErr w:type="spellEnd"/>
      <w:r w:rsidRPr="006F4927">
        <w:rPr>
          <w:lang w:val="en-US"/>
        </w:rPr>
        <w:t xml:space="preserve"> model</w:t>
      </w:r>
      <w:r>
        <w:rPr>
          <w:lang w:val="en-US"/>
        </w:rPr>
        <w:t>l</w:t>
      </w:r>
      <w:r w:rsidRPr="006F4927">
        <w:rPr>
          <w:lang w:val="en-US"/>
        </w:rPr>
        <w:t>ing.</w:t>
      </w:r>
    </w:p>
    <w:p w14:paraId="66CDA82F" w14:textId="77777777" w:rsidR="006F4927" w:rsidRDefault="006F4927" w:rsidP="006F4927">
      <w:pPr>
        <w:rPr>
          <w:lang w:val="en-US"/>
        </w:rPr>
      </w:pPr>
    </w:p>
    <w:p w14:paraId="77B04E52" w14:textId="1AE6D723" w:rsidR="00680CC4" w:rsidRPr="006F4927" w:rsidRDefault="007A0A6D" w:rsidP="006F4927">
      <w:pPr>
        <w:rPr>
          <w:lang w:val="en-US"/>
        </w:rPr>
      </w:pPr>
      <w:r w:rsidRPr="006F4927">
        <w:rPr>
          <w:lang w:val="en-US"/>
        </w:rPr>
        <w:drawing>
          <wp:inline distT="0" distB="0" distL="0" distR="0" wp14:anchorId="4D1C72F2" wp14:editId="09E61EDC">
            <wp:extent cx="5731510" cy="3648710"/>
            <wp:effectExtent l="0" t="0" r="0" b="0"/>
            <wp:docPr id="23075801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58012" name="Picture 1" descr="A screenshot of a graph&#10;&#10;AI-generated content may be incorrect."/>
                    <pic:cNvPicPr/>
                  </pic:nvPicPr>
                  <pic:blipFill>
                    <a:blip r:embed="rId6"/>
                    <a:stretch>
                      <a:fillRect/>
                    </a:stretch>
                  </pic:blipFill>
                  <pic:spPr>
                    <a:xfrm>
                      <a:off x="0" y="0"/>
                      <a:ext cx="5731510" cy="3648710"/>
                    </a:xfrm>
                    <a:prstGeom prst="rect">
                      <a:avLst/>
                    </a:prstGeom>
                  </pic:spPr>
                </pic:pic>
              </a:graphicData>
            </a:graphic>
          </wp:inline>
        </w:drawing>
      </w:r>
    </w:p>
    <w:p w14:paraId="6D28C8C0" w14:textId="3AF1829D" w:rsidR="00314862" w:rsidRDefault="00314862" w:rsidP="00A87A5C">
      <w:pPr>
        <w:rPr>
          <w:lang w:val="en-US"/>
        </w:rPr>
      </w:pPr>
      <w:r>
        <w:rPr>
          <w:lang w:val="en-US"/>
        </w:rPr>
        <w:t xml:space="preserve">Table 2: </w:t>
      </w:r>
      <w:r w:rsidR="006F4927">
        <w:rPr>
          <w:lang w:val="en-US"/>
        </w:rPr>
        <w:t>C</w:t>
      </w:r>
      <w:r>
        <w:rPr>
          <w:lang w:val="en-US"/>
        </w:rPr>
        <w:t xml:space="preserve">orrelation </w:t>
      </w:r>
      <w:r w:rsidR="006F4927">
        <w:rPr>
          <w:lang w:val="en-US"/>
        </w:rPr>
        <w:t xml:space="preserve">Metrix for Traits </w:t>
      </w:r>
    </w:p>
    <w:p w14:paraId="11AFAEF2" w14:textId="2533DFA1" w:rsidR="006F4927" w:rsidRPr="006F4927" w:rsidRDefault="006F4927" w:rsidP="006F4927">
      <w:pPr>
        <w:rPr>
          <w:lang w:val="en-US"/>
        </w:rPr>
      </w:pPr>
      <w:r w:rsidRPr="006F4927">
        <w:rPr>
          <w:lang w:val="en-US"/>
        </w:rPr>
        <w:lastRenderedPageBreak/>
        <w:t>The correlation analysis reveals a near-perfect positive relationship between risk tolerance and confidence (r* = 0.92), indicating that risk-tolerant clients inherently exhibit higher self-assurance, reducing the need for additional confidence-building interventions. Conversely, composure shows only moderate association with confidence (r* = 0.53) and negligible linkage to impact desire (r* = 0.034), demonstrating its independence from achievement motivation—a critical insight for targeted behavioral modeling.</w:t>
      </w:r>
    </w:p>
    <w:p w14:paraId="4EA0D688" w14:textId="77777777" w:rsidR="00142E3C" w:rsidRPr="00142E3C" w:rsidRDefault="00142E3C" w:rsidP="00142E3C">
      <w:pPr>
        <w:rPr>
          <w:rFonts w:hint="eastAsia"/>
          <w:lang w:val="en-US"/>
        </w:rPr>
      </w:pPr>
    </w:p>
    <w:p w14:paraId="7BDAF4BD" w14:textId="27D464D6" w:rsidR="007A0A6D" w:rsidRDefault="007A0A6D" w:rsidP="007A0A6D">
      <w:pPr>
        <w:jc w:val="center"/>
        <w:rPr>
          <w:lang w:val="en-US"/>
        </w:rPr>
      </w:pPr>
      <w:r w:rsidRPr="007A0A6D">
        <w:rPr>
          <w:lang w:val="en-US"/>
        </w:rPr>
        <w:drawing>
          <wp:inline distT="0" distB="0" distL="0" distR="0" wp14:anchorId="1A2D40EF" wp14:editId="69C5D093">
            <wp:extent cx="5731510" cy="5591175"/>
            <wp:effectExtent l="0" t="0" r="0" b="0"/>
            <wp:docPr id="255555737" name="Picture 1" descr="A graph of value in gb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55737" name="Picture 1" descr="A graph of value in gbp&#10;&#10;AI-generated content may be incorrect."/>
                    <pic:cNvPicPr/>
                  </pic:nvPicPr>
                  <pic:blipFill>
                    <a:blip r:embed="rId7"/>
                    <a:stretch>
                      <a:fillRect/>
                    </a:stretch>
                  </pic:blipFill>
                  <pic:spPr>
                    <a:xfrm>
                      <a:off x="0" y="0"/>
                      <a:ext cx="5731510" cy="5591175"/>
                    </a:xfrm>
                    <a:prstGeom prst="rect">
                      <a:avLst/>
                    </a:prstGeom>
                  </pic:spPr>
                </pic:pic>
              </a:graphicData>
            </a:graphic>
          </wp:inline>
        </w:drawing>
      </w:r>
    </w:p>
    <w:p w14:paraId="0F0CC1B3" w14:textId="77777777" w:rsidR="007A683F" w:rsidRDefault="007A683F" w:rsidP="007A683F">
      <w:pPr>
        <w:rPr>
          <w:lang w:val="en-US"/>
        </w:rPr>
      </w:pPr>
    </w:p>
    <w:p w14:paraId="13530158" w14:textId="29BE1E92" w:rsidR="007A683F" w:rsidRDefault="007A683F" w:rsidP="002572A5">
      <w:pPr>
        <w:tabs>
          <w:tab w:val="left" w:pos="5501"/>
        </w:tabs>
        <w:rPr>
          <w:lang w:val="en-US"/>
        </w:rPr>
      </w:pPr>
      <w:r>
        <w:rPr>
          <w:lang w:val="en-US"/>
        </w:rPr>
        <w:t>Histogram 1: Assets Allocation</w:t>
      </w:r>
    </w:p>
    <w:p w14:paraId="7240045F" w14:textId="541EC55F" w:rsidR="00A87A5C" w:rsidRPr="00A87A5C" w:rsidRDefault="002572A5" w:rsidP="00A87A5C">
      <w:pPr>
        <w:rPr>
          <w:lang w:val="en-US"/>
        </w:rPr>
      </w:pPr>
      <w:r>
        <w:rPr>
          <w:lang w:val="en-US"/>
        </w:rPr>
        <w:t xml:space="preserve">This chart shows </w:t>
      </w:r>
      <w:r w:rsidR="00A87A5C" w:rsidRPr="00A87A5C">
        <w:rPr>
          <w:lang w:val="en-US"/>
        </w:rPr>
        <w:t xml:space="preserve">Crypto (£46,619) emerges as the overwhelming </w:t>
      </w:r>
      <w:r w:rsidR="00A87A5C" w:rsidRPr="00A87A5C">
        <w:rPr>
          <w:lang w:val="en-US"/>
        </w:rPr>
        <w:t>leader,</w:t>
      </w:r>
      <w:r w:rsidR="00A87A5C">
        <w:rPr>
          <w:lang w:val="en-US"/>
        </w:rPr>
        <w:t xml:space="preserve"> </w:t>
      </w:r>
      <w:r w:rsidR="00A87A5C" w:rsidRPr="00A87A5C">
        <w:rPr>
          <w:lang w:val="en-US"/>
        </w:rPr>
        <w:t>more</w:t>
      </w:r>
      <w:r w:rsidR="00A87A5C" w:rsidRPr="00A87A5C">
        <w:rPr>
          <w:lang w:val="en-US"/>
        </w:rPr>
        <w:t xml:space="preserve"> than Equities (£23,660) and Bonds (£21,939) combined. Real Estate (£16,246) and </w:t>
      </w:r>
      <w:r w:rsidR="00A87A5C" w:rsidRPr="00A87A5C">
        <w:rPr>
          <w:lang w:val="en-US"/>
        </w:rPr>
        <w:lastRenderedPageBreak/>
        <w:t>Commodities (£13,557) trail significantly, while Cash (£13,295) shows clients maintain minimal liquidity reserves.</w:t>
      </w:r>
    </w:p>
    <w:p w14:paraId="71919D50" w14:textId="1CF49225" w:rsidR="007A683F" w:rsidRDefault="007A683F" w:rsidP="00A87A5C">
      <w:pPr>
        <w:tabs>
          <w:tab w:val="left" w:pos="5501"/>
        </w:tabs>
        <w:rPr>
          <w:lang w:val="en-US"/>
        </w:rPr>
      </w:pPr>
    </w:p>
    <w:p w14:paraId="78537BB6" w14:textId="69E72BDE" w:rsidR="002572A5" w:rsidRPr="002572A5" w:rsidRDefault="002572A5" w:rsidP="002572A5">
      <w:pPr>
        <w:tabs>
          <w:tab w:val="left" w:pos="5501"/>
        </w:tabs>
        <w:rPr>
          <w:b/>
          <w:bCs/>
          <w:lang w:val="en-US"/>
        </w:rPr>
      </w:pPr>
      <w:r w:rsidRPr="002572A5">
        <w:rPr>
          <w:b/>
          <w:bCs/>
          <w:lang w:val="en-US"/>
        </w:rPr>
        <w:t xml:space="preserve">Data Integration &amp; Methodology: </w:t>
      </w:r>
    </w:p>
    <w:p w14:paraId="5A3AFA91" w14:textId="2FE15F61" w:rsidR="002572A5" w:rsidRDefault="002572A5" w:rsidP="002572A5">
      <w:pPr>
        <w:rPr>
          <w:lang w:val="en-US"/>
        </w:rPr>
      </w:pPr>
      <w:r w:rsidRPr="002572A5">
        <w:rPr>
          <w:lang w:val="en-US"/>
        </w:rPr>
        <w:t xml:space="preserve">The combined dataset merges </w:t>
      </w:r>
      <w:r w:rsidR="00C6353F" w:rsidRPr="002572A5">
        <w:rPr>
          <w:lang w:val="en-US"/>
        </w:rPr>
        <w:t>everyone’s</w:t>
      </w:r>
      <w:r w:rsidRPr="002572A5">
        <w:rPr>
          <w:lang w:val="en-US"/>
        </w:rPr>
        <w:t xml:space="preserve"> total GBP-denominated assets with their personality traits, enabling comprehensive </w:t>
      </w:r>
      <w:proofErr w:type="spellStart"/>
      <w:r w:rsidRPr="002572A5">
        <w:rPr>
          <w:lang w:val="en-US"/>
        </w:rPr>
        <w:t>behavio</w:t>
      </w:r>
      <w:r>
        <w:rPr>
          <w:lang w:val="en-US"/>
        </w:rPr>
        <w:t>u</w:t>
      </w:r>
      <w:r w:rsidRPr="002572A5">
        <w:rPr>
          <w:lang w:val="en-US"/>
        </w:rPr>
        <w:t>ral</w:t>
      </w:r>
      <w:proofErr w:type="spellEnd"/>
      <w:r w:rsidRPr="002572A5">
        <w:rPr>
          <w:lang w:val="en-US"/>
        </w:rPr>
        <w:t xml:space="preserve"> finance analysis. </w:t>
      </w:r>
      <w:r w:rsidR="00C6353F">
        <w:rPr>
          <w:lang w:val="en-US"/>
        </w:rPr>
        <w:t>2</w:t>
      </w:r>
      <w:r w:rsidRPr="002572A5">
        <w:rPr>
          <w:lang w:val="en-US"/>
        </w:rPr>
        <w:t xml:space="preserve"> key </w:t>
      </w:r>
      <w:proofErr w:type="spellStart"/>
      <w:r w:rsidRPr="002572A5">
        <w:rPr>
          <w:lang w:val="en-US"/>
        </w:rPr>
        <w:t>visuali</w:t>
      </w:r>
      <w:r>
        <w:rPr>
          <w:lang w:val="en-US"/>
        </w:rPr>
        <w:t>s</w:t>
      </w:r>
      <w:r w:rsidRPr="002572A5">
        <w:rPr>
          <w:lang w:val="en-US"/>
        </w:rPr>
        <w:t>ations</w:t>
      </w:r>
      <w:proofErr w:type="spellEnd"/>
      <w:r w:rsidRPr="002572A5">
        <w:rPr>
          <w:lang w:val="en-US"/>
        </w:rPr>
        <w:t xml:space="preserve"> reveal critical insights:</w:t>
      </w:r>
    </w:p>
    <w:p w14:paraId="573367B5" w14:textId="77777777" w:rsidR="006A2114" w:rsidRDefault="006A2114" w:rsidP="002572A5">
      <w:pPr>
        <w:rPr>
          <w:lang w:val="en-US"/>
        </w:rPr>
      </w:pPr>
    </w:p>
    <w:p w14:paraId="7422A6E0" w14:textId="7B549F27" w:rsidR="002572A5" w:rsidRPr="002572A5" w:rsidRDefault="006A2114" w:rsidP="002572A5">
      <w:pPr>
        <w:rPr>
          <w:lang w:val="en-US"/>
        </w:rPr>
      </w:pPr>
      <w:r w:rsidRPr="006A2114">
        <w:drawing>
          <wp:inline distT="0" distB="0" distL="0" distR="0" wp14:anchorId="786A99A5" wp14:editId="3D4B65E6">
            <wp:extent cx="5842000" cy="3134221"/>
            <wp:effectExtent l="0" t="0" r="0" b="3175"/>
            <wp:docPr id="1062324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24906" name="Picture 1" descr="A screenshot of a computer&#10;&#10;AI-generated content may be incorrect."/>
                    <pic:cNvPicPr/>
                  </pic:nvPicPr>
                  <pic:blipFill rotWithShape="1">
                    <a:blip r:embed="rId8"/>
                    <a:srcRect t="-5" r="33050" b="5"/>
                    <a:stretch/>
                  </pic:blipFill>
                  <pic:spPr bwMode="auto">
                    <a:xfrm>
                      <a:off x="0" y="0"/>
                      <a:ext cx="5904840" cy="3167934"/>
                    </a:xfrm>
                    <a:prstGeom prst="rect">
                      <a:avLst/>
                    </a:prstGeom>
                    <a:ln>
                      <a:noFill/>
                    </a:ln>
                    <a:extLst>
                      <a:ext uri="{53640926-AAD7-44D8-BBD7-CCE9431645EC}">
                        <a14:shadowObscured xmlns:a14="http://schemas.microsoft.com/office/drawing/2010/main"/>
                      </a:ext>
                    </a:extLst>
                  </pic:spPr>
                </pic:pic>
              </a:graphicData>
            </a:graphic>
          </wp:inline>
        </w:drawing>
      </w:r>
    </w:p>
    <w:p w14:paraId="420B0FB9" w14:textId="0C869ED1" w:rsidR="007A683F" w:rsidRPr="006A2114" w:rsidRDefault="007A683F" w:rsidP="002572A5">
      <w:pPr>
        <w:tabs>
          <w:tab w:val="left" w:pos="2865"/>
        </w:tabs>
        <w:rPr>
          <w:b/>
          <w:bCs/>
          <w:lang w:val="en-US"/>
        </w:rPr>
      </w:pPr>
      <w:r w:rsidRPr="006A2114">
        <w:rPr>
          <w:b/>
          <w:bCs/>
          <w:lang w:val="en-US"/>
        </w:rPr>
        <w:t xml:space="preserve">Vis 1: Top 5 </w:t>
      </w:r>
      <w:r w:rsidR="002572A5" w:rsidRPr="006A2114">
        <w:rPr>
          <w:b/>
          <w:bCs/>
          <w:lang w:val="en-US"/>
        </w:rPr>
        <w:t>C</w:t>
      </w:r>
      <w:r w:rsidRPr="006A2114">
        <w:rPr>
          <w:b/>
          <w:bCs/>
          <w:lang w:val="en-US"/>
        </w:rPr>
        <w:t xml:space="preserve">lient </w:t>
      </w:r>
      <w:r w:rsidR="002572A5" w:rsidRPr="006A2114">
        <w:rPr>
          <w:b/>
          <w:bCs/>
          <w:lang w:val="en-US"/>
        </w:rPr>
        <w:t xml:space="preserve">Asset Allocation </w:t>
      </w:r>
      <w:r w:rsidRPr="006A2114">
        <w:rPr>
          <w:b/>
          <w:bCs/>
          <w:lang w:val="en-US"/>
        </w:rPr>
        <w:t xml:space="preserve"> </w:t>
      </w:r>
    </w:p>
    <w:p w14:paraId="5249B05D" w14:textId="471841B1" w:rsidR="006A2114" w:rsidRPr="006A2114" w:rsidRDefault="006A2114" w:rsidP="006A2114">
      <w:pPr>
        <w:rPr>
          <w:lang w:val="en-US"/>
        </w:rPr>
      </w:pPr>
      <w:r w:rsidRPr="006A2114">
        <w:rPr>
          <w:lang w:val="en-US"/>
        </w:rPr>
        <w:t xml:space="preserve">The table highlights the top 5 asset allocations converted to GBP, showcasing a diverse range of investments including Bonds, Crypto, Real Estate, Cash, Equities, and Commodities. The highest values are associated with Bonds and Crypto, indicating a strong preference for these asset classes among the top entries. Notably, the values vary significantly across different currencies, with some assets like JPY and AUD being converted to GBP, reflecting the global nature of the portfolio. The consistent confidence, risk tolerance, and other psychological scores (e.g., composite, impulsivity) suggest a uniform evaluation framework applied across these assets. This data could be used to </w:t>
      </w:r>
      <w:proofErr w:type="spellStart"/>
      <w:r w:rsidRPr="006A2114">
        <w:rPr>
          <w:lang w:val="en-US"/>
        </w:rPr>
        <w:t>analy</w:t>
      </w:r>
      <w:r>
        <w:rPr>
          <w:lang w:val="en-US"/>
        </w:rPr>
        <w:t>s</w:t>
      </w:r>
      <w:r w:rsidRPr="006A2114">
        <w:rPr>
          <w:lang w:val="en-US"/>
        </w:rPr>
        <w:t>e</w:t>
      </w:r>
      <w:proofErr w:type="spellEnd"/>
      <w:r w:rsidRPr="006A2114">
        <w:rPr>
          <w:lang w:val="en-US"/>
        </w:rPr>
        <w:t xml:space="preserve"> investment trends, risk distribution, or the impact of currency fluctuations on portfolio value.</w:t>
      </w:r>
    </w:p>
    <w:p w14:paraId="447E9F91" w14:textId="194EB3CE" w:rsidR="006A2114" w:rsidRPr="002572A5" w:rsidRDefault="006A2114" w:rsidP="002572A5">
      <w:pPr>
        <w:tabs>
          <w:tab w:val="left" w:pos="2865"/>
        </w:tabs>
      </w:pPr>
    </w:p>
    <w:p w14:paraId="74F7B9DB" w14:textId="33E9735A" w:rsidR="007A683F" w:rsidRDefault="007A683F" w:rsidP="007A683F">
      <w:pPr>
        <w:tabs>
          <w:tab w:val="left" w:pos="5501"/>
        </w:tabs>
        <w:rPr>
          <w:lang w:val="en-US"/>
        </w:rPr>
      </w:pPr>
      <w:r>
        <w:rPr>
          <w:lang w:val="en-US"/>
        </w:rPr>
        <w:t xml:space="preserve">Vis 2: Risk Tolerance Vs. Asset Preference </w:t>
      </w:r>
    </w:p>
    <w:p w14:paraId="4976362B" w14:textId="77777777" w:rsidR="002572A5" w:rsidRDefault="002572A5" w:rsidP="007A683F">
      <w:pPr>
        <w:tabs>
          <w:tab w:val="left" w:pos="5501"/>
        </w:tabs>
        <w:rPr>
          <w:lang w:val="en-US"/>
        </w:rPr>
      </w:pPr>
    </w:p>
    <w:p w14:paraId="65E1E6BC" w14:textId="5F65C4A5" w:rsidR="002572A5" w:rsidRDefault="002572A5" w:rsidP="007A683F">
      <w:pPr>
        <w:tabs>
          <w:tab w:val="left" w:pos="5501"/>
        </w:tabs>
        <w:rPr>
          <w:lang w:val="en-US"/>
        </w:rPr>
      </w:pPr>
      <w:r w:rsidRPr="002572A5">
        <w:rPr>
          <w:lang w:val="en-US"/>
        </w:rPr>
        <w:drawing>
          <wp:inline distT="0" distB="0" distL="0" distR="0" wp14:anchorId="5E35E706" wp14:editId="391B0B30">
            <wp:extent cx="5731510" cy="3571875"/>
            <wp:effectExtent l="0" t="0" r="0" b="0"/>
            <wp:docPr id="1386660076"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60076" name="Picture 1" descr="A graph of different colored squares&#10;&#10;AI-generated content may be incorrect."/>
                    <pic:cNvPicPr/>
                  </pic:nvPicPr>
                  <pic:blipFill>
                    <a:blip r:embed="rId9"/>
                    <a:stretch>
                      <a:fillRect/>
                    </a:stretch>
                  </pic:blipFill>
                  <pic:spPr>
                    <a:xfrm>
                      <a:off x="0" y="0"/>
                      <a:ext cx="5731510" cy="3571875"/>
                    </a:xfrm>
                    <a:prstGeom prst="rect">
                      <a:avLst/>
                    </a:prstGeom>
                  </pic:spPr>
                </pic:pic>
              </a:graphicData>
            </a:graphic>
          </wp:inline>
        </w:drawing>
      </w:r>
    </w:p>
    <w:p w14:paraId="6698C2BC" w14:textId="214B4F06" w:rsidR="007A683F" w:rsidRPr="002572A5" w:rsidRDefault="007A683F" w:rsidP="007A683F">
      <w:pPr>
        <w:tabs>
          <w:tab w:val="left" w:pos="5501"/>
        </w:tabs>
        <w:rPr>
          <w:b/>
          <w:bCs/>
          <w:lang w:val="en-US"/>
        </w:rPr>
      </w:pPr>
      <w:r w:rsidRPr="002572A5">
        <w:rPr>
          <w:b/>
          <w:bCs/>
          <w:lang w:val="en-US"/>
        </w:rPr>
        <w:t xml:space="preserve">Vis </w:t>
      </w:r>
      <w:r w:rsidR="00C6353F">
        <w:rPr>
          <w:b/>
          <w:bCs/>
          <w:lang w:val="en-US"/>
        </w:rPr>
        <w:t>2</w:t>
      </w:r>
      <w:r w:rsidRPr="002572A5">
        <w:rPr>
          <w:b/>
          <w:bCs/>
          <w:lang w:val="en-US"/>
        </w:rPr>
        <w:t xml:space="preserve">: Boxplot of Personality Outlier  </w:t>
      </w:r>
    </w:p>
    <w:p w14:paraId="6A487AE6" w14:textId="274DEC04" w:rsidR="002572A5" w:rsidRDefault="002572A5" w:rsidP="007A683F">
      <w:pPr>
        <w:tabs>
          <w:tab w:val="left" w:pos="5501"/>
        </w:tabs>
        <w:rPr>
          <w:lang w:val="en-US"/>
        </w:rPr>
      </w:pPr>
      <w:r>
        <w:rPr>
          <w:lang w:val="en-US"/>
        </w:rPr>
        <w:t xml:space="preserve">We found that </w:t>
      </w:r>
      <w:r w:rsidRPr="002572A5">
        <w:rPr>
          <w:lang w:val="en-US"/>
        </w:rPr>
        <w:t xml:space="preserve">risk tolerance </w:t>
      </w:r>
      <w:r>
        <w:rPr>
          <w:lang w:val="en-US"/>
        </w:rPr>
        <w:t>i</w:t>
      </w:r>
      <w:r w:rsidRPr="002572A5">
        <w:rPr>
          <w:lang w:val="en-US"/>
        </w:rPr>
        <w:t>s the only trait with notable outliers</w:t>
      </w:r>
      <w:r>
        <w:rPr>
          <w:lang w:val="en-US"/>
        </w:rPr>
        <w:t xml:space="preserve">, </w:t>
      </w:r>
      <w:r w:rsidRPr="002572A5">
        <w:rPr>
          <w:lang w:val="en-US"/>
        </w:rPr>
        <w:t xml:space="preserve">identifying a distinct high-risk client segment, while impact desire and impulsivity show unexpectedly tight clustering despite their theoretical ranges, suggesting natural </w:t>
      </w:r>
      <w:proofErr w:type="spellStart"/>
      <w:r w:rsidRPr="002572A5">
        <w:rPr>
          <w:lang w:val="en-US"/>
        </w:rPr>
        <w:t>behavio</w:t>
      </w:r>
      <w:r>
        <w:rPr>
          <w:lang w:val="en-US"/>
        </w:rPr>
        <w:t>u</w:t>
      </w:r>
      <w:r w:rsidRPr="002572A5">
        <w:rPr>
          <w:lang w:val="en-US"/>
        </w:rPr>
        <w:t>ral</w:t>
      </w:r>
      <w:proofErr w:type="spellEnd"/>
      <w:r w:rsidRPr="002572A5">
        <w:rPr>
          <w:lang w:val="en-US"/>
        </w:rPr>
        <w:t xml:space="preserve"> boundaries in financial decision-makers. Composure and confidence exhibit balanced distributions, making them reliable segmentation variables.</w:t>
      </w:r>
    </w:p>
    <w:p w14:paraId="4E026D96" w14:textId="77777777" w:rsidR="00144E98" w:rsidRDefault="00144E98" w:rsidP="007A683F">
      <w:pPr>
        <w:tabs>
          <w:tab w:val="left" w:pos="5501"/>
        </w:tabs>
        <w:rPr>
          <w:lang w:val="en-US"/>
        </w:rPr>
      </w:pPr>
    </w:p>
    <w:p w14:paraId="0F66EE7F" w14:textId="77777777" w:rsidR="00144E98" w:rsidRPr="007A683F" w:rsidRDefault="00144E98" w:rsidP="007A683F">
      <w:pPr>
        <w:tabs>
          <w:tab w:val="left" w:pos="5501"/>
        </w:tabs>
        <w:rPr>
          <w:lang w:val="en-US"/>
        </w:rPr>
      </w:pPr>
    </w:p>
    <w:sectPr w:rsidR="00144E98" w:rsidRPr="007A6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615B"/>
    <w:multiLevelType w:val="hybridMultilevel"/>
    <w:tmpl w:val="3CDC3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517BF3"/>
    <w:multiLevelType w:val="hybridMultilevel"/>
    <w:tmpl w:val="474A7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839996">
    <w:abstractNumId w:val="0"/>
  </w:num>
  <w:num w:numId="2" w16cid:durableId="94256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6D"/>
    <w:rsid w:val="000963A6"/>
    <w:rsid w:val="00142E3C"/>
    <w:rsid w:val="00144E98"/>
    <w:rsid w:val="002572A5"/>
    <w:rsid w:val="00314862"/>
    <w:rsid w:val="00336BB4"/>
    <w:rsid w:val="004D58A1"/>
    <w:rsid w:val="00593EA4"/>
    <w:rsid w:val="00680CC4"/>
    <w:rsid w:val="006A2114"/>
    <w:rsid w:val="006F4927"/>
    <w:rsid w:val="007A0A6D"/>
    <w:rsid w:val="007A683F"/>
    <w:rsid w:val="008C5832"/>
    <w:rsid w:val="009643C4"/>
    <w:rsid w:val="00A87A5C"/>
    <w:rsid w:val="00C6353F"/>
    <w:rsid w:val="00C742B0"/>
    <w:rsid w:val="00F23A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5311"/>
  <w15:chartTrackingRefBased/>
  <w15:docId w15:val="{A8474A80-4528-1F43-9354-3694E45E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A6D"/>
    <w:rPr>
      <w:rFonts w:eastAsiaTheme="majorEastAsia" w:cstheme="majorBidi"/>
      <w:color w:val="272727" w:themeColor="text1" w:themeTint="D8"/>
    </w:rPr>
  </w:style>
  <w:style w:type="paragraph" w:styleId="Title">
    <w:name w:val="Title"/>
    <w:basedOn w:val="Normal"/>
    <w:next w:val="Normal"/>
    <w:link w:val="TitleChar"/>
    <w:uiPriority w:val="10"/>
    <w:qFormat/>
    <w:rsid w:val="007A0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A6D"/>
    <w:pPr>
      <w:spacing w:before="160"/>
      <w:jc w:val="center"/>
    </w:pPr>
    <w:rPr>
      <w:i/>
      <w:iCs/>
      <w:color w:val="404040" w:themeColor="text1" w:themeTint="BF"/>
    </w:rPr>
  </w:style>
  <w:style w:type="character" w:customStyle="1" w:styleId="QuoteChar">
    <w:name w:val="Quote Char"/>
    <w:basedOn w:val="DefaultParagraphFont"/>
    <w:link w:val="Quote"/>
    <w:uiPriority w:val="29"/>
    <w:rsid w:val="007A0A6D"/>
    <w:rPr>
      <w:i/>
      <w:iCs/>
      <w:color w:val="404040" w:themeColor="text1" w:themeTint="BF"/>
    </w:rPr>
  </w:style>
  <w:style w:type="paragraph" w:styleId="ListParagraph">
    <w:name w:val="List Paragraph"/>
    <w:basedOn w:val="Normal"/>
    <w:uiPriority w:val="34"/>
    <w:qFormat/>
    <w:rsid w:val="007A0A6D"/>
    <w:pPr>
      <w:ind w:left="720"/>
      <w:contextualSpacing/>
    </w:pPr>
  </w:style>
  <w:style w:type="character" w:styleId="IntenseEmphasis">
    <w:name w:val="Intense Emphasis"/>
    <w:basedOn w:val="DefaultParagraphFont"/>
    <w:uiPriority w:val="21"/>
    <w:qFormat/>
    <w:rsid w:val="007A0A6D"/>
    <w:rPr>
      <w:i/>
      <w:iCs/>
      <w:color w:val="0F4761" w:themeColor="accent1" w:themeShade="BF"/>
    </w:rPr>
  </w:style>
  <w:style w:type="paragraph" w:styleId="IntenseQuote">
    <w:name w:val="Intense Quote"/>
    <w:basedOn w:val="Normal"/>
    <w:next w:val="Normal"/>
    <w:link w:val="IntenseQuoteChar"/>
    <w:uiPriority w:val="30"/>
    <w:qFormat/>
    <w:rsid w:val="007A0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A6D"/>
    <w:rPr>
      <w:i/>
      <w:iCs/>
      <w:color w:val="0F4761" w:themeColor="accent1" w:themeShade="BF"/>
    </w:rPr>
  </w:style>
  <w:style w:type="character" w:styleId="IntenseReference">
    <w:name w:val="Intense Reference"/>
    <w:basedOn w:val="DefaultParagraphFont"/>
    <w:uiPriority w:val="32"/>
    <w:qFormat/>
    <w:rsid w:val="007A0A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4266">
      <w:bodyDiv w:val="1"/>
      <w:marLeft w:val="0"/>
      <w:marRight w:val="0"/>
      <w:marTop w:val="0"/>
      <w:marBottom w:val="0"/>
      <w:divBdr>
        <w:top w:val="none" w:sz="0" w:space="0" w:color="auto"/>
        <w:left w:val="none" w:sz="0" w:space="0" w:color="auto"/>
        <w:bottom w:val="none" w:sz="0" w:space="0" w:color="auto"/>
        <w:right w:val="none" w:sz="0" w:space="0" w:color="auto"/>
      </w:divBdr>
      <w:divsChild>
        <w:div w:id="249199983">
          <w:marLeft w:val="0"/>
          <w:marRight w:val="0"/>
          <w:marTop w:val="100"/>
          <w:marBottom w:val="100"/>
          <w:divBdr>
            <w:top w:val="none" w:sz="0" w:space="0" w:color="auto"/>
            <w:left w:val="none" w:sz="0" w:space="0" w:color="auto"/>
            <w:bottom w:val="none" w:sz="0" w:space="0" w:color="auto"/>
            <w:right w:val="none" w:sz="0" w:space="0" w:color="auto"/>
          </w:divBdr>
          <w:divsChild>
            <w:div w:id="1516846331">
              <w:marLeft w:val="0"/>
              <w:marRight w:val="0"/>
              <w:marTop w:val="0"/>
              <w:marBottom w:val="0"/>
              <w:divBdr>
                <w:top w:val="none" w:sz="0" w:space="0" w:color="auto"/>
                <w:left w:val="none" w:sz="0" w:space="0" w:color="auto"/>
                <w:bottom w:val="none" w:sz="0" w:space="0" w:color="auto"/>
                <w:right w:val="none" w:sz="0" w:space="0" w:color="auto"/>
              </w:divBdr>
              <w:divsChild>
                <w:div w:id="4914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3875">
          <w:marLeft w:val="0"/>
          <w:marRight w:val="0"/>
          <w:marTop w:val="0"/>
          <w:marBottom w:val="300"/>
          <w:divBdr>
            <w:top w:val="none" w:sz="0" w:space="0" w:color="auto"/>
            <w:left w:val="none" w:sz="0" w:space="0" w:color="auto"/>
            <w:bottom w:val="none" w:sz="0" w:space="0" w:color="auto"/>
            <w:right w:val="none" w:sz="0" w:space="0" w:color="auto"/>
          </w:divBdr>
          <w:divsChild>
            <w:div w:id="11196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3045">
      <w:bodyDiv w:val="1"/>
      <w:marLeft w:val="0"/>
      <w:marRight w:val="0"/>
      <w:marTop w:val="0"/>
      <w:marBottom w:val="0"/>
      <w:divBdr>
        <w:top w:val="none" w:sz="0" w:space="0" w:color="auto"/>
        <w:left w:val="none" w:sz="0" w:space="0" w:color="auto"/>
        <w:bottom w:val="none" w:sz="0" w:space="0" w:color="auto"/>
        <w:right w:val="none" w:sz="0" w:space="0" w:color="auto"/>
      </w:divBdr>
    </w:div>
    <w:div w:id="399600323">
      <w:bodyDiv w:val="1"/>
      <w:marLeft w:val="0"/>
      <w:marRight w:val="0"/>
      <w:marTop w:val="0"/>
      <w:marBottom w:val="0"/>
      <w:divBdr>
        <w:top w:val="none" w:sz="0" w:space="0" w:color="auto"/>
        <w:left w:val="none" w:sz="0" w:space="0" w:color="auto"/>
        <w:bottom w:val="none" w:sz="0" w:space="0" w:color="auto"/>
        <w:right w:val="none" w:sz="0" w:space="0" w:color="auto"/>
      </w:divBdr>
    </w:div>
    <w:div w:id="928538851">
      <w:bodyDiv w:val="1"/>
      <w:marLeft w:val="0"/>
      <w:marRight w:val="0"/>
      <w:marTop w:val="0"/>
      <w:marBottom w:val="0"/>
      <w:divBdr>
        <w:top w:val="none" w:sz="0" w:space="0" w:color="auto"/>
        <w:left w:val="none" w:sz="0" w:space="0" w:color="auto"/>
        <w:bottom w:val="none" w:sz="0" w:space="0" w:color="auto"/>
        <w:right w:val="none" w:sz="0" w:space="0" w:color="auto"/>
      </w:divBdr>
    </w:div>
    <w:div w:id="13038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Yiran</dc:creator>
  <cp:keywords/>
  <dc:description/>
  <cp:lastModifiedBy>Zheng, Yiran</cp:lastModifiedBy>
  <cp:revision>4</cp:revision>
  <dcterms:created xsi:type="dcterms:W3CDTF">2025-06-15T16:46:00Z</dcterms:created>
  <dcterms:modified xsi:type="dcterms:W3CDTF">2025-06-15T22:50:00Z</dcterms:modified>
</cp:coreProperties>
</file>