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7C41" w:rsidRPr="00E4284C" w:rsidRDefault="00F17C41" w:rsidP="00F17C41">
      <w:pPr>
        <w:rPr>
          <w:rFonts w:ascii="Times New Roman" w:hAnsi="Times New Roman" w:cs="Times New Roman"/>
          <w:b/>
          <w:bCs/>
          <w:sz w:val="20"/>
          <w:szCs w:val="20"/>
          <w:lang w:val="en-US"/>
        </w:rPr>
      </w:pPr>
      <w:r w:rsidRPr="00E4284C">
        <w:rPr>
          <w:rFonts w:ascii="Times New Roman" w:hAnsi="Times New Roman" w:cs="Times New Roman"/>
          <w:b/>
          <w:bCs/>
          <w:sz w:val="20"/>
          <w:szCs w:val="20"/>
          <w:lang w:val="en-US"/>
        </w:rPr>
        <w:t>## 1a. Patient Funnel</w:t>
      </w:r>
    </w:p>
    <w:p w:rsidR="00F17C41" w:rsidRPr="00E4284C" w:rsidRDefault="00F17C41" w:rsidP="00F17C41">
      <w:pPr>
        <w:rPr>
          <w:rFonts w:ascii="Times New Roman" w:hAnsi="Times New Roman" w:cs="Times New Roman"/>
          <w:sz w:val="20"/>
          <w:szCs w:val="20"/>
          <w:lang w:val="en-US"/>
        </w:rPr>
      </w:pPr>
      <w:r w:rsidRPr="00E4284C">
        <w:rPr>
          <w:rFonts w:ascii="Times New Roman" w:hAnsi="Times New Roman" w:cs="Times New Roman"/>
          <w:sz w:val="20"/>
          <w:szCs w:val="20"/>
          <w:lang w:val="en-US"/>
        </w:rPr>
        <w:t>We constructed two cohorts—SPS and control—from a claims database with defined time coverage. For both cohorts, patients were required to be aged 18+ at the starting point of their clinical trajectory in our database (</w:t>
      </w:r>
      <w:proofErr w:type="spellStart"/>
      <w:r w:rsidRPr="00E4284C">
        <w:rPr>
          <w:rFonts w:ascii="Times New Roman" w:hAnsi="Times New Roman" w:cs="Times New Roman"/>
          <w:b/>
          <w:bCs/>
          <w:color w:val="EE0000"/>
          <w:sz w:val="20"/>
          <w:szCs w:val="20"/>
          <w:lang w:val="en-US"/>
        </w:rPr>
        <w:t>Forian</w:t>
      </w:r>
      <w:proofErr w:type="spellEnd"/>
      <w:r w:rsidRPr="00E4284C">
        <w:rPr>
          <w:rFonts w:ascii="Times New Roman" w:hAnsi="Times New Roman" w:cs="Times New Roman"/>
          <w:b/>
          <w:bCs/>
          <w:color w:val="EE0000"/>
          <w:sz w:val="20"/>
          <w:szCs w:val="20"/>
          <w:lang w:val="en-US"/>
        </w:rPr>
        <w:t xml:space="preserve"> Version... need to check with Ambit</w:t>
      </w:r>
      <w:r w:rsidRPr="00E4284C">
        <w:rPr>
          <w:rFonts w:ascii="Times New Roman" w:hAnsi="Times New Roman" w:cs="Times New Roman"/>
          <w:sz w:val="20"/>
          <w:szCs w:val="20"/>
          <w:lang w:val="en-US"/>
        </w:rPr>
        <w:t xml:space="preserve">) and have continuous enrollment check for both cohort with 2 years looking back and 12 month time window, filtering out patient who has at least one clinical records every 12 months 2 years prior to the index SPS or mimic diagnosis. To further ensure the data quality, we only keep those patients in SPS cohort with at least one clinical record within one year following the index diagnosis and no mimic codes are observed within this </w:t>
      </w:r>
      <w:proofErr w:type="gramStart"/>
      <w:r w:rsidRPr="00E4284C">
        <w:rPr>
          <w:rFonts w:ascii="Times New Roman" w:hAnsi="Times New Roman" w:cs="Times New Roman"/>
          <w:sz w:val="20"/>
          <w:szCs w:val="20"/>
          <w:lang w:val="en-US"/>
        </w:rPr>
        <w:t>time period</w:t>
      </w:r>
      <w:proofErr w:type="gramEnd"/>
      <w:r w:rsidRPr="00E4284C">
        <w:rPr>
          <w:rFonts w:ascii="Times New Roman" w:hAnsi="Times New Roman" w:cs="Times New Roman"/>
          <w:sz w:val="20"/>
          <w:szCs w:val="20"/>
          <w:lang w:val="en-US"/>
        </w:rPr>
        <w:t xml:space="preserve">. For the control cohort, we included individuals with at least two control condition codes appearing ≥30 days apart (based on an updated control condition code list), and no diagnosis of G25.82 in the entire trajectory. To ensure misdiagnosed SPS patients were not included in the control group, we required at least 2 years of follow-up after the index diagnosis, allowing time for potential reclassification. </w:t>
      </w:r>
    </w:p>
    <w:p w:rsidR="00E4284C" w:rsidRPr="00E4284C" w:rsidRDefault="00E4284C" w:rsidP="00F17C41">
      <w:pPr>
        <w:rPr>
          <w:rFonts w:ascii="Times New Roman" w:hAnsi="Times New Roman" w:cs="Times New Roman"/>
          <w:sz w:val="20"/>
          <w:szCs w:val="20"/>
          <w:lang w:val="en-US"/>
        </w:rPr>
      </w:pPr>
    </w:p>
    <w:p w:rsidR="00F17C41" w:rsidRPr="00E4284C" w:rsidRDefault="00F17C41" w:rsidP="00F17C41">
      <w:pPr>
        <w:rPr>
          <w:rFonts w:ascii="Times New Roman" w:hAnsi="Times New Roman" w:cs="Times New Roman"/>
          <w:b/>
          <w:bCs/>
          <w:sz w:val="20"/>
          <w:szCs w:val="20"/>
          <w:lang w:val="en-US"/>
        </w:rPr>
      </w:pPr>
      <w:r w:rsidRPr="00E4284C">
        <w:rPr>
          <w:rFonts w:ascii="Times New Roman" w:hAnsi="Times New Roman" w:cs="Times New Roman"/>
          <w:b/>
          <w:bCs/>
          <w:sz w:val="20"/>
          <w:szCs w:val="20"/>
          <w:lang w:val="en-US"/>
        </w:rPr>
        <w:t xml:space="preserve">## 1b. </w:t>
      </w:r>
      <w:proofErr w:type="spellStart"/>
      <w:r w:rsidRPr="00E4284C">
        <w:rPr>
          <w:rFonts w:ascii="Times New Roman" w:hAnsi="Times New Roman" w:cs="Times New Roman"/>
          <w:b/>
          <w:bCs/>
          <w:sz w:val="20"/>
          <w:szCs w:val="20"/>
          <w:lang w:val="en-US"/>
        </w:rPr>
        <w:t>Downsampling</w:t>
      </w:r>
      <w:proofErr w:type="spellEnd"/>
    </w:p>
    <w:p w:rsidR="00F17C41" w:rsidRPr="00E4284C" w:rsidRDefault="00F17C41" w:rsidP="00F17C41">
      <w:pPr>
        <w:rPr>
          <w:rFonts w:ascii="Times New Roman" w:hAnsi="Times New Roman" w:cs="Times New Roman"/>
          <w:sz w:val="20"/>
          <w:szCs w:val="20"/>
          <w:lang w:val="en-US"/>
        </w:rPr>
      </w:pPr>
      <w:r w:rsidRPr="00E4284C">
        <w:rPr>
          <w:rFonts w:ascii="Times New Roman" w:hAnsi="Times New Roman" w:cs="Times New Roman"/>
          <w:sz w:val="20"/>
          <w:szCs w:val="20"/>
          <w:lang w:val="en-US"/>
        </w:rPr>
        <w:t>Due to the computational power, we random</w:t>
      </w:r>
      <w:r w:rsidR="00E4284C" w:rsidRPr="00E4284C">
        <w:rPr>
          <w:rFonts w:ascii="Times New Roman" w:hAnsi="Times New Roman" w:cs="Times New Roman"/>
          <w:sz w:val="20"/>
          <w:szCs w:val="20"/>
          <w:lang w:val="en-US"/>
        </w:rPr>
        <w:t>ly</w:t>
      </w:r>
      <w:r w:rsidRPr="00E4284C">
        <w:rPr>
          <w:rFonts w:ascii="Times New Roman" w:hAnsi="Times New Roman" w:cs="Times New Roman"/>
          <w:sz w:val="20"/>
          <w:szCs w:val="20"/>
          <w:lang w:val="en-US"/>
        </w:rPr>
        <w:t xml:space="preserve"> sampled 30,000 control patient</w:t>
      </w:r>
      <w:r w:rsidR="00E4284C" w:rsidRPr="00E4284C">
        <w:rPr>
          <w:rFonts w:ascii="Times New Roman" w:hAnsi="Times New Roman" w:cs="Times New Roman"/>
          <w:sz w:val="20"/>
          <w:szCs w:val="20"/>
          <w:lang w:val="en-US"/>
        </w:rPr>
        <w:t>s</w:t>
      </w:r>
      <w:r w:rsidRPr="00E4284C">
        <w:rPr>
          <w:rFonts w:ascii="Times New Roman" w:hAnsi="Times New Roman" w:cs="Times New Roman"/>
          <w:sz w:val="20"/>
          <w:szCs w:val="20"/>
          <w:lang w:val="en-US"/>
        </w:rPr>
        <w:t xml:space="preserve"> while keep all the SPS patients to train the model</w:t>
      </w:r>
      <w:r w:rsidRPr="00E4284C">
        <w:rPr>
          <w:rFonts w:ascii="Times New Roman" w:hAnsi="Times New Roman" w:cs="Times New Roman"/>
          <w:sz w:val="20"/>
          <w:szCs w:val="20"/>
          <w:lang w:val="en-US"/>
        </w:rPr>
        <w:t>, resulting in a 1:9.6 positive-to-negative ratio</w:t>
      </w:r>
      <w:r w:rsidR="00E4284C" w:rsidRPr="00E4284C">
        <w:rPr>
          <w:rFonts w:ascii="Times New Roman" w:hAnsi="Times New Roman" w:cs="Times New Roman"/>
          <w:sz w:val="20"/>
          <w:szCs w:val="20"/>
          <w:lang w:val="en-US"/>
        </w:rPr>
        <w:t>.</w:t>
      </w:r>
    </w:p>
    <w:p w:rsidR="00F17C41" w:rsidRPr="00E4284C" w:rsidRDefault="00F17C41" w:rsidP="00F17C41">
      <w:pPr>
        <w:rPr>
          <w:rFonts w:ascii="Times New Roman" w:hAnsi="Times New Roman" w:cs="Times New Roman"/>
          <w:sz w:val="20"/>
          <w:szCs w:val="20"/>
          <w:lang w:val="en-US"/>
        </w:rPr>
      </w:pPr>
    </w:p>
    <w:p w:rsidR="00F17C41" w:rsidRPr="00E4284C" w:rsidRDefault="00F17C41" w:rsidP="00F17C41">
      <w:pPr>
        <w:rPr>
          <w:rFonts w:ascii="Times New Roman" w:hAnsi="Times New Roman" w:cs="Times New Roman"/>
          <w:b/>
          <w:bCs/>
          <w:sz w:val="20"/>
          <w:szCs w:val="20"/>
          <w:lang w:val="en-US"/>
        </w:rPr>
      </w:pPr>
      <w:r w:rsidRPr="00E4284C">
        <w:rPr>
          <w:rFonts w:ascii="Times New Roman" w:hAnsi="Times New Roman" w:cs="Times New Roman"/>
          <w:b/>
          <w:bCs/>
          <w:sz w:val="20"/>
          <w:szCs w:val="20"/>
          <w:lang w:val="en-US"/>
        </w:rPr>
        <w:t>## 2. Use of ICD-10 codes</w:t>
      </w:r>
    </w:p>
    <w:p w:rsidR="00F17C41" w:rsidRPr="00E4284C" w:rsidRDefault="00F17C41" w:rsidP="00F17C41">
      <w:pPr>
        <w:rPr>
          <w:rFonts w:ascii="Times New Roman" w:hAnsi="Times New Roman" w:cs="Times New Roman"/>
          <w:sz w:val="20"/>
          <w:szCs w:val="20"/>
          <w:lang w:val="en-US"/>
        </w:rPr>
      </w:pPr>
      <w:r w:rsidRPr="00E4284C">
        <w:rPr>
          <w:rFonts w:ascii="Times New Roman" w:hAnsi="Times New Roman" w:cs="Times New Roman"/>
          <w:sz w:val="20"/>
          <w:szCs w:val="20"/>
          <w:lang w:val="en-US"/>
        </w:rPr>
        <w:t xml:space="preserve">We convert each event with a </w:t>
      </w:r>
      <w:proofErr w:type="gramStart"/>
      <w:r w:rsidRPr="00E4284C">
        <w:rPr>
          <w:rFonts w:ascii="Times New Roman" w:hAnsi="Times New Roman" w:cs="Times New Roman"/>
          <w:sz w:val="20"/>
          <w:szCs w:val="20"/>
          <w:lang w:val="en-US"/>
        </w:rPr>
        <w:t>level-5</w:t>
      </w:r>
      <w:proofErr w:type="gramEnd"/>
      <w:r w:rsidRPr="00E4284C">
        <w:rPr>
          <w:rFonts w:ascii="Times New Roman" w:hAnsi="Times New Roman" w:cs="Times New Roman"/>
          <w:sz w:val="20"/>
          <w:szCs w:val="20"/>
          <w:lang w:val="en-US"/>
        </w:rPr>
        <w:t xml:space="preserve"> ICD-10, and eventually</w:t>
      </w:r>
      <w:r w:rsidRPr="00E4284C">
        <w:rPr>
          <w:rFonts w:ascii="Times New Roman" w:hAnsi="Times New Roman" w:cs="Times New Roman"/>
          <w:sz w:val="20"/>
          <w:szCs w:val="20"/>
          <w:lang w:val="en-US"/>
        </w:rPr>
        <w:t>,</w:t>
      </w:r>
      <w:r w:rsidRPr="00E4284C">
        <w:rPr>
          <w:rFonts w:ascii="Times New Roman" w:hAnsi="Times New Roman" w:cs="Times New Roman"/>
          <w:sz w:val="20"/>
          <w:szCs w:val="20"/>
          <w:lang w:val="en-US"/>
        </w:rPr>
        <w:t xml:space="preserve"> we get 12867 codes in the beginning. Considering that </w:t>
      </w:r>
      <w:r w:rsidR="00E4284C" w:rsidRPr="00E4284C">
        <w:rPr>
          <w:rFonts w:ascii="Times New Roman" w:hAnsi="Times New Roman" w:cs="Times New Roman"/>
          <w:kern w:val="0"/>
          <w:sz w:val="20"/>
          <w:szCs w:val="20"/>
          <w:lang w:val="en-US"/>
          <w14:ligatures w14:val="none"/>
        </w:rPr>
        <w:t>a huge amount of individual-specific code and irrelevant codes are included, we made a further selection with the following criteria: 1. the top 1k codes present in the largest number of patients in the SPS</w:t>
      </w:r>
      <w:r w:rsidRPr="00E4284C">
        <w:rPr>
          <w:rFonts w:ascii="Times New Roman" w:hAnsi="Times New Roman" w:cs="Times New Roman"/>
          <w:sz w:val="20"/>
          <w:szCs w:val="20"/>
          <w:lang w:val="en-US"/>
        </w:rPr>
        <w:t xml:space="preserve"> group. 2. top 1k codes </w:t>
      </w:r>
      <w:r w:rsidR="00E4284C" w:rsidRPr="00E4284C">
        <w:rPr>
          <w:rFonts w:ascii="Times New Roman" w:hAnsi="Times New Roman" w:cs="Times New Roman"/>
          <w:kern w:val="0"/>
          <w:sz w:val="20"/>
          <w:szCs w:val="20"/>
          <w:lang w:val="en-US"/>
          <w14:ligatures w14:val="none"/>
        </w:rPr>
        <w:t>present in the largest number of patients in the control</w:t>
      </w:r>
      <w:r w:rsidRPr="00E4284C">
        <w:rPr>
          <w:rFonts w:ascii="Times New Roman" w:hAnsi="Times New Roman" w:cs="Times New Roman"/>
          <w:sz w:val="20"/>
          <w:szCs w:val="20"/>
          <w:lang w:val="en-US"/>
        </w:rPr>
        <w:t xml:space="preserve"> group. 3. top 1k codes presenting in </w:t>
      </w:r>
      <w:r w:rsidR="00E4284C" w:rsidRPr="00E4284C">
        <w:rPr>
          <w:rFonts w:ascii="Times New Roman" w:hAnsi="Times New Roman" w:cs="Times New Roman"/>
          <w:sz w:val="20"/>
          <w:szCs w:val="20"/>
          <w:lang w:val="en-US"/>
        </w:rPr>
        <w:t>the large</w:t>
      </w:r>
      <w:r w:rsidRPr="00E4284C">
        <w:rPr>
          <w:rFonts w:ascii="Times New Roman" w:hAnsi="Times New Roman" w:cs="Times New Roman"/>
          <w:sz w:val="20"/>
          <w:szCs w:val="20"/>
          <w:lang w:val="en-US"/>
        </w:rPr>
        <w:t>st number of patients in both group</w:t>
      </w:r>
      <w:r w:rsidR="00E4284C" w:rsidRPr="00E4284C">
        <w:rPr>
          <w:rFonts w:ascii="Times New Roman" w:hAnsi="Times New Roman" w:cs="Times New Roman"/>
          <w:sz w:val="20"/>
          <w:szCs w:val="20"/>
          <w:lang w:val="en-US"/>
        </w:rPr>
        <w:t>s</w:t>
      </w:r>
      <w:r w:rsidRPr="00E4284C">
        <w:rPr>
          <w:rFonts w:ascii="Times New Roman" w:hAnsi="Times New Roman" w:cs="Times New Roman"/>
          <w:sz w:val="20"/>
          <w:szCs w:val="20"/>
          <w:lang w:val="en-US"/>
        </w:rPr>
        <w:t xml:space="preserve"> combined. 4. top 1k codes with absolute value of log</w:t>
      </w:r>
      <w:r w:rsidRPr="00E4284C">
        <w:rPr>
          <w:rFonts w:ascii="Times New Roman" w:hAnsi="Times New Roman" w:cs="Times New Roman"/>
          <w:sz w:val="20"/>
          <w:szCs w:val="20"/>
          <w:lang w:val="en-US"/>
        </w:rPr>
        <w:t>-</w:t>
      </w:r>
      <w:r w:rsidRPr="00E4284C">
        <w:rPr>
          <w:rFonts w:ascii="Times New Roman" w:hAnsi="Times New Roman" w:cs="Times New Roman"/>
          <w:sz w:val="20"/>
          <w:szCs w:val="20"/>
          <w:lang w:val="en-US"/>
        </w:rPr>
        <w:t>transformed code frequency ratio between groups, penalized by extremely rare observations of some codes in the SPS group because of the class imbalance. The final code size is 1734</w:t>
      </w:r>
      <w:r w:rsidR="00E4284C" w:rsidRPr="00E4284C">
        <w:rPr>
          <w:rFonts w:ascii="Times New Roman" w:hAnsi="Times New Roman" w:cs="Times New Roman"/>
          <w:sz w:val="20"/>
          <w:szCs w:val="20"/>
          <w:lang w:val="en-US"/>
        </w:rPr>
        <w:t>.</w:t>
      </w:r>
    </w:p>
    <w:p w:rsidR="00F17C41" w:rsidRPr="00E4284C" w:rsidRDefault="00F17C41" w:rsidP="00F17C41">
      <w:pPr>
        <w:rPr>
          <w:rFonts w:ascii="Times New Roman" w:hAnsi="Times New Roman" w:cs="Times New Roman"/>
          <w:b/>
          <w:bCs/>
          <w:sz w:val="20"/>
          <w:szCs w:val="20"/>
          <w:lang w:val="en-US"/>
        </w:rPr>
      </w:pPr>
    </w:p>
    <w:p w:rsidR="00F17C41" w:rsidRPr="00E4284C" w:rsidRDefault="00F17C41" w:rsidP="00F17C41">
      <w:pPr>
        <w:rPr>
          <w:rFonts w:ascii="Times New Roman" w:hAnsi="Times New Roman" w:cs="Times New Roman"/>
          <w:b/>
          <w:bCs/>
          <w:sz w:val="20"/>
          <w:szCs w:val="20"/>
          <w:lang w:val="en-US"/>
        </w:rPr>
      </w:pPr>
      <w:r w:rsidRPr="00E4284C">
        <w:rPr>
          <w:rFonts w:ascii="Times New Roman" w:hAnsi="Times New Roman" w:cs="Times New Roman"/>
          <w:b/>
          <w:bCs/>
          <w:sz w:val="20"/>
          <w:szCs w:val="20"/>
          <w:lang w:val="en-US"/>
        </w:rPr>
        <w:t>## 3. Construction of trajectories</w:t>
      </w:r>
    </w:p>
    <w:p w:rsidR="00F17C41" w:rsidRPr="00E4284C" w:rsidRDefault="00F17C41" w:rsidP="00F17C41">
      <w:pPr>
        <w:rPr>
          <w:rFonts w:ascii="Times New Roman" w:hAnsi="Times New Roman" w:cs="Times New Roman"/>
          <w:sz w:val="20"/>
          <w:szCs w:val="20"/>
          <w:lang w:val="en-US"/>
        </w:rPr>
      </w:pPr>
      <w:r w:rsidRPr="00E4284C">
        <w:rPr>
          <w:rFonts w:ascii="Times New Roman" w:hAnsi="Times New Roman" w:cs="Times New Roman"/>
          <w:sz w:val="20"/>
          <w:szCs w:val="20"/>
          <w:lang w:val="en-US"/>
        </w:rPr>
        <w:t xml:space="preserve">patient trajectory is the sequence of time and clinical records (in our work, selected </w:t>
      </w:r>
      <w:proofErr w:type="gramStart"/>
      <w:r w:rsidRPr="00E4284C">
        <w:rPr>
          <w:rFonts w:ascii="Times New Roman" w:hAnsi="Times New Roman" w:cs="Times New Roman"/>
          <w:sz w:val="20"/>
          <w:szCs w:val="20"/>
          <w:lang w:val="en-US"/>
        </w:rPr>
        <w:t>level-5</w:t>
      </w:r>
      <w:proofErr w:type="gramEnd"/>
      <w:r w:rsidRPr="00E4284C">
        <w:rPr>
          <w:rFonts w:ascii="Times New Roman" w:hAnsi="Times New Roman" w:cs="Times New Roman"/>
          <w:sz w:val="20"/>
          <w:szCs w:val="20"/>
          <w:lang w:val="en-US"/>
        </w:rPr>
        <w:t xml:space="preserve"> ICD-10 codes only) pairs. For </w:t>
      </w:r>
      <w:r w:rsidRPr="00E4284C">
        <w:rPr>
          <w:rFonts w:ascii="Times New Roman" w:hAnsi="Times New Roman" w:cs="Times New Roman"/>
          <w:sz w:val="20"/>
          <w:szCs w:val="20"/>
          <w:lang w:val="en-US"/>
        </w:rPr>
        <w:t xml:space="preserve">the </w:t>
      </w:r>
      <w:r w:rsidRPr="00E4284C">
        <w:rPr>
          <w:rFonts w:ascii="Times New Roman" w:hAnsi="Times New Roman" w:cs="Times New Roman"/>
          <w:sz w:val="20"/>
          <w:szCs w:val="20"/>
          <w:lang w:val="en-US"/>
        </w:rPr>
        <w:t xml:space="preserve">SPS group, we truncate the patient trajectory at the index diagnosis, while for </w:t>
      </w:r>
      <w:r w:rsidRPr="00E4284C">
        <w:rPr>
          <w:rFonts w:ascii="Times New Roman" w:hAnsi="Times New Roman" w:cs="Times New Roman"/>
          <w:sz w:val="20"/>
          <w:szCs w:val="20"/>
          <w:lang w:val="en-US"/>
        </w:rPr>
        <w:t xml:space="preserve">the </w:t>
      </w:r>
      <w:r w:rsidRPr="00E4284C">
        <w:rPr>
          <w:rFonts w:ascii="Times New Roman" w:hAnsi="Times New Roman" w:cs="Times New Roman"/>
          <w:sz w:val="20"/>
          <w:szCs w:val="20"/>
          <w:lang w:val="en-US"/>
        </w:rPr>
        <w:t>control group, we truncate the patient trajectory 2 years prior to the end of the entire tr</w:t>
      </w:r>
      <w:r w:rsidRPr="00E4284C">
        <w:rPr>
          <w:rFonts w:ascii="Times New Roman" w:hAnsi="Times New Roman" w:cs="Times New Roman"/>
          <w:sz w:val="20"/>
          <w:szCs w:val="20"/>
          <w:lang w:val="en-US"/>
        </w:rPr>
        <w:t>aject</w:t>
      </w:r>
      <w:r w:rsidRPr="00E4284C">
        <w:rPr>
          <w:rFonts w:ascii="Times New Roman" w:hAnsi="Times New Roman" w:cs="Times New Roman"/>
          <w:sz w:val="20"/>
          <w:szCs w:val="20"/>
          <w:lang w:val="en-US"/>
        </w:rPr>
        <w:t xml:space="preserve">ory they have in the database. This avoids the uncertainty of cases in which </w:t>
      </w:r>
      <w:r w:rsidR="00E4284C" w:rsidRPr="00E4284C">
        <w:rPr>
          <w:rFonts w:ascii="Times New Roman" w:hAnsi="Times New Roman" w:cs="Times New Roman"/>
          <w:sz w:val="20"/>
          <w:szCs w:val="20"/>
          <w:lang w:val="en-US"/>
        </w:rPr>
        <w:t>SPS</w:t>
      </w:r>
      <w:r w:rsidRPr="00E4284C">
        <w:rPr>
          <w:rFonts w:ascii="Times New Roman" w:hAnsi="Times New Roman" w:cs="Times New Roman"/>
          <w:sz w:val="20"/>
          <w:szCs w:val="20"/>
          <w:lang w:val="en-US"/>
        </w:rPr>
        <w:t xml:space="preserve"> diagnosis appear</w:t>
      </w:r>
      <w:r w:rsidR="00E4284C" w:rsidRPr="00E4284C">
        <w:rPr>
          <w:rFonts w:ascii="Times New Roman" w:hAnsi="Times New Roman" w:cs="Times New Roman"/>
          <w:sz w:val="20"/>
          <w:szCs w:val="20"/>
          <w:lang w:val="en-US"/>
        </w:rPr>
        <w:t>s</w:t>
      </w:r>
      <w:r w:rsidRPr="00E4284C">
        <w:rPr>
          <w:rFonts w:ascii="Times New Roman" w:hAnsi="Times New Roman" w:cs="Times New Roman"/>
          <w:sz w:val="20"/>
          <w:szCs w:val="20"/>
          <w:lang w:val="en-US"/>
        </w:rPr>
        <w:t xml:space="preserve"> on control patient traje</w:t>
      </w:r>
      <w:r w:rsidR="00E4284C" w:rsidRPr="00E4284C">
        <w:rPr>
          <w:rFonts w:ascii="Times New Roman" w:hAnsi="Times New Roman" w:cs="Times New Roman"/>
          <w:sz w:val="20"/>
          <w:szCs w:val="20"/>
          <w:lang w:val="en-US"/>
        </w:rPr>
        <w:t>ct</w:t>
      </w:r>
      <w:r w:rsidRPr="00E4284C">
        <w:rPr>
          <w:rFonts w:ascii="Times New Roman" w:hAnsi="Times New Roman" w:cs="Times New Roman"/>
          <w:sz w:val="20"/>
          <w:szCs w:val="20"/>
          <w:lang w:val="en-US"/>
        </w:rPr>
        <w:t xml:space="preserve">ories within the 2-year buffer </w:t>
      </w:r>
      <w:proofErr w:type="gramStart"/>
      <w:r w:rsidRPr="00E4284C">
        <w:rPr>
          <w:rFonts w:ascii="Times New Roman" w:hAnsi="Times New Roman" w:cs="Times New Roman"/>
          <w:sz w:val="20"/>
          <w:szCs w:val="20"/>
          <w:lang w:val="en-US"/>
        </w:rPr>
        <w:t>time period</w:t>
      </w:r>
      <w:proofErr w:type="gramEnd"/>
      <w:r w:rsidRPr="00E4284C">
        <w:rPr>
          <w:rFonts w:ascii="Times New Roman" w:hAnsi="Times New Roman" w:cs="Times New Roman"/>
          <w:sz w:val="20"/>
          <w:szCs w:val="20"/>
          <w:lang w:val="en-US"/>
        </w:rPr>
        <w:t>. Then, we set a limit for the length of traj</w:t>
      </w:r>
      <w:r w:rsidR="00E4284C" w:rsidRPr="00E4284C">
        <w:rPr>
          <w:rFonts w:ascii="Times New Roman" w:hAnsi="Times New Roman" w:cs="Times New Roman"/>
          <w:sz w:val="20"/>
          <w:szCs w:val="20"/>
          <w:lang w:val="en-US"/>
        </w:rPr>
        <w:t>e</w:t>
      </w:r>
      <w:r w:rsidRPr="00E4284C">
        <w:rPr>
          <w:rFonts w:ascii="Times New Roman" w:hAnsi="Times New Roman" w:cs="Times New Roman"/>
          <w:sz w:val="20"/>
          <w:szCs w:val="20"/>
          <w:lang w:val="en-US"/>
        </w:rPr>
        <w:t xml:space="preserve">ctories: we filter out samples with </w:t>
      </w:r>
      <w:r w:rsidR="00E4284C" w:rsidRPr="00E4284C">
        <w:rPr>
          <w:rFonts w:ascii="Times New Roman" w:hAnsi="Times New Roman" w:cs="Times New Roman"/>
          <w:sz w:val="20"/>
          <w:szCs w:val="20"/>
          <w:lang w:val="en-US"/>
        </w:rPr>
        <w:t>fewer</w:t>
      </w:r>
      <w:r w:rsidRPr="00E4284C">
        <w:rPr>
          <w:rFonts w:ascii="Times New Roman" w:hAnsi="Times New Roman" w:cs="Times New Roman"/>
          <w:sz w:val="20"/>
          <w:szCs w:val="20"/>
          <w:lang w:val="en-US"/>
        </w:rPr>
        <w:t xml:space="preserve"> than 30 data point</w:t>
      </w:r>
      <w:r w:rsidR="00E4284C" w:rsidRPr="00E4284C">
        <w:rPr>
          <w:rFonts w:ascii="Times New Roman" w:hAnsi="Times New Roman" w:cs="Times New Roman"/>
          <w:sz w:val="20"/>
          <w:szCs w:val="20"/>
          <w:lang w:val="en-US"/>
        </w:rPr>
        <w:t>s</w:t>
      </w:r>
      <w:r w:rsidRPr="00E4284C">
        <w:rPr>
          <w:rFonts w:ascii="Times New Roman" w:hAnsi="Times New Roman" w:cs="Times New Roman"/>
          <w:sz w:val="20"/>
          <w:szCs w:val="20"/>
          <w:lang w:val="en-US"/>
        </w:rPr>
        <w:t xml:space="preserve">. For samples </w:t>
      </w:r>
      <w:r w:rsidR="00E4284C" w:rsidRPr="00E4284C">
        <w:rPr>
          <w:rFonts w:ascii="Times New Roman" w:hAnsi="Times New Roman" w:cs="Times New Roman"/>
          <w:sz w:val="20"/>
          <w:szCs w:val="20"/>
          <w:lang w:val="en-US"/>
        </w:rPr>
        <w:t xml:space="preserve">that </w:t>
      </w:r>
      <w:r w:rsidRPr="00E4284C">
        <w:rPr>
          <w:rFonts w:ascii="Times New Roman" w:hAnsi="Times New Roman" w:cs="Times New Roman"/>
          <w:sz w:val="20"/>
          <w:szCs w:val="20"/>
          <w:lang w:val="en-US"/>
        </w:rPr>
        <w:t>have trajectories longer than 225, we only kept the latest 225 data point</w:t>
      </w:r>
      <w:r w:rsidR="00E4284C" w:rsidRPr="00E4284C">
        <w:rPr>
          <w:rFonts w:ascii="Times New Roman" w:hAnsi="Times New Roman" w:cs="Times New Roman"/>
          <w:sz w:val="20"/>
          <w:szCs w:val="20"/>
          <w:lang w:val="en-US"/>
        </w:rPr>
        <w:t>s,</w:t>
      </w:r>
      <w:r w:rsidRPr="00E4284C">
        <w:rPr>
          <w:rFonts w:ascii="Times New Roman" w:hAnsi="Times New Roman" w:cs="Times New Roman"/>
          <w:sz w:val="20"/>
          <w:szCs w:val="20"/>
          <w:lang w:val="en-US"/>
        </w:rPr>
        <w:t xml:space="preserve"> as the codes observed early on may be irrelevant.</w:t>
      </w:r>
      <w:r w:rsidR="003656E5" w:rsidRPr="00E4284C">
        <w:rPr>
          <w:rFonts w:ascii="Times New Roman" w:hAnsi="Times New Roman" w:cs="Times New Roman"/>
          <w:sz w:val="20"/>
          <w:szCs w:val="20"/>
          <w:lang w:val="en-US"/>
        </w:rPr>
        <w:t xml:space="preserve"> Va</w:t>
      </w:r>
      <w:r w:rsidRPr="00E4284C">
        <w:rPr>
          <w:rFonts w:ascii="Times New Roman" w:hAnsi="Times New Roman" w:cs="Times New Roman"/>
          <w:sz w:val="20"/>
          <w:szCs w:val="20"/>
          <w:lang w:val="en-US"/>
        </w:rPr>
        <w:t>riable-length patient trajectories require standardization to fixed-length sequences for batch processing while preserving authentic medical information. Sequences shorter than the maximum length (225 events) undergo pre-padding with designated tokens: empty strings for diagnostic codes (mapped to index 0) and -1 values for corresponding age positions. Longer sequences are pre-truncated to retain the most recent medical events, prioritizing recent disease trajectory information most relevant for SPS risk assessment.</w:t>
      </w:r>
    </w:p>
    <w:p w:rsidR="00F17C41" w:rsidRPr="00E4284C" w:rsidRDefault="00F17C41" w:rsidP="00F17C41">
      <w:pPr>
        <w:rPr>
          <w:rFonts w:ascii="Times New Roman" w:hAnsi="Times New Roman" w:cs="Times New Roman"/>
          <w:sz w:val="20"/>
          <w:szCs w:val="20"/>
          <w:lang w:val="en-US"/>
        </w:rPr>
      </w:pPr>
    </w:p>
    <w:p w:rsidR="00F17C41" w:rsidRPr="00E4284C" w:rsidRDefault="00F17C41" w:rsidP="00F17C41">
      <w:pPr>
        <w:rPr>
          <w:rFonts w:ascii="Times New Roman" w:hAnsi="Times New Roman" w:cs="Times New Roman"/>
          <w:b/>
          <w:bCs/>
          <w:sz w:val="20"/>
          <w:szCs w:val="20"/>
          <w:lang w:val="en-US"/>
        </w:rPr>
      </w:pPr>
      <w:r w:rsidRPr="00E4284C">
        <w:rPr>
          <w:rFonts w:ascii="Times New Roman" w:hAnsi="Times New Roman" w:cs="Times New Roman"/>
          <w:b/>
          <w:bCs/>
          <w:sz w:val="20"/>
          <w:szCs w:val="20"/>
          <w:lang w:val="en-US"/>
        </w:rPr>
        <w:t xml:space="preserve">## </w:t>
      </w:r>
      <w:r w:rsidR="00E4284C" w:rsidRPr="00E4284C">
        <w:rPr>
          <w:rFonts w:ascii="Times New Roman" w:hAnsi="Times New Roman" w:cs="Times New Roman"/>
          <w:b/>
          <w:bCs/>
          <w:sz w:val="20"/>
          <w:szCs w:val="20"/>
          <w:lang w:val="en-US"/>
        </w:rPr>
        <w:t>4</w:t>
      </w:r>
      <w:r w:rsidRPr="00E4284C">
        <w:rPr>
          <w:rFonts w:ascii="Times New Roman" w:hAnsi="Times New Roman" w:cs="Times New Roman"/>
          <w:b/>
          <w:bCs/>
          <w:sz w:val="20"/>
          <w:szCs w:val="20"/>
          <w:lang w:val="en-US"/>
        </w:rPr>
        <w:t xml:space="preserve">. </w:t>
      </w:r>
      <w:r w:rsidR="003656E5" w:rsidRPr="00E4284C">
        <w:rPr>
          <w:rFonts w:ascii="Times New Roman" w:hAnsi="Times New Roman" w:cs="Times New Roman"/>
          <w:b/>
          <w:bCs/>
          <w:sz w:val="20"/>
          <w:szCs w:val="20"/>
          <w:lang w:val="en-US"/>
        </w:rPr>
        <w:t xml:space="preserve">Model </w:t>
      </w:r>
      <w:r w:rsidR="00E4284C" w:rsidRPr="00E4284C">
        <w:rPr>
          <w:rFonts w:ascii="Times New Roman" w:hAnsi="Times New Roman" w:cs="Times New Roman"/>
          <w:b/>
          <w:bCs/>
          <w:sz w:val="20"/>
          <w:szCs w:val="20"/>
          <w:lang w:val="en-US"/>
        </w:rPr>
        <w:t>Architecture</w:t>
      </w:r>
    </w:p>
    <w:p w:rsidR="00F17C41" w:rsidRPr="00E4284C" w:rsidRDefault="00E4284C" w:rsidP="00F17C41">
      <w:pPr>
        <w:rPr>
          <w:rFonts w:ascii="Times New Roman" w:hAnsi="Times New Roman" w:cs="Times New Roman"/>
          <w:sz w:val="20"/>
          <w:szCs w:val="20"/>
          <w:lang w:val="en-US"/>
        </w:rPr>
      </w:pPr>
      <w:bookmarkStart w:id="0" w:name="OLE_LINK47"/>
      <w:r>
        <w:rPr>
          <w:rFonts w:ascii="Times New Roman" w:hAnsi="Times New Roman" w:cs="Times New Roman"/>
          <w:sz w:val="20"/>
          <w:szCs w:val="20"/>
          <w:lang w:val="en-US"/>
        </w:rPr>
        <w:lastRenderedPageBreak/>
        <w:t>The Transformer model was employed to learn from the patient trajectory we constructed</w:t>
      </w:r>
      <w:r w:rsidR="009410AA">
        <w:rPr>
          <w:rFonts w:ascii="Times New Roman" w:hAnsi="Times New Roman" w:cs="Times New Roman"/>
          <w:sz w:val="20"/>
          <w:szCs w:val="20"/>
          <w:lang w:val="en-US"/>
        </w:rPr>
        <w:fldChar w:fldCharType="begin"/>
      </w:r>
      <w:r w:rsidR="009410AA">
        <w:rPr>
          <w:rFonts w:ascii="Times New Roman" w:hAnsi="Times New Roman" w:cs="Times New Roman"/>
          <w:sz w:val="20"/>
          <w:szCs w:val="20"/>
          <w:lang w:val="en-US"/>
        </w:rPr>
        <w:instrText xml:space="preserve"> ADDIN ZOTERO_ITEM CSL_CITATION {"citationID":"mfPyjV3O","properties":{"formattedCitation":"\\super 1\\uc0\\u8211{}3\\nosupersub{}","plainCitation":"1–3","noteIndex":0},"citationItems":[{"id":431,"uris":["http://zotero.org/users/local/GOB7Mp6D/items/GS8HZUKG"],"itemData":{"id":431,"type":"paper-conference","abstract":"The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entirely.Experiments on two machine translation tasks show these models to be superiorin quality while being more parallelizable and requiring significantly less timeto train. Our single model with 165 million parameters, achieves 27.5 BLEU onEnglish-to-German translation, improving over the existing best ensemble result by over 1 BLEU. On English-to-French translation, we outperform the previoussingle state-of-the-art with model by 0.7 BLEU, achieving a BLEU score of 41.1.","container-title":"Advances in Neural Information Processing Systems","publisher":"Curran Associates, Inc.","source":"Neural Information Processing Systems","title":"Attention is All you Need","URL":"https://proceedings.neurips.cc/paper_files/paper/2017/hash/3f5ee243547dee91fbd053c1c4a845aa-Abstract.html","volume":"30","author":[{"family":"Vaswani","given":"Ashish"},{"family":"Shazeer","given":"Noam"},{"family":"Parmar","given":"Niki"},{"family":"Uszkoreit","given":"Jakob"},{"family":"Jones","given":"Llion"},{"family":"Gomez","given":"Aidan N"},{"family":"Kaiser","given":"Ł","dropping-particle":"ukasz"},{"family":"Polosukhin","given":"Illia"}],"accessed":{"date-parts":[["2025",9,5]]},"issued":{"date-parts":[["2017"]]}}},{"id":420,"uris":["http://zotero.org/users/local/GOB7Mp6D/items/RQ22X7Y6"],"itemData":{"id":420,"type":"article-journal","abstract":"Pancreatic cancer is an aggressive disease that typically presents late with poor outcomes, indicating a pronounced need for early detection. In this study, we applied artificial intelligence methods to clinical data from 6 million patients (24,000 pancreatic cancer cases) in Denmark (Danish National Patient Registry (DNPR)) and from 3 million patients (3,900 cases) in the United States (US Veterans Affairs (US-VA)). We trained machine learning models on the sequence of disease codes in clinical histories and tested prediction of cancer occurrence within incremental time windows (CancerRiskNet). For cancer occurrence within 36 months, the performance of the best DNPR model has area under the receiver operating characteristic (AUROC) curve = 0.88 and decreases to AUROC (3m) = 0.83 when disease events within 3 months before cancer diagnosis are excluded from training, with an estimated relative risk of 59 for 1,000 highest-risk patients older than age 50 years. Cross-application of the Danish model to US-VA data had lower performance (AUROC = 0.71), and retraining was needed to improve performance (AUROC = 0.78, AUROC (3m) = 0.76). These results improve the ability to design realistic surveillance programs for patients at elevated risk, potentially benefiting lifespan and quality of life by early detection of this aggressive cancer.","container-title":"Nature Medicine","DOI":"10.1038/s41591-023-02332-5","ISSN":"1546-170X","issue":"5","journalAbbreviation":"Nat Med","language":"en","license":"2023 The Author(s)","note":"publisher: Nature Publishing Group","page":"1113-1122","source":"www.nature.com","title":"A deep learning algorithm to predict risk of pancreatic cancer from disease trajectories","volume":"29","author":[{"family":"Placido","given":"Davide"},{"family":"Yuan","given":"Bo"},{"family":"Hjaltelin","given":"Jessica X."},{"family":"Zheng","given":"Chunlei"},{"family":"Haue","given":"Amalie D."},{"family":"Chmura","given":"Piotr J."},{"family":"Yuan","given":"Chen"},{"family":"Kim","given":"Jihye"},{"family":"Umeton","given":"Renato"},{"family":"Antell","given":"Gregory"},{"family":"Chowdhury","given":"Alexander"},{"family":"Franz","given":"Alexandra"},{"family":"Brais","given":"Lauren"},{"family":"Andrews","given":"Elizabeth"},{"family":"Marks","given":"Debora S."},{"family":"Regev","given":"Aviv"},{"family":"Ayandeh","given":"Siamack"},{"family":"Brophy","given":"Mary T."},{"family":"Do","given":"Nhan V."},{"family":"Kraft","given":"Peter"},{"family":"Wolpin","given":"Brian M."},{"family":"Rosenthal","given":"Michael H."},{"family":"Fillmore","given":"Nathanael R."},{"family":"Brunak","given":"Søren"},{"family":"Sander","given":"Chris"}],"issued":{"date-parts":[["2023",5]]}}},{"id":433,"uris":["http://zotero.org/users/local/GOB7Mp6D/items/7XX4RFBN"],"itemData":{"id":433,"type":"article","abstract":"There are more than 7,000 rare diseases, some affecting 3,500 or fewer patients in the US. Due to clinicians’ limited experience with such diseases and the heterogeneity of clinical presentations, approximately 70% of individuals seeking a diagnosis today remain undiagnosed. Deep learning has demonstrated success in aiding the diagnosis of common diseases. However, existing approaches require labeled datasets with thousands of diagnosed patients per disease. Here, we present SHEPHERD, a few shot learning approach for multi-faceted rare disease diagnosis. SHEPHERD performs deep learning over a biomedical knowledge graph enriched with rare disease information to perform phenotype-driven diagnosis. Once trained, we show that SHEPHERD can provide clinical insights about real-world patients. We evaluate SHEPHERD on a cohort of N = 465 patients representing 299 diseases (79% of genes and 83% of diseases are represented in only a single patient) in the Undiagnosed Diseases Network. SHEPHERD excels at several diagnostic facets: performing causal gene discovery (causal genes are predicted at rank = 3.56 on average), retrieving “patients-like-me” with the same causal gene or disease, and providing interpretable characterizations of novel disease presentations. We additionally examine SHEPHERD on two other real-world cohorts, MyGene2 (N = 146) and Deciphering Developmental Disorders Study (N = 1,431). SHEPHERD demonstrates the potential of deep learning to accelerate rare disease diagnosis and has implications for using deep learning on medical datasets with very few labels.","DOI":"10.1101/2022.12.07.22283238","language":"en","license":"© 2024, Posted by Cold Spring Harbor Laboratory. This pre-print is available under a Creative Commons License (Attribution 4.0 International), CC BY 4.0, as described at http://creativecommons.org/licenses/by/4.0/","note":"page: 2022.12.07.22283238","publisher":"medRxiv","source":"medRxiv","title":"Few shot learning for phenotype-driven diagnosis of patients with rare genetic diseases","URL":"https://www.medrxiv.org/content/10.1101/2022.12.07.22283238v2","author":[{"family":"Alsentzer","given":"Emily"},{"family":"Li","given":"Michelle M."},{"family":"Kobren","given":"Shilpa N."},{"family":"Noori","given":"Ayush"},{"family":"Network","given":"Undiagnosed Diseases"},{"family":"Kohane","given":"Isaac S."},{"family":"Zitnik","given":"Marinka"}],"accessed":{"date-parts":[["2025",9,5]]},"issued":{"date-parts":[["2024",7,16]]}}}],"schema":"https://github.com/citation-style-language/schema/raw/master/csl-citation.json"} </w:instrText>
      </w:r>
      <w:r w:rsidR="009410AA">
        <w:rPr>
          <w:rFonts w:ascii="Times New Roman" w:hAnsi="Times New Roman" w:cs="Times New Roman"/>
          <w:sz w:val="20"/>
          <w:szCs w:val="20"/>
          <w:lang w:val="en-US"/>
        </w:rPr>
        <w:fldChar w:fldCharType="separate"/>
      </w:r>
      <w:r w:rsidR="009410AA" w:rsidRPr="009410AA">
        <w:rPr>
          <w:rFonts w:ascii="Times New Roman" w:hAnsi="Times New Roman" w:cs="Times New Roman"/>
          <w:kern w:val="0"/>
          <w:sz w:val="20"/>
          <w:vertAlign w:val="superscript"/>
          <w:lang w:val="en-US"/>
        </w:rPr>
        <w:t>1–3</w:t>
      </w:r>
      <w:r w:rsidR="009410AA">
        <w:rPr>
          <w:rFonts w:ascii="Times New Roman" w:hAnsi="Times New Roman" w:cs="Times New Roman"/>
          <w:sz w:val="20"/>
          <w:szCs w:val="20"/>
          <w:lang w:val="en-US"/>
        </w:rPr>
        <w:fldChar w:fldCharType="end"/>
      </w:r>
      <w:r>
        <w:rPr>
          <w:rFonts w:ascii="Times New Roman" w:hAnsi="Times New Roman" w:cs="Times New Roman"/>
          <w:sz w:val="20"/>
          <w:szCs w:val="20"/>
          <w:lang w:val="en-US"/>
        </w:rPr>
        <w:t xml:space="preserve">. </w:t>
      </w:r>
      <w:r w:rsidR="00F17C41" w:rsidRPr="00E4284C">
        <w:rPr>
          <w:rFonts w:ascii="Times New Roman" w:hAnsi="Times New Roman" w:cs="Times New Roman"/>
          <w:sz w:val="20"/>
          <w:szCs w:val="20"/>
          <w:lang w:val="en-US"/>
        </w:rPr>
        <w:t xml:space="preserve">We embedded each medical event denoted with a </w:t>
      </w:r>
      <w:proofErr w:type="gramStart"/>
      <w:r w:rsidR="00F17C41" w:rsidRPr="00E4284C">
        <w:rPr>
          <w:rFonts w:ascii="Times New Roman" w:hAnsi="Times New Roman" w:cs="Times New Roman"/>
          <w:sz w:val="20"/>
          <w:szCs w:val="20"/>
          <w:lang w:val="en-US"/>
        </w:rPr>
        <w:t>level-5</w:t>
      </w:r>
      <w:proofErr w:type="gramEnd"/>
      <w:r w:rsidR="00F17C41" w:rsidRPr="00E4284C">
        <w:rPr>
          <w:rFonts w:ascii="Times New Roman" w:hAnsi="Times New Roman" w:cs="Times New Roman"/>
          <w:sz w:val="20"/>
          <w:szCs w:val="20"/>
          <w:lang w:val="en-US"/>
        </w:rPr>
        <w:t xml:space="preserve"> ICD-10 diagnosis code from a patient's medical trajectory in a continuous 128-dimensional latent space. Such embedding is data-driven and trained jointly with other components of the model through supervised learning. Each diagnosis code is mapped to a learnable dense vector representation via a neural network embedding layer, where the embedding weights are optimized during training based on the SPS prediction task. </w:t>
      </w:r>
    </w:p>
    <w:p w:rsidR="00F17C41" w:rsidRPr="00E4284C" w:rsidRDefault="00F17C41" w:rsidP="00F17C41">
      <w:pPr>
        <w:rPr>
          <w:rFonts w:ascii="Times New Roman" w:hAnsi="Times New Roman" w:cs="Times New Roman"/>
          <w:sz w:val="20"/>
          <w:szCs w:val="20"/>
          <w:lang w:val="en-US"/>
        </w:rPr>
      </w:pPr>
      <w:r w:rsidRPr="00E4284C">
        <w:rPr>
          <w:rFonts w:ascii="Times New Roman" w:hAnsi="Times New Roman" w:cs="Times New Roman"/>
          <w:sz w:val="20"/>
          <w:szCs w:val="20"/>
          <w:lang w:val="en-US"/>
        </w:rPr>
        <w:t>After embedding, temporal information is incorporated through age-based positional encoding. Patient age at each medical event (measured in days since birth) is encoded using cosine-based functions with 32 different frequency components, with periods ranging from 1 day to 7,300 days. This temporal encoding captures both short-term and long-term temporal patterns in the medical trajectory.</w:t>
      </w:r>
    </w:p>
    <w:p w:rsidR="00F17C41" w:rsidRPr="00E4284C" w:rsidRDefault="00F17C41" w:rsidP="009410AA">
      <w:pPr>
        <w:rPr>
          <w:rFonts w:ascii="Times New Roman" w:hAnsi="Times New Roman" w:cs="Times New Roman"/>
          <w:sz w:val="20"/>
          <w:szCs w:val="20"/>
          <w:lang w:val="en-US"/>
        </w:rPr>
      </w:pPr>
      <w:r w:rsidRPr="00E4284C">
        <w:rPr>
          <w:rFonts w:ascii="Times New Roman" w:hAnsi="Times New Roman" w:cs="Times New Roman"/>
          <w:sz w:val="20"/>
          <w:szCs w:val="20"/>
          <w:lang w:val="en-US"/>
        </w:rPr>
        <w:t>The token embeddings and temporal encodings are then fused using Feature-wise Linear Modulation (</w:t>
      </w:r>
      <w:proofErr w:type="spellStart"/>
      <w:r w:rsidRPr="00E4284C">
        <w:rPr>
          <w:rFonts w:ascii="Times New Roman" w:hAnsi="Times New Roman" w:cs="Times New Roman"/>
          <w:sz w:val="20"/>
          <w:szCs w:val="20"/>
          <w:lang w:val="en-US"/>
        </w:rPr>
        <w:t>FiLM</w:t>
      </w:r>
      <w:proofErr w:type="spellEnd"/>
      <w:r w:rsidRPr="00E4284C">
        <w:rPr>
          <w:rFonts w:ascii="Times New Roman" w:hAnsi="Times New Roman" w:cs="Times New Roman"/>
          <w:sz w:val="20"/>
          <w:szCs w:val="20"/>
          <w:lang w:val="en-US"/>
        </w:rPr>
        <w:t xml:space="preserve">), where two learned linear transformations project the age encodings to modulate and shift the token embeddings. </w:t>
      </w:r>
      <w:r w:rsidR="009410AA" w:rsidRPr="009410AA">
        <w:rPr>
          <w:rFonts w:ascii="Times New Roman" w:hAnsi="Times New Roman" w:cs="Times New Roman"/>
          <w:sz w:val="20"/>
          <w:szCs w:val="20"/>
          <w:lang w:val="en-US"/>
        </w:rPr>
        <w:t>This combined representation is subsequently processed through</w:t>
      </w:r>
      <w:r w:rsidR="009410AA">
        <w:rPr>
          <w:rFonts w:ascii="Times New Roman" w:hAnsi="Times New Roman" w:cs="Times New Roman" w:hint="eastAsia"/>
          <w:sz w:val="20"/>
          <w:szCs w:val="20"/>
          <w:lang w:val="en-US"/>
        </w:rPr>
        <w:t xml:space="preserve"> </w:t>
      </w:r>
      <w:r w:rsidR="009410AA" w:rsidRPr="009410AA">
        <w:rPr>
          <w:rFonts w:ascii="Times New Roman" w:hAnsi="Times New Roman" w:cs="Times New Roman"/>
          <w:sz w:val="20"/>
          <w:szCs w:val="20"/>
          <w:lang w:val="en-US"/>
        </w:rPr>
        <w:t>4 stacked Transformer blocks with multi-head attention mechanisms to capture complex dependencies across the medical history.</w:t>
      </w:r>
      <w:r w:rsidR="009410AA">
        <w:rPr>
          <w:rFonts w:ascii="Times New Roman" w:hAnsi="Times New Roman" w:cs="Times New Roman" w:hint="eastAsia"/>
          <w:sz w:val="20"/>
          <w:szCs w:val="20"/>
          <w:lang w:val="en-US"/>
        </w:rPr>
        <w:t xml:space="preserve"> </w:t>
      </w:r>
      <w:r w:rsidRPr="00E4284C">
        <w:rPr>
          <w:rFonts w:ascii="Times New Roman" w:hAnsi="Times New Roman" w:cs="Times New Roman"/>
          <w:sz w:val="20"/>
          <w:szCs w:val="20"/>
          <w:lang w:val="en-US"/>
        </w:rPr>
        <w:t>The encoded features are aggregated using global average pooling and passed through a cumulative probability layer to predict SPS risk at multiple time horizons (6, 12, 24, 36, and 60 months).</w:t>
      </w:r>
    </w:p>
    <w:p w:rsidR="00F17C41" w:rsidRPr="00E4284C" w:rsidRDefault="00F17C41" w:rsidP="00F17C41">
      <w:pPr>
        <w:rPr>
          <w:rFonts w:ascii="Times New Roman" w:hAnsi="Times New Roman" w:cs="Times New Roman"/>
          <w:sz w:val="20"/>
          <w:szCs w:val="20"/>
          <w:lang w:val="en-US"/>
        </w:rPr>
      </w:pPr>
      <w:r w:rsidRPr="00E4284C">
        <w:rPr>
          <w:rFonts w:ascii="Times New Roman" w:hAnsi="Times New Roman" w:cs="Times New Roman"/>
          <w:sz w:val="20"/>
          <w:szCs w:val="20"/>
          <w:lang w:val="en-US"/>
        </w:rPr>
        <w:t xml:space="preserve">After the preprocessing stage, the model parameter was trained with focal loss </w:t>
      </w:r>
      <w:r w:rsidRPr="00E4284C">
        <w:rPr>
          <w:rFonts w:ascii="Times New Roman" w:hAnsi="Times New Roman" w:cs="Times New Roman"/>
          <w:sz w:val="20"/>
          <w:szCs w:val="20"/>
          <w:lang w:val="en-US"/>
        </w:rPr>
        <w:fldChar w:fldCharType="begin"/>
      </w:r>
      <w:r w:rsidR="009410AA">
        <w:rPr>
          <w:rFonts w:ascii="Times New Roman" w:hAnsi="Times New Roman" w:cs="Times New Roman"/>
          <w:sz w:val="20"/>
          <w:szCs w:val="20"/>
          <w:lang w:val="en-US"/>
        </w:rPr>
        <w:instrText xml:space="preserve"> ADDIN ZOTERO_ITEM CSL_CITATION {"citationID":"Pxvm7tjf","properties":{"formattedCitation":"\\super 4\\nosupersub{}","plainCitation":"4","noteIndex":0},"citationItems":[{"id":422,"uris":["http://zotero.org/users/local/GOB7Mp6D/items/27VRS5I4"],"itemData":{"id":422,"type":"article-journal","abstract":"The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Code is at: https://github.com/facebookresearch/Detectron.","container-title":"IEEE transactions on pattern analysis and machine intelligence","DOI":"10.1109/TPAMI.2018.2858826","ISSN":"1939-3539","issue":"2","journalAbbreviation":"IEEE Trans Pattern Anal Mach Intell","language":"eng","note":"PMID: 30040631","page":"318-327","source":"PubMed","title":"Focal Loss for Dense Object Detection","volume":"42","author":[{"family":"Lin","given":"Tsung-Yi"},{"family":"Goyal","given":"Priya"},{"family":"Girshick","given":"Ross"},{"family":"He","given":"Kaiming"},{"family":"Dollar","given":"Piotr"}],"issued":{"date-parts":[["2020",2]]}}}],"schema":"https://github.com/citation-style-language/schema/raw/master/csl-citation.json"} </w:instrText>
      </w:r>
      <w:r w:rsidRPr="00E4284C">
        <w:rPr>
          <w:rFonts w:ascii="Times New Roman" w:hAnsi="Times New Roman" w:cs="Times New Roman"/>
          <w:sz w:val="20"/>
          <w:szCs w:val="20"/>
          <w:lang w:val="en-US"/>
        </w:rPr>
        <w:fldChar w:fldCharType="separate"/>
      </w:r>
      <w:r w:rsidR="009410AA" w:rsidRPr="009410AA">
        <w:rPr>
          <w:rFonts w:ascii="Times New Roman" w:hAnsi="Times New Roman" w:cs="Times New Roman"/>
          <w:kern w:val="0"/>
          <w:sz w:val="20"/>
          <w:vertAlign w:val="superscript"/>
          <w:lang w:val="en-US"/>
        </w:rPr>
        <w:t>4</w:t>
      </w:r>
      <w:r w:rsidRPr="00E4284C">
        <w:rPr>
          <w:rFonts w:ascii="Times New Roman" w:hAnsi="Times New Roman" w:cs="Times New Roman"/>
          <w:sz w:val="20"/>
          <w:szCs w:val="20"/>
          <w:lang w:val="en-US"/>
        </w:rPr>
        <w:fldChar w:fldCharType="end"/>
      </w:r>
      <w:r w:rsidRPr="00E4284C">
        <w:rPr>
          <w:rFonts w:ascii="Times New Roman" w:hAnsi="Times New Roman" w:cs="Times New Roman"/>
          <w:sz w:val="20"/>
          <w:szCs w:val="20"/>
          <w:lang w:val="en-US"/>
        </w:rPr>
        <w:t xml:space="preserve"> that </w:t>
      </w:r>
      <w:r w:rsidR="009410AA">
        <w:rPr>
          <w:rFonts w:ascii="Times New Roman" w:hAnsi="Times New Roman" w:cs="Times New Roman"/>
          <w:sz w:val="20"/>
          <w:szCs w:val="20"/>
          <w:lang w:val="en-US"/>
        </w:rPr>
        <w:t xml:space="preserve">is </w:t>
      </w:r>
      <w:r w:rsidRPr="00E4284C">
        <w:rPr>
          <w:rFonts w:ascii="Times New Roman" w:hAnsi="Times New Roman" w:cs="Times New Roman"/>
          <w:sz w:val="20"/>
          <w:szCs w:val="20"/>
          <w:lang w:val="en-US"/>
        </w:rPr>
        <w:t>tailored for unbalanced class</w:t>
      </w:r>
    </w:p>
    <w:p w:rsidR="00F17C41" w:rsidRDefault="009410AA" w:rsidP="00E4284C">
      <w:pPr>
        <w:tabs>
          <w:tab w:val="left" w:pos="2538"/>
        </w:tabs>
        <w:rPr>
          <w:rStyle w:val="mo"/>
          <w:rFonts w:ascii="Times New Roman" w:hAnsi="Times New Roman" w:cs="Times New Roman"/>
          <w:color w:val="333333"/>
          <w:sz w:val="20"/>
          <w:szCs w:val="20"/>
          <w:bdr w:val="none" w:sz="0" w:space="0" w:color="auto" w:frame="1"/>
          <w:shd w:val="clear" w:color="auto" w:fill="FFFFFF"/>
        </w:rPr>
      </w:pPr>
      <w:r>
        <w:rPr>
          <w:rStyle w:val="mi"/>
          <w:rFonts w:ascii="Times New Roman" w:hAnsi="Times New Roman" w:cs="Times New Roman"/>
          <w:color w:val="333333"/>
          <w:sz w:val="20"/>
          <w:szCs w:val="20"/>
          <w:bdr w:val="none" w:sz="0" w:space="0" w:color="auto" w:frame="1"/>
          <w:shd w:val="clear" w:color="auto" w:fill="FFFFFF"/>
        </w:rPr>
        <w:t xml:space="preserve">Formula: </w:t>
      </w:r>
      <w:r w:rsidR="003656E5" w:rsidRPr="00E4284C">
        <w:rPr>
          <w:rStyle w:val="mi"/>
          <w:rFonts w:ascii="Times New Roman" w:hAnsi="Times New Roman" w:cs="Times New Roman"/>
          <w:color w:val="333333"/>
          <w:sz w:val="20"/>
          <w:szCs w:val="20"/>
          <w:bdr w:val="none" w:sz="0" w:space="0" w:color="auto" w:frame="1"/>
          <w:shd w:val="clear" w:color="auto" w:fill="FFFFFF"/>
        </w:rPr>
        <w:t>FL</w:t>
      </w:r>
      <w:r w:rsidR="003656E5" w:rsidRPr="00E4284C">
        <w:rPr>
          <w:rStyle w:val="mo"/>
          <w:rFonts w:ascii="Times New Roman" w:hAnsi="Times New Roman" w:cs="Times New Roman"/>
          <w:color w:val="333333"/>
          <w:sz w:val="20"/>
          <w:szCs w:val="20"/>
          <w:bdr w:val="none" w:sz="0" w:space="0" w:color="auto" w:frame="1"/>
          <w:shd w:val="clear" w:color="auto" w:fill="FFFFFF"/>
        </w:rPr>
        <w:t>(</w:t>
      </w:r>
      <w:r w:rsidR="003656E5" w:rsidRPr="00E4284C">
        <w:rPr>
          <w:rStyle w:val="mi"/>
          <w:rFonts w:ascii="Times New Roman" w:hAnsi="Times New Roman" w:cs="Times New Roman"/>
          <w:color w:val="333333"/>
          <w:sz w:val="20"/>
          <w:szCs w:val="20"/>
          <w:bdr w:val="none" w:sz="0" w:space="0" w:color="auto" w:frame="1"/>
          <w:shd w:val="clear" w:color="auto" w:fill="FFFFFF"/>
        </w:rPr>
        <w:t>p</w:t>
      </w:r>
      <w:r w:rsidR="003656E5" w:rsidRPr="00E4284C">
        <w:rPr>
          <w:rStyle w:val="mi"/>
          <w:rFonts w:ascii="Times New Roman" w:hAnsi="Times New Roman" w:cs="Times New Roman"/>
          <w:color w:val="333333"/>
          <w:sz w:val="20"/>
          <w:szCs w:val="20"/>
          <w:bdr w:val="none" w:sz="0" w:space="0" w:color="auto" w:frame="1"/>
          <w:shd w:val="clear" w:color="auto" w:fill="FFFFFF"/>
          <w:vertAlign w:val="subscript"/>
        </w:rPr>
        <w:t>t</w:t>
      </w:r>
      <w:r w:rsidR="003656E5" w:rsidRPr="00E4284C">
        <w:rPr>
          <w:rStyle w:val="mo"/>
          <w:rFonts w:ascii="Times New Roman" w:hAnsi="Times New Roman" w:cs="Times New Roman"/>
          <w:color w:val="333333"/>
          <w:sz w:val="20"/>
          <w:szCs w:val="20"/>
          <w:bdr w:val="none" w:sz="0" w:space="0" w:color="auto" w:frame="1"/>
          <w:shd w:val="clear" w:color="auto" w:fill="FFFFFF"/>
        </w:rPr>
        <w:t>)=−</w:t>
      </w:r>
      <w:r w:rsidR="003656E5" w:rsidRPr="00E4284C">
        <w:rPr>
          <w:rStyle w:val="mi"/>
          <w:rFonts w:ascii="Times New Roman" w:hAnsi="Times New Roman" w:cs="Times New Roman"/>
          <w:color w:val="333333"/>
          <w:sz w:val="20"/>
          <w:szCs w:val="20"/>
          <w:bdr w:val="none" w:sz="0" w:space="0" w:color="auto" w:frame="1"/>
          <w:shd w:val="clear" w:color="auto" w:fill="FFFFFF"/>
        </w:rPr>
        <w:t>α</w:t>
      </w:r>
      <w:r w:rsidR="003656E5" w:rsidRPr="00E4284C">
        <w:rPr>
          <w:rStyle w:val="mi"/>
          <w:rFonts w:ascii="Times New Roman" w:hAnsi="Times New Roman" w:cs="Times New Roman"/>
          <w:color w:val="333333"/>
          <w:sz w:val="20"/>
          <w:szCs w:val="20"/>
          <w:bdr w:val="none" w:sz="0" w:space="0" w:color="auto" w:frame="1"/>
          <w:shd w:val="clear" w:color="auto" w:fill="FFFFFF"/>
          <w:vertAlign w:val="subscript"/>
        </w:rPr>
        <w:t>t</w:t>
      </w:r>
      <w:r w:rsidR="003656E5" w:rsidRPr="00E4284C">
        <w:rPr>
          <w:rStyle w:val="mo"/>
          <w:rFonts w:ascii="Times New Roman" w:hAnsi="Times New Roman" w:cs="Times New Roman"/>
          <w:color w:val="333333"/>
          <w:sz w:val="20"/>
          <w:szCs w:val="20"/>
          <w:bdr w:val="none" w:sz="0" w:space="0" w:color="auto" w:frame="1"/>
          <w:shd w:val="clear" w:color="auto" w:fill="FFFFFF"/>
        </w:rPr>
        <w:t>(</w:t>
      </w:r>
      <w:r w:rsidR="003656E5" w:rsidRPr="00E4284C">
        <w:rPr>
          <w:rStyle w:val="mn"/>
          <w:rFonts w:ascii="Times New Roman" w:hAnsi="Times New Roman" w:cs="Times New Roman"/>
          <w:color w:val="333333"/>
          <w:sz w:val="20"/>
          <w:szCs w:val="20"/>
          <w:bdr w:val="none" w:sz="0" w:space="0" w:color="auto" w:frame="1"/>
          <w:shd w:val="clear" w:color="auto" w:fill="FFFFFF"/>
        </w:rPr>
        <w:t>1</w:t>
      </w:r>
      <w:r w:rsidR="003656E5" w:rsidRPr="00E4284C">
        <w:rPr>
          <w:rStyle w:val="mo"/>
          <w:rFonts w:ascii="Times New Roman" w:hAnsi="Times New Roman" w:cs="Times New Roman"/>
          <w:color w:val="333333"/>
          <w:sz w:val="20"/>
          <w:szCs w:val="20"/>
          <w:bdr w:val="none" w:sz="0" w:space="0" w:color="auto" w:frame="1"/>
          <w:shd w:val="clear" w:color="auto" w:fill="FFFFFF"/>
        </w:rPr>
        <w:t>−</w:t>
      </w:r>
      <w:r w:rsidR="003656E5" w:rsidRPr="00E4284C">
        <w:rPr>
          <w:rStyle w:val="mi"/>
          <w:rFonts w:ascii="Times New Roman" w:hAnsi="Times New Roman" w:cs="Times New Roman"/>
          <w:color w:val="333333"/>
          <w:sz w:val="20"/>
          <w:szCs w:val="20"/>
          <w:bdr w:val="none" w:sz="0" w:space="0" w:color="auto" w:frame="1"/>
          <w:shd w:val="clear" w:color="auto" w:fill="FFFFFF"/>
        </w:rPr>
        <w:t>p</w:t>
      </w:r>
      <w:r w:rsidR="003656E5" w:rsidRPr="00E4284C">
        <w:rPr>
          <w:rStyle w:val="mi"/>
          <w:rFonts w:ascii="Times New Roman" w:hAnsi="Times New Roman" w:cs="Times New Roman"/>
          <w:color w:val="333333"/>
          <w:sz w:val="20"/>
          <w:szCs w:val="20"/>
          <w:bdr w:val="none" w:sz="0" w:space="0" w:color="auto" w:frame="1"/>
          <w:shd w:val="clear" w:color="auto" w:fill="FFFFFF"/>
          <w:vertAlign w:val="subscript"/>
        </w:rPr>
        <w:t>t</w:t>
      </w:r>
      <w:r w:rsidR="003656E5" w:rsidRPr="00E4284C">
        <w:rPr>
          <w:rStyle w:val="mo"/>
          <w:rFonts w:ascii="Times New Roman" w:hAnsi="Times New Roman" w:cs="Times New Roman"/>
          <w:color w:val="333333"/>
          <w:sz w:val="20"/>
          <w:szCs w:val="20"/>
          <w:bdr w:val="none" w:sz="0" w:space="0" w:color="auto" w:frame="1"/>
          <w:shd w:val="clear" w:color="auto" w:fill="FFFFFF"/>
        </w:rPr>
        <w:t>)</w:t>
      </w:r>
      <w:r w:rsidR="003656E5" w:rsidRPr="00E4284C">
        <w:rPr>
          <w:rStyle w:val="mi"/>
          <w:rFonts w:ascii="Times New Roman" w:hAnsi="Times New Roman" w:cs="Times New Roman"/>
          <w:color w:val="333333"/>
          <w:sz w:val="20"/>
          <w:szCs w:val="20"/>
          <w:bdr w:val="none" w:sz="0" w:space="0" w:color="auto" w:frame="1"/>
          <w:shd w:val="clear" w:color="auto" w:fill="FFFFFF"/>
          <w:vertAlign w:val="superscript"/>
        </w:rPr>
        <w:t>γ</w:t>
      </w:r>
      <w:r w:rsidR="003656E5" w:rsidRPr="00E4284C">
        <w:rPr>
          <w:rStyle w:val="mi"/>
          <w:rFonts w:ascii="Times New Roman" w:hAnsi="Times New Roman" w:cs="Times New Roman"/>
          <w:color w:val="333333"/>
          <w:sz w:val="20"/>
          <w:szCs w:val="20"/>
          <w:bdr w:val="none" w:sz="0" w:space="0" w:color="auto" w:frame="1"/>
          <w:shd w:val="clear" w:color="auto" w:fill="FFFFFF"/>
        </w:rPr>
        <w:t>log</w:t>
      </w:r>
      <w:r w:rsidR="003656E5" w:rsidRPr="00E4284C">
        <w:rPr>
          <w:rStyle w:val="mo"/>
          <w:rFonts w:ascii="Times New Roman" w:hAnsi="Times New Roman" w:cs="Times New Roman"/>
          <w:color w:val="333333"/>
          <w:sz w:val="20"/>
          <w:szCs w:val="20"/>
          <w:bdr w:val="none" w:sz="0" w:space="0" w:color="auto" w:frame="1"/>
          <w:shd w:val="clear" w:color="auto" w:fill="FFFFFF"/>
        </w:rPr>
        <w:t>(</w:t>
      </w:r>
      <w:r w:rsidR="003656E5" w:rsidRPr="00E4284C">
        <w:rPr>
          <w:rStyle w:val="mi"/>
          <w:rFonts w:ascii="Times New Roman" w:hAnsi="Times New Roman" w:cs="Times New Roman"/>
          <w:color w:val="333333"/>
          <w:sz w:val="20"/>
          <w:szCs w:val="20"/>
          <w:bdr w:val="none" w:sz="0" w:space="0" w:color="auto" w:frame="1"/>
          <w:shd w:val="clear" w:color="auto" w:fill="FFFFFF"/>
        </w:rPr>
        <w:t>p</w:t>
      </w:r>
      <w:r w:rsidR="003656E5" w:rsidRPr="00E4284C">
        <w:rPr>
          <w:rStyle w:val="mi"/>
          <w:rFonts w:ascii="Times New Roman" w:hAnsi="Times New Roman" w:cs="Times New Roman"/>
          <w:color w:val="333333"/>
          <w:sz w:val="20"/>
          <w:szCs w:val="20"/>
          <w:bdr w:val="none" w:sz="0" w:space="0" w:color="auto" w:frame="1"/>
          <w:shd w:val="clear" w:color="auto" w:fill="FFFFFF"/>
          <w:vertAlign w:val="subscript"/>
        </w:rPr>
        <w:t>t</w:t>
      </w:r>
      <w:r w:rsidR="003656E5" w:rsidRPr="00E4284C">
        <w:rPr>
          <w:rStyle w:val="mo"/>
          <w:rFonts w:ascii="Times New Roman" w:hAnsi="Times New Roman" w:cs="Times New Roman"/>
          <w:color w:val="333333"/>
          <w:sz w:val="20"/>
          <w:szCs w:val="20"/>
          <w:bdr w:val="none" w:sz="0" w:space="0" w:color="auto" w:frame="1"/>
          <w:shd w:val="clear" w:color="auto" w:fill="FFFFFF"/>
        </w:rPr>
        <w:t>).</w:t>
      </w:r>
      <w:r w:rsidR="00E4284C">
        <w:rPr>
          <w:rStyle w:val="mo"/>
          <w:rFonts w:ascii="Times New Roman" w:hAnsi="Times New Roman" w:cs="Times New Roman"/>
          <w:color w:val="333333"/>
          <w:sz w:val="20"/>
          <w:szCs w:val="20"/>
          <w:bdr w:val="none" w:sz="0" w:space="0" w:color="auto" w:frame="1"/>
          <w:shd w:val="clear" w:color="auto" w:fill="FFFFFF"/>
        </w:rPr>
        <w:tab/>
      </w:r>
    </w:p>
    <w:p w:rsidR="00F17C41" w:rsidRDefault="00F17C41" w:rsidP="00F17C41">
      <w:pPr>
        <w:rPr>
          <w:rFonts w:ascii="Times New Roman" w:hAnsi="Times New Roman" w:cs="Times New Roman"/>
          <w:sz w:val="20"/>
          <w:szCs w:val="20"/>
          <w:lang w:val="en-US"/>
        </w:rPr>
      </w:pPr>
      <w:r w:rsidRPr="00E4284C">
        <w:rPr>
          <w:rFonts w:ascii="Times New Roman" w:hAnsi="Times New Roman" w:cs="Times New Roman"/>
          <w:sz w:val="20"/>
          <w:szCs w:val="20"/>
          <w:lang w:val="en-US"/>
        </w:rPr>
        <w:t>p</w:t>
      </w:r>
      <w:r w:rsidRPr="00E4284C">
        <w:rPr>
          <w:rFonts w:ascii="Times New Roman" w:hAnsi="Times New Roman" w:cs="Times New Roman"/>
          <w:sz w:val="20"/>
          <w:szCs w:val="20"/>
          <w:vertAlign w:val="subscript"/>
          <w:lang w:val="en-US"/>
        </w:rPr>
        <w:t>t</w:t>
      </w:r>
      <w:r w:rsidRPr="00E4284C">
        <w:rPr>
          <w:rFonts w:ascii="Times New Roman" w:hAnsi="Times New Roman" w:cs="Times New Roman"/>
          <w:sz w:val="20"/>
          <w:szCs w:val="20"/>
          <w:lang w:val="en-US"/>
        </w:rPr>
        <w:t xml:space="preserve"> represents the predicted probability for the true class, α</w:t>
      </w:r>
      <w:r w:rsidR="00E4284C">
        <w:rPr>
          <w:rFonts w:ascii="Times New Roman" w:hAnsi="Times New Roman" w:cs="Times New Roman"/>
          <w:sz w:val="20"/>
          <w:szCs w:val="20"/>
          <w:vertAlign w:val="subscript"/>
          <w:lang w:val="en-US"/>
        </w:rPr>
        <w:t>t</w:t>
      </w:r>
      <w:r w:rsidRPr="00E4284C">
        <w:rPr>
          <w:rFonts w:ascii="Times New Roman" w:hAnsi="Times New Roman" w:cs="Times New Roman"/>
          <w:sz w:val="20"/>
          <w:szCs w:val="20"/>
          <w:lang w:val="en-US"/>
        </w:rPr>
        <w:t xml:space="preserve"> provides class-specific weighting and γ</w:t>
      </w:r>
      <w:r w:rsidR="003656E5" w:rsidRPr="00E4284C">
        <w:rPr>
          <w:rFonts w:ascii="Times New Roman" w:hAnsi="Times New Roman" w:cs="Times New Roman"/>
          <w:sz w:val="20"/>
          <w:szCs w:val="20"/>
          <w:lang w:val="en-US"/>
        </w:rPr>
        <w:t xml:space="preserve"> </w:t>
      </w:r>
      <w:r w:rsidRPr="00E4284C">
        <w:rPr>
          <w:rFonts w:ascii="Times New Roman" w:hAnsi="Times New Roman" w:cs="Times New Roman"/>
          <w:sz w:val="20"/>
          <w:szCs w:val="20"/>
          <w:lang w:val="en-US"/>
        </w:rPr>
        <w:t>controls the modulation strength. This formulation substantially reduces loss contribution from high-confidence predictions, enabling the model to concentrate learning capacity on challenging boundary cases while improving sensitivity for SPS detection across the severe class imbalance.</w:t>
      </w:r>
    </w:p>
    <w:p w:rsidR="009410AA" w:rsidRPr="009410AA" w:rsidRDefault="009410AA" w:rsidP="00F17C41">
      <w:pPr>
        <w:rPr>
          <w:rFonts w:ascii="Times New Roman" w:hAnsi="Times New Roman" w:cs="Times New Roman"/>
          <w:b/>
          <w:bCs/>
          <w:sz w:val="20"/>
          <w:szCs w:val="20"/>
          <w:lang w:val="en-US"/>
        </w:rPr>
      </w:pPr>
      <w:bookmarkStart w:id="1" w:name="OLE_LINK48"/>
      <w:bookmarkEnd w:id="0"/>
      <w:r w:rsidRPr="009410AA">
        <w:rPr>
          <w:rFonts w:ascii="Times New Roman" w:hAnsi="Times New Roman" w:cs="Times New Roman" w:hint="eastAsia"/>
          <w:b/>
          <w:bCs/>
          <w:sz w:val="20"/>
          <w:szCs w:val="20"/>
          <w:lang w:val="en-US"/>
        </w:rPr>
        <w:t xml:space="preserve">## 5. </w:t>
      </w:r>
      <w:r w:rsidRPr="009410AA">
        <w:rPr>
          <w:rFonts w:ascii="Times New Roman" w:hAnsi="Times New Roman" w:cs="Times New Roman"/>
          <w:b/>
          <w:bCs/>
          <w:sz w:val="20"/>
          <w:szCs w:val="20"/>
          <w:lang w:val="en-US"/>
        </w:rPr>
        <w:t>Model Evaluation</w:t>
      </w:r>
    </w:p>
    <w:bookmarkEnd w:id="1"/>
    <w:p w:rsidR="003656E5" w:rsidRDefault="003656E5" w:rsidP="003656E5">
      <w:pPr>
        <w:rPr>
          <w:rFonts w:ascii="Times New Roman" w:hAnsi="Times New Roman" w:cs="Times New Roman"/>
          <w:sz w:val="20"/>
          <w:szCs w:val="20"/>
          <w:lang w:val="en-US"/>
        </w:rPr>
      </w:pPr>
      <w:r w:rsidRPr="00E4284C">
        <w:rPr>
          <w:rFonts w:ascii="Times New Roman" w:hAnsi="Times New Roman" w:cs="Times New Roman"/>
          <w:sz w:val="20"/>
          <w:szCs w:val="20"/>
          <w:lang w:val="en-US"/>
        </w:rPr>
        <w:t xml:space="preserve">Robust performance assessment employs multiple trajectory sampling to account for the stochastic nature of sequence processing. For each patient in the test set, ten different trajectory samples are generated through random subsequence selection from their complete medical history, mimicking the trajectory augmentation used during training. Each trajectory sample represents a different temporal window of the patient's medical experience, enabling demonstration of consistent risk assessment across various historical perspectives. Patient-level predictions are computed by averaging risk scores across the ten trajectory samples, reducing prediction variance while preserving the benefits of temporal augmentation. </w:t>
      </w:r>
    </w:p>
    <w:p w:rsidR="001E2177" w:rsidRDefault="001E2177" w:rsidP="001E2177">
      <w:pPr>
        <w:rPr>
          <w:rFonts w:ascii="Times New Roman" w:hAnsi="Times New Roman" w:cs="Times New Roman"/>
          <w:sz w:val="20"/>
          <w:szCs w:val="20"/>
          <w:lang w:val="en-US"/>
        </w:rPr>
      </w:pPr>
      <w:r w:rsidRPr="001E2177">
        <w:rPr>
          <w:rFonts w:ascii="Times New Roman" w:hAnsi="Times New Roman" w:cs="Times New Roman"/>
          <w:sz w:val="20"/>
          <w:szCs w:val="20"/>
          <w:lang w:val="en-US"/>
        </w:rPr>
        <w:t>Model performance was evaluated using standard binary classificatio</w:t>
      </w:r>
      <w:r>
        <w:rPr>
          <w:rFonts w:ascii="Times New Roman" w:hAnsi="Times New Roman" w:cs="Times New Roman" w:hint="eastAsia"/>
          <w:sz w:val="20"/>
          <w:szCs w:val="20"/>
          <w:lang w:val="en-US"/>
        </w:rPr>
        <w:t>n</w:t>
      </w:r>
      <w:r>
        <w:rPr>
          <w:rFonts w:ascii="Times New Roman" w:hAnsi="Times New Roman" w:cs="Times New Roman"/>
          <w:sz w:val="20"/>
          <w:szCs w:val="20"/>
          <w:lang w:val="en-US"/>
        </w:rPr>
        <w:t xml:space="preserve"> </w:t>
      </w:r>
      <w:r w:rsidRPr="001E2177">
        <w:rPr>
          <w:rFonts w:ascii="Times New Roman" w:hAnsi="Times New Roman" w:cs="Times New Roman"/>
          <w:sz w:val="20"/>
          <w:szCs w:val="20"/>
          <w:lang w:val="en-US"/>
        </w:rPr>
        <w:t xml:space="preserve">metrics. </w:t>
      </w:r>
      <w:r>
        <w:rPr>
          <w:rFonts w:ascii="Times New Roman" w:hAnsi="Times New Roman" w:cs="Times New Roman"/>
          <w:sz w:val="20"/>
          <w:szCs w:val="20"/>
          <w:lang w:val="en-US"/>
        </w:rPr>
        <w:t xml:space="preserve">For rare disease detection, we prioritize the successful prediction of the positive class, and therefore, </w:t>
      </w:r>
      <w:r w:rsidRPr="001E2177">
        <w:rPr>
          <w:rFonts w:ascii="Times New Roman" w:hAnsi="Times New Roman" w:cs="Times New Roman"/>
          <w:sz w:val="20"/>
          <w:szCs w:val="20"/>
          <w:lang w:val="en-US"/>
        </w:rPr>
        <w:t>the area under the precision-recall curve (AUPRC)</w:t>
      </w:r>
      <w:r>
        <w:rPr>
          <w:rFonts w:ascii="Times New Roman" w:hAnsi="Times New Roman" w:cs="Times New Roman" w:hint="eastAsia"/>
          <w:sz w:val="20"/>
          <w:szCs w:val="20"/>
          <w:lang w:val="en-US"/>
        </w:rPr>
        <w:t xml:space="preserve"> </w:t>
      </w:r>
      <w:r>
        <w:rPr>
          <w:rFonts w:ascii="Times New Roman" w:hAnsi="Times New Roman" w:cs="Times New Roman"/>
          <w:sz w:val="20"/>
          <w:szCs w:val="20"/>
          <w:lang w:val="en-US"/>
        </w:rPr>
        <w:t>is our primary interest. Precision and recall are defined as:</w:t>
      </w:r>
    </w:p>
    <w:p w:rsidR="001E2177" w:rsidRDefault="001E2177" w:rsidP="001E2177">
      <w:pPr>
        <w:rPr>
          <w:rFonts w:ascii="Times New Roman" w:hAnsi="Times New Roman" w:cs="Times New Roman"/>
          <w:sz w:val="20"/>
          <w:szCs w:val="20"/>
          <w:lang w:val="en-US"/>
        </w:rPr>
      </w:pPr>
      <w:r w:rsidRPr="001E2177">
        <w:rPr>
          <w:rFonts w:ascii="Times New Roman" w:hAnsi="Times New Roman" w:cs="Times New Roman"/>
          <w:sz w:val="20"/>
          <w:szCs w:val="20"/>
          <w:lang w:val="en-US"/>
        </w:rPr>
        <w:t xml:space="preserve">Precision = TP/(TP+FP) </w:t>
      </w:r>
    </w:p>
    <w:p w:rsidR="001E2177" w:rsidRDefault="001E2177" w:rsidP="001E2177">
      <w:pPr>
        <w:rPr>
          <w:rFonts w:ascii="Times New Roman" w:hAnsi="Times New Roman" w:cs="Times New Roman"/>
          <w:sz w:val="20"/>
          <w:szCs w:val="20"/>
          <w:lang w:val="en-US"/>
        </w:rPr>
      </w:pPr>
      <w:r w:rsidRPr="001E2177">
        <w:rPr>
          <w:rFonts w:ascii="Times New Roman" w:hAnsi="Times New Roman" w:cs="Times New Roman"/>
          <w:sz w:val="20"/>
          <w:szCs w:val="20"/>
          <w:lang w:val="en-US"/>
        </w:rPr>
        <w:t xml:space="preserve">Recall = TP/(TP+FN) </w:t>
      </w:r>
    </w:p>
    <w:p w:rsidR="00C548F0" w:rsidRPr="00E4284C" w:rsidRDefault="001E2177" w:rsidP="00C548F0">
      <w:pPr>
        <w:rPr>
          <w:rFonts w:ascii="Times New Roman" w:hAnsi="Times New Roman" w:cs="Times New Roman"/>
          <w:sz w:val="20"/>
          <w:szCs w:val="20"/>
          <w:lang w:val="en-US"/>
        </w:rPr>
      </w:pPr>
      <w:r w:rsidRPr="001E2177">
        <w:rPr>
          <w:rFonts w:ascii="Times New Roman" w:hAnsi="Times New Roman" w:cs="Times New Roman"/>
          <w:sz w:val="20"/>
          <w:szCs w:val="20"/>
          <w:lang w:val="en-US"/>
        </w:rPr>
        <w:t>where TP</w:t>
      </w:r>
      <w:r>
        <w:rPr>
          <w:rFonts w:ascii="Times New Roman" w:hAnsi="Times New Roman" w:cs="Times New Roman"/>
          <w:sz w:val="20"/>
          <w:szCs w:val="20"/>
          <w:lang w:val="en-US"/>
        </w:rPr>
        <w:t>, FP, TN, FN are true positive, false positive, true negative, false negative,</w:t>
      </w:r>
      <w:r w:rsidRPr="001E2177">
        <w:rPr>
          <w:rFonts w:ascii="Times New Roman" w:hAnsi="Times New Roman" w:cs="Times New Roman"/>
          <w:sz w:val="20"/>
          <w:szCs w:val="20"/>
          <w:lang w:val="en-US"/>
        </w:rPr>
        <w:t xml:space="preserve"> respectively.</w:t>
      </w:r>
      <w:r w:rsidR="00C548F0">
        <w:rPr>
          <w:rFonts w:ascii="Times New Roman" w:hAnsi="Times New Roman" w:cs="Times New Roman"/>
          <w:sz w:val="20"/>
          <w:szCs w:val="20"/>
          <w:lang w:val="en-US"/>
        </w:rPr>
        <w:t xml:space="preserve"> AUPRCs are calculated separately over each</w:t>
      </w:r>
      <w:r w:rsidR="00C548F0" w:rsidRPr="00E4284C">
        <w:rPr>
          <w:rFonts w:ascii="Times New Roman" w:hAnsi="Times New Roman" w:cs="Times New Roman"/>
          <w:sz w:val="20"/>
          <w:szCs w:val="20"/>
          <w:lang w:val="en-US"/>
        </w:rPr>
        <w:t xml:space="preserve"> time horizon (6, 12, 24, 36, and 60 months).</w:t>
      </w:r>
    </w:p>
    <w:p w:rsidR="00C548F0" w:rsidRPr="009410AA" w:rsidRDefault="00C548F0" w:rsidP="00C548F0">
      <w:pPr>
        <w:rPr>
          <w:rFonts w:ascii="Times New Roman" w:hAnsi="Times New Roman" w:cs="Times New Roman"/>
          <w:b/>
          <w:bCs/>
          <w:sz w:val="20"/>
          <w:szCs w:val="20"/>
          <w:lang w:val="en-US"/>
        </w:rPr>
      </w:pPr>
      <w:r>
        <w:rPr>
          <w:rFonts w:ascii="Times New Roman" w:hAnsi="Times New Roman" w:cs="Times New Roman"/>
          <w:sz w:val="20"/>
          <w:szCs w:val="20"/>
          <w:lang w:val="en-US"/>
        </w:rPr>
        <w:t xml:space="preserve"> </w:t>
      </w:r>
      <w:r w:rsidRPr="009410AA">
        <w:rPr>
          <w:rFonts w:ascii="Times New Roman" w:hAnsi="Times New Roman" w:cs="Times New Roman" w:hint="eastAsia"/>
          <w:b/>
          <w:bCs/>
          <w:sz w:val="20"/>
          <w:szCs w:val="20"/>
          <w:lang w:val="en-US"/>
        </w:rPr>
        <w:t xml:space="preserve">## </w:t>
      </w:r>
      <w:r w:rsidR="003904A5">
        <w:rPr>
          <w:rFonts w:ascii="Times New Roman" w:hAnsi="Times New Roman" w:cs="Times New Roman"/>
          <w:b/>
          <w:bCs/>
          <w:sz w:val="20"/>
          <w:szCs w:val="20"/>
          <w:lang w:val="en-US"/>
        </w:rPr>
        <w:t>6</w:t>
      </w:r>
      <w:r w:rsidRPr="009410AA">
        <w:rPr>
          <w:rFonts w:ascii="Times New Roman" w:hAnsi="Times New Roman" w:cs="Times New Roman" w:hint="eastAsia"/>
          <w:b/>
          <w:bCs/>
          <w:sz w:val="20"/>
          <w:szCs w:val="20"/>
          <w:lang w:val="en-US"/>
        </w:rPr>
        <w:t xml:space="preserve">. </w:t>
      </w:r>
      <w:r w:rsidRPr="009410AA">
        <w:rPr>
          <w:rFonts w:ascii="Times New Roman" w:hAnsi="Times New Roman" w:cs="Times New Roman"/>
          <w:b/>
          <w:bCs/>
          <w:sz w:val="20"/>
          <w:szCs w:val="20"/>
          <w:lang w:val="en-US"/>
        </w:rPr>
        <w:t xml:space="preserve">Model </w:t>
      </w:r>
      <w:r>
        <w:rPr>
          <w:rFonts w:ascii="Times New Roman" w:hAnsi="Times New Roman" w:cs="Times New Roman"/>
          <w:b/>
          <w:bCs/>
          <w:sz w:val="20"/>
          <w:szCs w:val="20"/>
          <w:lang w:val="en-US"/>
        </w:rPr>
        <w:t>Interpretability</w:t>
      </w:r>
    </w:p>
    <w:p w:rsidR="001E2177" w:rsidRPr="001E2177" w:rsidRDefault="001E2177" w:rsidP="001E2177">
      <w:pPr>
        <w:rPr>
          <w:rFonts w:ascii="Times New Roman" w:hAnsi="Times New Roman" w:cs="Times New Roman"/>
          <w:sz w:val="20"/>
          <w:szCs w:val="20"/>
          <w:lang w:val="en-US"/>
        </w:rPr>
      </w:pPr>
    </w:p>
    <w:p w:rsidR="001E2177" w:rsidRPr="00E4284C" w:rsidRDefault="00C548F0" w:rsidP="001E2177">
      <w:pPr>
        <w:rPr>
          <w:rFonts w:ascii="Times New Roman" w:hAnsi="Times New Roman" w:cs="Times New Roman" w:hint="eastAsia"/>
          <w:sz w:val="20"/>
          <w:szCs w:val="20"/>
          <w:lang w:val="en-US"/>
        </w:rPr>
      </w:pPr>
      <w:r>
        <w:rPr>
          <w:rFonts w:ascii="Times New Roman" w:hAnsi="Times New Roman" w:cs="Times New Roman"/>
          <w:sz w:val="20"/>
          <w:szCs w:val="20"/>
          <w:lang w:val="en-US"/>
        </w:rPr>
        <w:lastRenderedPageBreak/>
        <w:t>To interpret the model</w:t>
      </w:r>
      <w:r w:rsidR="001E2177" w:rsidRPr="001E2177">
        <w:rPr>
          <w:rFonts w:ascii="Times New Roman" w:hAnsi="Times New Roman" w:cs="Times New Roman"/>
          <w:sz w:val="20"/>
          <w:szCs w:val="20"/>
          <w:lang w:val="en-US"/>
        </w:rPr>
        <w:t>, we employed Integrated Gradients (IG) to</w:t>
      </w:r>
      <w:r w:rsidR="001E2177">
        <w:rPr>
          <w:rFonts w:ascii="Times New Roman" w:hAnsi="Times New Roman" w:cs="Times New Roman"/>
          <w:sz w:val="20"/>
          <w:szCs w:val="20"/>
          <w:lang w:val="en-US"/>
        </w:rPr>
        <w:t xml:space="preserve"> </w:t>
      </w:r>
      <w:r w:rsidR="001E2177" w:rsidRPr="001E2177">
        <w:rPr>
          <w:rFonts w:ascii="Times New Roman" w:hAnsi="Times New Roman" w:cs="Times New Roman"/>
          <w:sz w:val="20"/>
          <w:szCs w:val="20"/>
          <w:lang w:val="en-US"/>
        </w:rPr>
        <w:t>attribute prediction scores to individual medical codes in patient</w:t>
      </w:r>
      <w:r w:rsidR="001E2177">
        <w:rPr>
          <w:rFonts w:ascii="Times New Roman" w:hAnsi="Times New Roman" w:cs="Times New Roman"/>
          <w:sz w:val="20"/>
          <w:szCs w:val="20"/>
          <w:lang w:val="en-US"/>
        </w:rPr>
        <w:t xml:space="preserve"> </w:t>
      </w:r>
      <w:r w:rsidR="001E2177" w:rsidRPr="001E2177">
        <w:rPr>
          <w:rFonts w:ascii="Times New Roman" w:hAnsi="Times New Roman" w:cs="Times New Roman"/>
          <w:sz w:val="20"/>
          <w:szCs w:val="20"/>
          <w:lang w:val="en-US"/>
        </w:rPr>
        <w:t>trajectories. IG computes the integral of gradients along a straight path</w:t>
      </w:r>
      <w:r w:rsidR="001E2177">
        <w:rPr>
          <w:rFonts w:ascii="Times New Roman" w:hAnsi="Times New Roman" w:cs="Times New Roman"/>
          <w:sz w:val="20"/>
          <w:szCs w:val="20"/>
          <w:lang w:val="en-US"/>
        </w:rPr>
        <w:t xml:space="preserve"> </w:t>
      </w:r>
      <w:r w:rsidR="001E2177" w:rsidRPr="001E2177">
        <w:rPr>
          <w:rFonts w:ascii="Times New Roman" w:hAnsi="Times New Roman" w:cs="Times New Roman"/>
          <w:sz w:val="20"/>
          <w:szCs w:val="20"/>
          <w:lang w:val="en-US"/>
        </w:rPr>
        <w:t xml:space="preserve">from a baseline input to the actual input, providing </w:t>
      </w:r>
      <w:r>
        <w:rPr>
          <w:rFonts w:ascii="Times New Roman" w:hAnsi="Times New Roman" w:cs="Times New Roman"/>
          <w:sz w:val="20"/>
          <w:szCs w:val="20"/>
          <w:lang w:val="en-US"/>
        </w:rPr>
        <w:t xml:space="preserve">an </w:t>
      </w:r>
      <w:r w:rsidR="001E2177" w:rsidRPr="001E2177">
        <w:rPr>
          <w:rFonts w:ascii="Times New Roman" w:hAnsi="Times New Roman" w:cs="Times New Roman"/>
          <w:sz w:val="20"/>
          <w:szCs w:val="20"/>
          <w:lang w:val="en-US"/>
        </w:rPr>
        <w:t>attribution score that satisf</w:t>
      </w:r>
      <w:r>
        <w:rPr>
          <w:rFonts w:ascii="Times New Roman" w:hAnsi="Times New Roman" w:cs="Times New Roman"/>
          <w:sz w:val="20"/>
          <w:szCs w:val="20"/>
          <w:lang w:val="en-US"/>
        </w:rPr>
        <w:t>ies</w:t>
      </w:r>
      <w:r w:rsidR="001E2177" w:rsidRPr="001E2177">
        <w:rPr>
          <w:rFonts w:ascii="Times New Roman" w:hAnsi="Times New Roman" w:cs="Times New Roman"/>
          <w:sz w:val="20"/>
          <w:szCs w:val="20"/>
          <w:lang w:val="en-US"/>
        </w:rPr>
        <w:t xml:space="preserve"> key axioms</w:t>
      </w:r>
      <w:r>
        <w:rPr>
          <w:rFonts w:ascii="Times New Roman" w:hAnsi="Times New Roman" w:cs="Times New Roman"/>
          <w:sz w:val="20"/>
          <w:szCs w:val="20"/>
          <w:lang w:val="en-US"/>
        </w:rPr>
        <w:t>,</w:t>
      </w:r>
      <w:r w:rsidR="001E2177" w:rsidRPr="001E2177">
        <w:rPr>
          <w:rFonts w:ascii="Times New Roman" w:hAnsi="Times New Roman" w:cs="Times New Roman"/>
          <w:sz w:val="20"/>
          <w:szCs w:val="20"/>
          <w:lang w:val="en-US"/>
        </w:rPr>
        <w:t xml:space="preserve"> including sensitivity and implementation</w:t>
      </w:r>
      <w:r w:rsidR="001E2177">
        <w:rPr>
          <w:rFonts w:ascii="Times New Roman" w:hAnsi="Times New Roman" w:cs="Times New Roman"/>
          <w:sz w:val="20"/>
          <w:szCs w:val="20"/>
          <w:lang w:val="en-US"/>
        </w:rPr>
        <w:t xml:space="preserve"> </w:t>
      </w:r>
      <w:r w:rsidR="001E2177" w:rsidRPr="001E2177">
        <w:rPr>
          <w:rFonts w:ascii="Times New Roman" w:hAnsi="Times New Roman" w:cs="Times New Roman"/>
          <w:sz w:val="20"/>
          <w:szCs w:val="20"/>
          <w:lang w:val="en-US"/>
        </w:rPr>
        <w:t xml:space="preserve">invariance. </w:t>
      </w:r>
      <w:r w:rsidR="001E2177" w:rsidRPr="00C548F0">
        <w:rPr>
          <w:rFonts w:ascii="Times New Roman" w:hAnsi="Times New Roman" w:cs="Times New Roman"/>
          <w:b/>
          <w:bCs/>
          <w:color w:val="EE0000"/>
          <w:sz w:val="20"/>
          <w:szCs w:val="20"/>
          <w:lang w:val="en-US"/>
        </w:rPr>
        <w:t xml:space="preserve">For each patient, we identified the medical codes with </w:t>
      </w:r>
      <w:r>
        <w:rPr>
          <w:rFonts w:ascii="Times New Roman" w:hAnsi="Times New Roman" w:cs="Times New Roman"/>
          <w:b/>
          <w:bCs/>
          <w:color w:val="EE0000"/>
          <w:sz w:val="20"/>
          <w:szCs w:val="20"/>
          <w:lang w:val="en-US"/>
        </w:rPr>
        <w:t xml:space="preserve">the </w:t>
      </w:r>
      <w:r w:rsidR="001E2177" w:rsidRPr="00C548F0">
        <w:rPr>
          <w:rFonts w:ascii="Times New Roman" w:hAnsi="Times New Roman" w:cs="Times New Roman"/>
          <w:b/>
          <w:bCs/>
          <w:color w:val="EE0000"/>
          <w:sz w:val="20"/>
          <w:szCs w:val="20"/>
          <w:lang w:val="en-US"/>
        </w:rPr>
        <w:t>highest</w:t>
      </w:r>
      <w:r w:rsidR="001E2177" w:rsidRPr="00C548F0">
        <w:rPr>
          <w:rFonts w:ascii="Times New Roman" w:hAnsi="Times New Roman" w:cs="Times New Roman"/>
          <w:b/>
          <w:bCs/>
          <w:color w:val="EE0000"/>
          <w:sz w:val="20"/>
          <w:szCs w:val="20"/>
          <w:lang w:val="en-US"/>
        </w:rPr>
        <w:t xml:space="preserve"> </w:t>
      </w:r>
      <w:r w:rsidR="001E2177" w:rsidRPr="00C548F0">
        <w:rPr>
          <w:rFonts w:ascii="Times New Roman" w:hAnsi="Times New Roman" w:cs="Times New Roman"/>
          <w:b/>
          <w:bCs/>
          <w:color w:val="EE0000"/>
          <w:sz w:val="20"/>
          <w:szCs w:val="20"/>
          <w:lang w:val="en-US"/>
        </w:rPr>
        <w:t>attribution scores to understand which diagnoses most strongly influenced</w:t>
      </w:r>
      <w:r w:rsidR="001E2177" w:rsidRPr="00C548F0">
        <w:rPr>
          <w:rFonts w:ascii="Times New Roman" w:hAnsi="Times New Roman" w:cs="Times New Roman"/>
          <w:b/>
          <w:bCs/>
          <w:color w:val="EE0000"/>
          <w:sz w:val="20"/>
          <w:szCs w:val="20"/>
          <w:lang w:val="en-US"/>
        </w:rPr>
        <w:t xml:space="preserve"> </w:t>
      </w:r>
      <w:r w:rsidR="001E2177" w:rsidRPr="00C548F0">
        <w:rPr>
          <w:rFonts w:ascii="Times New Roman" w:hAnsi="Times New Roman" w:cs="Times New Roman"/>
          <w:b/>
          <w:bCs/>
          <w:color w:val="EE0000"/>
          <w:sz w:val="20"/>
          <w:szCs w:val="20"/>
          <w:lang w:val="en-US"/>
        </w:rPr>
        <w:t>the model's SPS risk predictions</w:t>
      </w:r>
      <w:r>
        <w:rPr>
          <w:rFonts w:ascii="Times New Roman" w:hAnsi="Times New Roman" w:cs="Times New Roman"/>
          <w:b/>
          <w:bCs/>
          <w:color w:val="EE0000"/>
          <w:sz w:val="20"/>
          <w:szCs w:val="20"/>
          <w:lang w:val="en-US"/>
        </w:rPr>
        <w:t xml:space="preserve"> (the method here not finalized)</w:t>
      </w:r>
      <w:r w:rsidR="001E2177" w:rsidRPr="00C548F0">
        <w:rPr>
          <w:rFonts w:ascii="Times New Roman" w:hAnsi="Times New Roman" w:cs="Times New Roman"/>
          <w:b/>
          <w:bCs/>
          <w:color w:val="EE0000"/>
          <w:sz w:val="20"/>
          <w:szCs w:val="20"/>
          <w:lang w:val="en-US"/>
        </w:rPr>
        <w:t>.</w:t>
      </w:r>
      <w:r w:rsidR="001E2177" w:rsidRPr="00C548F0">
        <w:rPr>
          <w:rFonts w:ascii="Times New Roman" w:hAnsi="Times New Roman" w:cs="Times New Roman"/>
          <w:color w:val="EE0000"/>
          <w:sz w:val="20"/>
          <w:szCs w:val="20"/>
          <w:lang w:val="en-US"/>
        </w:rPr>
        <w:t xml:space="preserve"> </w:t>
      </w:r>
      <w:r w:rsidR="001E2177" w:rsidRPr="001E2177">
        <w:rPr>
          <w:rFonts w:ascii="Times New Roman" w:hAnsi="Times New Roman" w:cs="Times New Roman"/>
          <w:sz w:val="20"/>
          <w:szCs w:val="20"/>
          <w:lang w:val="en-US"/>
        </w:rPr>
        <w:t>This analysis revealed clinical</w:t>
      </w:r>
      <w:r w:rsidR="001E2177">
        <w:rPr>
          <w:rFonts w:ascii="Times New Roman" w:hAnsi="Times New Roman" w:cs="Times New Roman"/>
          <w:sz w:val="20"/>
          <w:szCs w:val="20"/>
          <w:lang w:val="en-US"/>
        </w:rPr>
        <w:t>ly</w:t>
      </w:r>
      <w:r w:rsidR="001E2177" w:rsidRPr="001E2177">
        <w:rPr>
          <w:rFonts w:ascii="Times New Roman" w:hAnsi="Times New Roman" w:cs="Times New Roman"/>
          <w:sz w:val="20"/>
          <w:szCs w:val="20"/>
          <w:lang w:val="en-US"/>
        </w:rPr>
        <w:t xml:space="preserve"> meaningful patterns, with neurological and autoimmune conditions showin</w:t>
      </w:r>
      <w:r w:rsidR="001E2177">
        <w:rPr>
          <w:rFonts w:ascii="Times New Roman" w:hAnsi="Times New Roman" w:cs="Times New Roman"/>
          <w:sz w:val="20"/>
          <w:szCs w:val="20"/>
          <w:lang w:val="en-US"/>
        </w:rPr>
        <w:t xml:space="preserve">g </w:t>
      </w:r>
      <w:r w:rsidR="001E2177" w:rsidRPr="001E2177">
        <w:rPr>
          <w:rFonts w:ascii="Times New Roman" w:hAnsi="Times New Roman" w:cs="Times New Roman"/>
          <w:sz w:val="20"/>
          <w:szCs w:val="20"/>
          <w:lang w:val="en-US"/>
        </w:rPr>
        <w:t>consistently high importance scores across positive predictions.</w:t>
      </w:r>
    </w:p>
    <w:p w:rsidR="003656E5" w:rsidRDefault="003656E5" w:rsidP="00F17C41">
      <w:pPr>
        <w:rPr>
          <w:lang w:val="en-US"/>
        </w:rPr>
      </w:pPr>
    </w:p>
    <w:p w:rsidR="00207B90" w:rsidRPr="00207B90" w:rsidRDefault="00207B90" w:rsidP="00F17C41">
      <w:pPr>
        <w:rPr>
          <w:rFonts w:ascii="Times New Roman" w:hAnsi="Times New Roman" w:cs="Times New Roman"/>
          <w:b/>
          <w:bCs/>
          <w:sz w:val="20"/>
          <w:szCs w:val="20"/>
          <w:lang w:val="en-US"/>
        </w:rPr>
      </w:pPr>
      <w:r w:rsidRPr="00207B90">
        <w:rPr>
          <w:rFonts w:ascii="Times New Roman" w:hAnsi="Times New Roman" w:cs="Times New Roman"/>
          <w:b/>
          <w:bCs/>
          <w:sz w:val="20"/>
          <w:szCs w:val="20"/>
          <w:lang w:val="en-US"/>
        </w:rPr>
        <w:t>References:</w:t>
      </w:r>
    </w:p>
    <w:p w:rsidR="00207B90" w:rsidRPr="00207B90" w:rsidRDefault="00207B90" w:rsidP="00207B90">
      <w:pPr>
        <w:pStyle w:val="Bibliography"/>
        <w:rPr>
          <w:rFonts w:ascii="Times New Roman" w:hAnsi="Times New Roman" w:cs="Times New Roman"/>
          <w:sz w:val="20"/>
          <w:szCs w:val="20"/>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207B90">
        <w:rPr>
          <w:rFonts w:ascii="Times New Roman" w:hAnsi="Times New Roman" w:cs="Times New Roman"/>
          <w:sz w:val="20"/>
          <w:szCs w:val="20"/>
          <w:lang w:val="en-US"/>
        </w:rPr>
        <w:t>1.</w:t>
      </w:r>
      <w:r w:rsidRPr="00207B90">
        <w:rPr>
          <w:rFonts w:ascii="Times New Roman" w:hAnsi="Times New Roman" w:cs="Times New Roman"/>
          <w:sz w:val="20"/>
          <w:szCs w:val="20"/>
          <w:lang w:val="en-US"/>
        </w:rPr>
        <w:tab/>
        <w:t xml:space="preserve">Vaswani, A. </w:t>
      </w:r>
      <w:r w:rsidRPr="00207B90">
        <w:rPr>
          <w:rFonts w:ascii="Times New Roman" w:hAnsi="Times New Roman" w:cs="Times New Roman"/>
          <w:i/>
          <w:iCs/>
          <w:sz w:val="20"/>
          <w:szCs w:val="20"/>
          <w:lang w:val="en-US"/>
        </w:rPr>
        <w:t>et al.</w:t>
      </w:r>
      <w:r w:rsidRPr="00207B90">
        <w:rPr>
          <w:rFonts w:ascii="Times New Roman" w:hAnsi="Times New Roman" w:cs="Times New Roman"/>
          <w:sz w:val="20"/>
          <w:szCs w:val="20"/>
          <w:lang w:val="en-US"/>
        </w:rPr>
        <w:t xml:space="preserve"> Attention is All you Need. in </w:t>
      </w:r>
      <w:r w:rsidRPr="00207B90">
        <w:rPr>
          <w:rFonts w:ascii="Times New Roman" w:hAnsi="Times New Roman" w:cs="Times New Roman"/>
          <w:i/>
          <w:iCs/>
          <w:sz w:val="20"/>
          <w:szCs w:val="20"/>
          <w:lang w:val="en-US"/>
        </w:rPr>
        <w:t>Advances in Neural Information Processing Systems</w:t>
      </w:r>
      <w:r w:rsidRPr="00207B90">
        <w:rPr>
          <w:rFonts w:ascii="Times New Roman" w:hAnsi="Times New Roman" w:cs="Times New Roman"/>
          <w:sz w:val="20"/>
          <w:szCs w:val="20"/>
          <w:lang w:val="en-US"/>
        </w:rPr>
        <w:t xml:space="preserve"> vol. 30 (Curran Associates, Inc., 2017).</w:t>
      </w:r>
    </w:p>
    <w:p w:rsidR="00207B90" w:rsidRPr="00207B90" w:rsidRDefault="00207B90" w:rsidP="00207B90">
      <w:pPr>
        <w:pStyle w:val="Bibliography"/>
        <w:rPr>
          <w:rFonts w:ascii="Times New Roman" w:hAnsi="Times New Roman" w:cs="Times New Roman"/>
          <w:sz w:val="20"/>
          <w:szCs w:val="20"/>
          <w:lang w:val="en-US"/>
        </w:rPr>
      </w:pPr>
      <w:r w:rsidRPr="00207B90">
        <w:rPr>
          <w:rFonts w:ascii="Times New Roman" w:hAnsi="Times New Roman" w:cs="Times New Roman"/>
          <w:sz w:val="20"/>
          <w:szCs w:val="20"/>
          <w:lang w:val="en-US"/>
        </w:rPr>
        <w:t>2.</w:t>
      </w:r>
      <w:r w:rsidRPr="00207B90">
        <w:rPr>
          <w:rFonts w:ascii="Times New Roman" w:hAnsi="Times New Roman" w:cs="Times New Roman"/>
          <w:sz w:val="20"/>
          <w:szCs w:val="20"/>
          <w:lang w:val="en-US"/>
        </w:rPr>
        <w:tab/>
        <w:t xml:space="preserve">Placido, D. </w:t>
      </w:r>
      <w:r w:rsidRPr="00207B90">
        <w:rPr>
          <w:rFonts w:ascii="Times New Roman" w:hAnsi="Times New Roman" w:cs="Times New Roman"/>
          <w:i/>
          <w:iCs/>
          <w:sz w:val="20"/>
          <w:szCs w:val="20"/>
          <w:lang w:val="en-US"/>
        </w:rPr>
        <w:t>et al.</w:t>
      </w:r>
      <w:r w:rsidRPr="00207B90">
        <w:rPr>
          <w:rFonts w:ascii="Times New Roman" w:hAnsi="Times New Roman" w:cs="Times New Roman"/>
          <w:sz w:val="20"/>
          <w:szCs w:val="20"/>
          <w:lang w:val="en-US"/>
        </w:rPr>
        <w:t xml:space="preserve"> A deep learning algorithm to predict risk of pancreatic cancer from disease trajectories. </w:t>
      </w:r>
      <w:r w:rsidRPr="00207B90">
        <w:rPr>
          <w:rFonts w:ascii="Times New Roman" w:hAnsi="Times New Roman" w:cs="Times New Roman"/>
          <w:i/>
          <w:iCs/>
          <w:sz w:val="20"/>
          <w:szCs w:val="20"/>
          <w:lang w:val="en-US"/>
        </w:rPr>
        <w:t>Nat. Med.</w:t>
      </w:r>
      <w:r w:rsidRPr="00207B90">
        <w:rPr>
          <w:rFonts w:ascii="Times New Roman" w:hAnsi="Times New Roman" w:cs="Times New Roman"/>
          <w:sz w:val="20"/>
          <w:szCs w:val="20"/>
          <w:lang w:val="en-US"/>
        </w:rPr>
        <w:t xml:space="preserve"> </w:t>
      </w:r>
      <w:r w:rsidRPr="00207B90">
        <w:rPr>
          <w:rFonts w:ascii="Times New Roman" w:hAnsi="Times New Roman" w:cs="Times New Roman"/>
          <w:b/>
          <w:bCs/>
          <w:sz w:val="20"/>
          <w:szCs w:val="20"/>
          <w:lang w:val="en-US"/>
        </w:rPr>
        <w:t>29</w:t>
      </w:r>
      <w:r w:rsidRPr="00207B90">
        <w:rPr>
          <w:rFonts w:ascii="Times New Roman" w:hAnsi="Times New Roman" w:cs="Times New Roman"/>
          <w:sz w:val="20"/>
          <w:szCs w:val="20"/>
          <w:lang w:val="en-US"/>
        </w:rPr>
        <w:t>, 1113–1122 (2023).</w:t>
      </w:r>
    </w:p>
    <w:p w:rsidR="00207B90" w:rsidRPr="00207B90" w:rsidRDefault="00207B90" w:rsidP="00207B90">
      <w:pPr>
        <w:pStyle w:val="Bibliography"/>
        <w:rPr>
          <w:rFonts w:ascii="Times New Roman" w:hAnsi="Times New Roman" w:cs="Times New Roman"/>
          <w:sz w:val="20"/>
          <w:szCs w:val="20"/>
          <w:lang w:val="en-US"/>
        </w:rPr>
      </w:pPr>
      <w:r w:rsidRPr="00207B90">
        <w:rPr>
          <w:rFonts w:ascii="Times New Roman" w:hAnsi="Times New Roman" w:cs="Times New Roman"/>
          <w:sz w:val="20"/>
          <w:szCs w:val="20"/>
          <w:lang w:val="en-US"/>
        </w:rPr>
        <w:t>3.</w:t>
      </w:r>
      <w:r w:rsidRPr="00207B90">
        <w:rPr>
          <w:rFonts w:ascii="Times New Roman" w:hAnsi="Times New Roman" w:cs="Times New Roman"/>
          <w:sz w:val="20"/>
          <w:szCs w:val="20"/>
          <w:lang w:val="en-US"/>
        </w:rPr>
        <w:tab/>
      </w:r>
      <w:proofErr w:type="spellStart"/>
      <w:r w:rsidRPr="00207B90">
        <w:rPr>
          <w:rFonts w:ascii="Times New Roman" w:hAnsi="Times New Roman" w:cs="Times New Roman"/>
          <w:sz w:val="20"/>
          <w:szCs w:val="20"/>
          <w:lang w:val="en-US"/>
        </w:rPr>
        <w:t>Alsentzer</w:t>
      </w:r>
      <w:proofErr w:type="spellEnd"/>
      <w:r w:rsidRPr="00207B90">
        <w:rPr>
          <w:rFonts w:ascii="Times New Roman" w:hAnsi="Times New Roman" w:cs="Times New Roman"/>
          <w:sz w:val="20"/>
          <w:szCs w:val="20"/>
          <w:lang w:val="en-US"/>
        </w:rPr>
        <w:t xml:space="preserve">, E. </w:t>
      </w:r>
      <w:r w:rsidRPr="00207B90">
        <w:rPr>
          <w:rFonts w:ascii="Times New Roman" w:hAnsi="Times New Roman" w:cs="Times New Roman"/>
          <w:i/>
          <w:iCs/>
          <w:sz w:val="20"/>
          <w:szCs w:val="20"/>
          <w:lang w:val="en-US"/>
        </w:rPr>
        <w:t>et al.</w:t>
      </w:r>
      <w:r w:rsidRPr="00207B90">
        <w:rPr>
          <w:rFonts w:ascii="Times New Roman" w:hAnsi="Times New Roman" w:cs="Times New Roman"/>
          <w:sz w:val="20"/>
          <w:szCs w:val="20"/>
          <w:lang w:val="en-US"/>
        </w:rPr>
        <w:t xml:space="preserve"> Few shot learning for phenotype-driven diagnosis of patients with rare genetic diseases. 2022.12.07.22283238 Preprint at https://doi.org/10.1101/2022.12.07.22283238 (2024).</w:t>
      </w:r>
    </w:p>
    <w:p w:rsidR="00207B90" w:rsidRPr="00207B90" w:rsidRDefault="00207B90" w:rsidP="00207B90">
      <w:pPr>
        <w:pStyle w:val="Bibliography"/>
        <w:rPr>
          <w:rFonts w:ascii="Times New Roman" w:hAnsi="Times New Roman" w:cs="Times New Roman"/>
          <w:sz w:val="20"/>
          <w:szCs w:val="20"/>
          <w:lang w:val="en-US"/>
        </w:rPr>
      </w:pPr>
      <w:r w:rsidRPr="00207B90">
        <w:rPr>
          <w:rFonts w:ascii="Times New Roman" w:hAnsi="Times New Roman" w:cs="Times New Roman"/>
          <w:sz w:val="20"/>
          <w:szCs w:val="20"/>
          <w:lang w:val="en-US"/>
        </w:rPr>
        <w:t>4.</w:t>
      </w:r>
      <w:r w:rsidRPr="00207B90">
        <w:rPr>
          <w:rFonts w:ascii="Times New Roman" w:hAnsi="Times New Roman" w:cs="Times New Roman"/>
          <w:sz w:val="20"/>
          <w:szCs w:val="20"/>
          <w:lang w:val="en-US"/>
        </w:rPr>
        <w:tab/>
        <w:t xml:space="preserve">Lin, T.-Y., Goyal, P., </w:t>
      </w:r>
      <w:proofErr w:type="spellStart"/>
      <w:r w:rsidRPr="00207B90">
        <w:rPr>
          <w:rFonts w:ascii="Times New Roman" w:hAnsi="Times New Roman" w:cs="Times New Roman"/>
          <w:sz w:val="20"/>
          <w:szCs w:val="20"/>
          <w:lang w:val="en-US"/>
        </w:rPr>
        <w:t>Girshick</w:t>
      </w:r>
      <w:proofErr w:type="spellEnd"/>
      <w:r w:rsidRPr="00207B90">
        <w:rPr>
          <w:rFonts w:ascii="Times New Roman" w:hAnsi="Times New Roman" w:cs="Times New Roman"/>
          <w:sz w:val="20"/>
          <w:szCs w:val="20"/>
          <w:lang w:val="en-US"/>
        </w:rPr>
        <w:t xml:space="preserve">, R., He, K. &amp; Dollar, P. Focal Loss for Dense Object Detection. </w:t>
      </w:r>
      <w:r w:rsidRPr="00207B90">
        <w:rPr>
          <w:rFonts w:ascii="Times New Roman" w:hAnsi="Times New Roman" w:cs="Times New Roman"/>
          <w:i/>
          <w:iCs/>
          <w:sz w:val="20"/>
          <w:szCs w:val="20"/>
          <w:lang w:val="en-US"/>
        </w:rPr>
        <w:t xml:space="preserve">IEEE Trans. Pattern Anal. Mach. </w:t>
      </w:r>
      <w:proofErr w:type="spellStart"/>
      <w:r w:rsidRPr="00207B90">
        <w:rPr>
          <w:rFonts w:ascii="Times New Roman" w:hAnsi="Times New Roman" w:cs="Times New Roman"/>
          <w:i/>
          <w:iCs/>
          <w:sz w:val="20"/>
          <w:szCs w:val="20"/>
          <w:lang w:val="en-US"/>
        </w:rPr>
        <w:t>Intell</w:t>
      </w:r>
      <w:proofErr w:type="spellEnd"/>
      <w:r w:rsidRPr="00207B90">
        <w:rPr>
          <w:rFonts w:ascii="Times New Roman" w:hAnsi="Times New Roman" w:cs="Times New Roman"/>
          <w:i/>
          <w:iCs/>
          <w:sz w:val="20"/>
          <w:szCs w:val="20"/>
          <w:lang w:val="en-US"/>
        </w:rPr>
        <w:t>.</w:t>
      </w:r>
      <w:r w:rsidRPr="00207B90">
        <w:rPr>
          <w:rFonts w:ascii="Times New Roman" w:hAnsi="Times New Roman" w:cs="Times New Roman"/>
          <w:sz w:val="20"/>
          <w:szCs w:val="20"/>
          <w:lang w:val="en-US"/>
        </w:rPr>
        <w:t xml:space="preserve"> </w:t>
      </w:r>
      <w:r w:rsidRPr="00207B90">
        <w:rPr>
          <w:rFonts w:ascii="Times New Roman" w:hAnsi="Times New Roman" w:cs="Times New Roman"/>
          <w:b/>
          <w:bCs/>
          <w:sz w:val="20"/>
          <w:szCs w:val="20"/>
          <w:lang w:val="en-US"/>
        </w:rPr>
        <w:t>42</w:t>
      </w:r>
      <w:r w:rsidRPr="00207B90">
        <w:rPr>
          <w:rFonts w:ascii="Times New Roman" w:hAnsi="Times New Roman" w:cs="Times New Roman"/>
          <w:sz w:val="20"/>
          <w:szCs w:val="20"/>
          <w:lang w:val="en-US"/>
        </w:rPr>
        <w:t>, 318–327 (2020).</w:t>
      </w:r>
    </w:p>
    <w:p w:rsidR="00207B90" w:rsidRPr="00F17C41" w:rsidRDefault="00207B90" w:rsidP="00F17C41">
      <w:pPr>
        <w:rPr>
          <w:rFonts w:hint="eastAsia"/>
          <w:lang w:val="en-US"/>
        </w:rPr>
      </w:pPr>
      <w:r>
        <w:rPr>
          <w:lang w:val="en-US"/>
        </w:rPr>
        <w:fldChar w:fldCharType="end"/>
      </w:r>
    </w:p>
    <w:p w:rsidR="007D7AC2" w:rsidRPr="00F17C41" w:rsidRDefault="007D7AC2" w:rsidP="00F17C41">
      <w:pPr>
        <w:rPr>
          <w:rFonts w:hint="eastAsia"/>
          <w:lang w:val="en-US"/>
        </w:rPr>
      </w:pPr>
    </w:p>
    <w:sectPr w:rsidR="007D7AC2" w:rsidRPr="00F17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16D"/>
    <w:multiLevelType w:val="hybridMultilevel"/>
    <w:tmpl w:val="19DC7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49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CC"/>
    <w:rsid w:val="00160E3F"/>
    <w:rsid w:val="001E2177"/>
    <w:rsid w:val="00207B90"/>
    <w:rsid w:val="00222D26"/>
    <w:rsid w:val="003656E5"/>
    <w:rsid w:val="003904A5"/>
    <w:rsid w:val="00407F63"/>
    <w:rsid w:val="00632552"/>
    <w:rsid w:val="007D7AC2"/>
    <w:rsid w:val="007E2490"/>
    <w:rsid w:val="008001AC"/>
    <w:rsid w:val="008C1EE1"/>
    <w:rsid w:val="008F0FEF"/>
    <w:rsid w:val="009410AA"/>
    <w:rsid w:val="009B7D0C"/>
    <w:rsid w:val="00A8146E"/>
    <w:rsid w:val="00B60CD8"/>
    <w:rsid w:val="00C11F1F"/>
    <w:rsid w:val="00C548F0"/>
    <w:rsid w:val="00E21B85"/>
    <w:rsid w:val="00E274CC"/>
    <w:rsid w:val="00E4284C"/>
    <w:rsid w:val="00F17C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328D2"/>
  <w15:chartTrackingRefBased/>
  <w15:docId w15:val="{75CB7FE1-48E1-FF47-934B-18D2C0FF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7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7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4CC"/>
    <w:rPr>
      <w:rFonts w:eastAsiaTheme="majorEastAsia" w:cstheme="majorBidi"/>
      <w:color w:val="272727" w:themeColor="text1" w:themeTint="D8"/>
    </w:rPr>
  </w:style>
  <w:style w:type="paragraph" w:styleId="Title">
    <w:name w:val="Title"/>
    <w:basedOn w:val="Normal"/>
    <w:next w:val="Normal"/>
    <w:link w:val="TitleChar"/>
    <w:uiPriority w:val="10"/>
    <w:qFormat/>
    <w:rsid w:val="00E27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4CC"/>
    <w:pPr>
      <w:spacing w:before="160"/>
      <w:jc w:val="center"/>
    </w:pPr>
    <w:rPr>
      <w:i/>
      <w:iCs/>
      <w:color w:val="404040" w:themeColor="text1" w:themeTint="BF"/>
    </w:rPr>
  </w:style>
  <w:style w:type="character" w:customStyle="1" w:styleId="QuoteChar">
    <w:name w:val="Quote Char"/>
    <w:basedOn w:val="DefaultParagraphFont"/>
    <w:link w:val="Quote"/>
    <w:uiPriority w:val="29"/>
    <w:rsid w:val="00E274CC"/>
    <w:rPr>
      <w:i/>
      <w:iCs/>
      <w:color w:val="404040" w:themeColor="text1" w:themeTint="BF"/>
    </w:rPr>
  </w:style>
  <w:style w:type="paragraph" w:styleId="ListParagraph">
    <w:name w:val="List Paragraph"/>
    <w:basedOn w:val="Normal"/>
    <w:uiPriority w:val="34"/>
    <w:qFormat/>
    <w:rsid w:val="00E274CC"/>
    <w:pPr>
      <w:ind w:left="720"/>
      <w:contextualSpacing/>
    </w:pPr>
  </w:style>
  <w:style w:type="character" w:styleId="IntenseEmphasis">
    <w:name w:val="Intense Emphasis"/>
    <w:basedOn w:val="DefaultParagraphFont"/>
    <w:uiPriority w:val="21"/>
    <w:qFormat/>
    <w:rsid w:val="00E274CC"/>
    <w:rPr>
      <w:i/>
      <w:iCs/>
      <w:color w:val="0F4761" w:themeColor="accent1" w:themeShade="BF"/>
    </w:rPr>
  </w:style>
  <w:style w:type="paragraph" w:styleId="IntenseQuote">
    <w:name w:val="Intense Quote"/>
    <w:basedOn w:val="Normal"/>
    <w:next w:val="Normal"/>
    <w:link w:val="IntenseQuoteChar"/>
    <w:uiPriority w:val="30"/>
    <w:qFormat/>
    <w:rsid w:val="00E27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4CC"/>
    <w:rPr>
      <w:i/>
      <w:iCs/>
      <w:color w:val="0F4761" w:themeColor="accent1" w:themeShade="BF"/>
    </w:rPr>
  </w:style>
  <w:style w:type="character" w:styleId="IntenseReference">
    <w:name w:val="Intense Reference"/>
    <w:basedOn w:val="DefaultParagraphFont"/>
    <w:uiPriority w:val="32"/>
    <w:qFormat/>
    <w:rsid w:val="00E274CC"/>
    <w:rPr>
      <w:b/>
      <w:bCs/>
      <w:smallCaps/>
      <w:color w:val="0F4761" w:themeColor="accent1" w:themeShade="BF"/>
      <w:spacing w:val="5"/>
    </w:rPr>
  </w:style>
  <w:style w:type="character" w:customStyle="1" w:styleId="mi">
    <w:name w:val="mi"/>
    <w:basedOn w:val="DefaultParagraphFont"/>
    <w:rsid w:val="003656E5"/>
  </w:style>
  <w:style w:type="character" w:customStyle="1" w:styleId="mo">
    <w:name w:val="mo"/>
    <w:basedOn w:val="DefaultParagraphFont"/>
    <w:rsid w:val="003656E5"/>
  </w:style>
  <w:style w:type="character" w:customStyle="1" w:styleId="mn">
    <w:name w:val="mn"/>
    <w:basedOn w:val="DefaultParagraphFont"/>
    <w:rsid w:val="003656E5"/>
  </w:style>
  <w:style w:type="paragraph" w:styleId="Bibliography">
    <w:name w:val="Bibliography"/>
    <w:basedOn w:val="Normal"/>
    <w:next w:val="Normal"/>
    <w:uiPriority w:val="37"/>
    <w:unhideWhenUsed/>
    <w:rsid w:val="00207B90"/>
    <w:pPr>
      <w:tabs>
        <w:tab w:val="left" w:pos="260"/>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Yiran</dc:creator>
  <cp:keywords/>
  <dc:description/>
  <cp:lastModifiedBy>Xu, Yiran</cp:lastModifiedBy>
  <cp:revision>5</cp:revision>
  <dcterms:created xsi:type="dcterms:W3CDTF">2025-08-28T23:28:00Z</dcterms:created>
  <dcterms:modified xsi:type="dcterms:W3CDTF">2025-09-05T17:30:00Z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id="Iz2IXwcE"/&gt;&lt;style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