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Acme Corp — Finance Policies &amp; Expense Guidelines</w:t>
      </w:r>
    </w:p>
    <w:p>
      <w:r>
        <w:t>Fiscal Year 2025 | Approved by CFO</w:t>
      </w:r>
    </w:p>
    <w:p>
      <w:pPr>
        <w:pStyle w:val="Heading1"/>
      </w:pPr>
      <w:r>
        <w:t>1. Expense Reimbursement Policy</w:t>
      </w:r>
    </w:p>
    <w:p>
      <w:r>
        <w:t>Employees are reimbursed for reasonable, business-related expenses with manager approval. All expenses must be submitted within 30 days of incurrence via the Expense Portal. Receipts are required for all expenses over $25. Reimbursements are processed within 10 business days.</w:t>
        <w:br/>
        <w:br/>
        <w:t>Per diem rates (domestic):</w:t>
        <w:br/>
        <w:t xml:space="preserve">  • Meals: up to $75/day ($25 breakfast, $20 lunch, $30 dinner)</w:t>
        <w:br/>
        <w:t xml:space="preserve">  • Incidentals: up to $20/day</w:t>
        <w:br/>
        <w:t xml:space="preserve">  • Hotel: up to $250/night in major cities; $175/night elsewhere</w:t>
        <w:br/>
        <w:t xml:space="preserve">  • Mileage: $0.67/mile (IRS standard rate for 2025)</w:t>
      </w:r>
    </w:p>
    <w:p>
      <w:pPr>
        <w:pStyle w:val="Heading1"/>
      </w:pPr>
      <w:r>
        <w:t>2. Travel Policy</w:t>
      </w:r>
    </w:p>
    <w:p>
      <w:r>
        <w:t>Air Travel: Book economy class for flights under 6 hours. Business class permitted for flights over 6 hours with VP approval. Book at least 14 days in advance to minimize costs. Use the corporate travel portal (Concur) for all bookings.</w:t>
        <w:br/>
        <w:br/>
        <w:t>Ground Transport: Use company-approved ride-share apps or rental cars for business travel. Personal vehicle use is reimbursed at the IRS mileage rate. Luxury vehicles are not reimbursable.</w:t>
        <w:br/>
        <w:br/>
        <w:t>International Travel: Requires Director-level approval 2 weeks in advance. Travel insurance is provided automatically for all international trips booked via Concur.</w:t>
      </w:r>
    </w:p>
    <w:p>
      <w:pPr>
        <w:pStyle w:val="Heading1"/>
      </w:pPr>
      <w:r>
        <w:t>3. Budget Management</w:t>
      </w:r>
    </w:p>
    <w:p>
      <w:r>
        <w:t>Annual budgets are set in Q4 for the following fiscal year. Department heads submit budget requests by October 31. Finance reviews and finalizes budgets by November 30. Budget variances over 10% require Finance notification. Variances over 20% require CFO approval.</w:t>
        <w:br/>
        <w:br/>
        <w:t>Mid-year budget amendments require VP and Finance approval. Emergency budget requests (unplanned critical spending) are processed within 48 hours with C-suite sign-off.</w:t>
      </w:r>
    </w:p>
    <w:p>
      <w:pPr>
        <w:pStyle w:val="Heading1"/>
      </w:pPr>
      <w:r>
        <w:t>4. Procurement &amp; Vendor Payments</w:t>
      </w:r>
    </w:p>
    <w:p>
      <w:r>
        <w:t>All vendor payments are processed on Net-30 terms unless otherwise negotiated. Purchase orders (POs) are required for all purchases over $500. Three competitive quotes are required for purchases over $5,000. Sole-source justification must be documented for purchases over $10,000 without competitive bids.</w:t>
        <w:br/>
        <w:br/>
        <w:t>Payment approval thresholds:</w:t>
        <w:br/>
        <w:t xml:space="preserve">  • Up to $5,000: Manager approval</w:t>
        <w:br/>
        <w:t xml:space="preserve">  • $5,000–$25,000: Director approval</w:t>
        <w:br/>
        <w:t xml:space="preserve">  • $25,000–$100,000: VP + Finance approval</w:t>
        <w:br/>
        <w:t xml:space="preserve">  • Over $100,000: CFO approval</w:t>
      </w:r>
    </w:p>
    <w:p>
      <w:pPr>
        <w:pStyle w:val="Heading1"/>
      </w:pPr>
      <w:r>
        <w:t>5. Financial Reporting &amp; Audit</w:t>
      </w:r>
    </w:p>
    <w:p>
      <w:r>
        <w:t>Monthly financial reports are prepared by the Finance team and distributed to department heads by the 10th of the following month. Quarterly reports are reviewed by the Board of Directors. Annual audits are conducted by an independent external auditor (currently Deloitte).</w:t>
        <w:br/>
        <w:br/>
        <w:t>Employees must cooperate fully with internal and external audits. Falsifying financial records is grounds for immediate termination and criminal referral. Concerns about financial irregularities should be reported to the CFO or Ethics Hotline.</w:t>
      </w:r>
    </w:p>
    <w:p>
      <w:pPr>
        <w:pStyle w:val="Heading1"/>
      </w:pPr>
      <w:r>
        <w:t>6. Corporate Credit Cards</w:t>
      </w:r>
    </w:p>
    <w:p>
      <w:r>
        <w:t>Corporate credit cards are issued to employees with regular business travel or spending needs upon manager request. Monthly credit limits: $2,000 (individual contributors), $5,000 (managers), $15,000 (directors and above). Cards must not be used for personal expenses. Monthly statements must be reconciled and submitted by the 5th of the following month. Lost or stolen cards must be reported to Finance and the card issuer within 2 hours.</w:t>
      </w:r>
    </w:p>
    <w:p>
      <w:pPr>
        <w:pStyle w:val="Heading1"/>
      </w:pPr>
      <w:r>
        <w:t>7. FY2025 Budget Summary</w:t>
      </w:r>
    </w:p>
    <w:p>
      <w:r>
        <w:t>Total approved operating budget: $48.2M</w:t>
        <w:br/>
        <w:t xml:space="preserve">  • Engineering &amp; Product: $18.5M (38%)</w:t>
        <w:br/>
        <w:t xml:space="preserve">  • Sales &amp; Marketing: $12.1M (25%)</w:t>
        <w:br/>
        <w:t xml:space="preserve">  • General &amp; Administrative: $8.7M (18%)</w:t>
        <w:br/>
        <w:t xml:space="preserve">  • Customer Success: $5.4M (11%)</w:t>
        <w:br/>
        <w:t xml:space="preserve">  • Research &amp; Innovation: $3.5M (7%)</w:t>
        <w:br/>
        <w:br/>
        <w:t>Capital expenditure budget: $6.8M (primarily data center infrastructure and office expansion)</w:t>
        <w:br/>
        <w:t>Target gross margin: 72% | Target EBITDA margin: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