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numPr>
          <w:ilvl w:val="0"/>
          <w:numId w:val="1"/>
        </w:numPr>
      </w:pPr>
      <w:bookmarkStart w:name="8059-1507642041662" w:id="1"/>
      <w:bookmarkEnd w:id="1"/>
      <w:r>
        <w:rPr/>
        <w:t>LUR</w:t>
      </w:r>
    </w:p>
    <w:p>
      <w:pPr/>
      <w:bookmarkStart w:name="2175-1507642077796" w:id="2"/>
      <w:bookmarkEnd w:id="2"/>
      <w:r>
        <w:drawing>
          <wp:inline distT="0" distR="0" distB="0" distL="0">
            <wp:extent cx="5267325" cy="1886869"/>
            <wp:docPr id="0" name="Drawing 0" descr="H`H{E`AWS1Q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`H{E`AWS1QR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bookmarkStart w:name="2985-1507642058446" w:id="3"/>
      <w:bookmarkEnd w:id="3"/>
      <w:r>
        <w:rPr/>
        <w:t>存储器的结构</w:t>
      </w:r>
    </w:p>
    <w:p>
      <w:pPr>
        <w:numPr>
          <w:ilvl w:val="0"/>
          <w:numId w:val="2"/>
        </w:numPr>
        <w:ind w:left="420" w:firstLine="420"/>
      </w:pPr>
      <w:bookmarkStart w:name="3046-1507648426176" w:id="4"/>
      <w:bookmarkEnd w:id="4"/>
      <w:r>
        <w:rPr/>
        <w:t>寄存器</w:t>
      </w:r>
    </w:p>
    <w:p>
      <w:pPr>
        <w:numPr>
          <w:ilvl w:val="0"/>
          <w:numId w:val="2"/>
        </w:numPr>
        <w:ind w:left="420" w:firstLine="420"/>
      </w:pPr>
      <w:bookmarkStart w:name="5669-1507648436968" w:id="5"/>
      <w:bookmarkEnd w:id="5"/>
      <w:r>
        <w:rPr>
          <w:color w:val="df402a"/>
        </w:rPr>
        <w:t>高速缓存</w:t>
      </w:r>
    </w:p>
    <w:p>
      <w:pPr>
        <w:numPr>
          <w:ilvl w:val="0"/>
          <w:numId w:val="2"/>
        </w:numPr>
        <w:ind w:left="420" w:firstLine="420"/>
      </w:pPr>
      <w:bookmarkStart w:name="2044-1507648443335" w:id="6"/>
      <w:bookmarkEnd w:id="6"/>
      <w:r>
        <w:rPr/>
        <w:t>主存（内存）</w:t>
      </w:r>
    </w:p>
    <w:p>
      <w:pPr>
        <w:numPr>
          <w:ilvl w:val="0"/>
          <w:numId w:val="2"/>
        </w:numPr>
        <w:ind w:left="420" w:firstLine="420"/>
      </w:pPr>
      <w:bookmarkStart w:name="8594-1507648466999" w:id="7"/>
      <w:bookmarkEnd w:id="7"/>
      <w:r>
        <w:rPr>
          <w:color w:val="df402a"/>
        </w:rPr>
        <w:t>磁盘缓存</w:t>
      </w:r>
    </w:p>
    <w:p>
      <w:pPr>
        <w:numPr>
          <w:ilvl w:val="0"/>
          <w:numId w:val="2"/>
        </w:numPr>
        <w:ind w:left="420" w:firstLine="420"/>
      </w:pPr>
      <w:bookmarkStart w:name="4060-1507648472368" w:id="8"/>
      <w:bookmarkEnd w:id="8"/>
      <w:r>
        <w:rPr/>
        <w:t>磁盘</w:t>
      </w:r>
    </w:p>
    <w:p>
      <w:pPr>
        <w:numPr>
          <w:ilvl w:val="0"/>
          <w:numId w:val="1"/>
        </w:numPr>
      </w:pPr>
      <w:bookmarkStart w:name="3026-1507648422224" w:id="9"/>
      <w:bookmarkEnd w:id="9"/>
      <w:r>
        <w:rPr/>
        <w:t>程序运行的三个步骤</w:t>
      </w:r>
    </w:p>
    <w:p>
      <w:pPr>
        <w:numPr>
          <w:ilvl w:val="0"/>
          <w:numId w:val="3"/>
        </w:numPr>
        <w:ind w:left="420"/>
      </w:pPr>
      <w:bookmarkStart w:name="4449-1507648515911" w:id="10"/>
      <w:bookmarkEnd w:id="10"/>
      <w:r>
        <w:rPr/>
        <w:t>编译：对源程序进行编译</w:t>
      </w:r>
    </w:p>
    <w:p>
      <w:pPr>
        <w:numPr>
          <w:ilvl w:val="0"/>
          <w:numId w:val="3"/>
        </w:numPr>
        <w:ind w:left="420"/>
      </w:pPr>
      <w:bookmarkStart w:name="4682-1507648528206" w:id="11"/>
      <w:bookmarkEnd w:id="11"/>
      <w:r>
        <w:rPr/>
        <w:t>链接：加上库函数</w:t>
      </w:r>
    </w:p>
    <w:p>
      <w:pPr>
        <w:numPr>
          <w:ilvl w:val="0"/>
          <w:numId w:val="3"/>
        </w:numPr>
        <w:ind w:left="420"/>
      </w:pPr>
      <w:bookmarkStart w:name="4077-1507648531318" w:id="12"/>
      <w:bookmarkEnd w:id="12"/>
      <w:r>
        <w:rPr/>
        <w:t>装入内存</w:t>
      </w:r>
    </w:p>
    <w:p>
      <w:pPr>
        <w:numPr>
          <w:ilvl w:val="1"/>
          <w:numId w:val="3"/>
        </w:numPr>
        <w:ind w:left="420"/>
      </w:pPr>
      <w:bookmarkStart w:name="7225-1507648738997" w:id="13"/>
      <w:bookmarkEnd w:id="13"/>
      <w:r>
        <w:rPr/>
        <w:t>连续分配存储管理</w:t>
      </w:r>
    </w:p>
    <w:p>
      <w:pPr>
        <w:numPr>
          <w:ilvl w:val="1"/>
          <w:numId w:val="3"/>
        </w:numPr>
        <w:ind w:left="420"/>
      </w:pPr>
      <w:bookmarkStart w:name="2420-1507648757453" w:id="14"/>
      <w:bookmarkEnd w:id="14"/>
      <w:r>
        <w:rPr/>
        <w:t>分页存储管理：</w:t>
      </w:r>
      <w:r>
        <w:rPr>
          <w:color w:val="df402a"/>
        </w:rPr>
        <w:t>用户的地址空间</w:t>
      </w:r>
      <w:r>
        <w:rPr/>
        <w:t>大小相同的页，存储器也划分为大小相同</w:t>
      </w:r>
    </w:p>
    <w:p>
      <w:pPr>
        <w:numPr>
          <w:ilvl w:val="1"/>
          <w:numId w:val="3"/>
        </w:numPr>
        <w:ind w:left="420"/>
      </w:pPr>
      <w:bookmarkStart w:name="9269-1507648796933" w:id="15"/>
      <w:bookmarkEnd w:id="15"/>
      <w:r>
        <w:rPr/>
        <w:t>分段存储管理：用户的地址空间大小不同的段，存储器分配以段为单位</w:t>
      </w:r>
    </w:p>
    <w:p>
      <w:pPr>
        <w:numPr>
          <w:ilvl w:val="1"/>
          <w:numId w:val="3"/>
        </w:numPr>
        <w:ind w:left="420"/>
      </w:pPr>
      <w:bookmarkStart w:name="3147-1507648803830" w:id="16"/>
      <w:bookmarkEnd w:id="16"/>
      <w:r>
        <w:rPr/>
        <w:t>段页存储管理：混合</w:t>
      </w:r>
    </w:p>
    <w:p>
      <w:pPr>
        <w:numPr>
          <w:ilvl w:val="0"/>
          <w:numId w:val="1"/>
        </w:numPr>
      </w:pPr>
      <w:bookmarkStart w:name="8946-1507648513194" w:id="17"/>
      <w:bookmarkEnd w:id="17"/>
      <w:r>
        <w:rPr>
          <w:rFonts w:ascii="Arial" w:hAnsi="Arial" w:cs="Arial" w:eastAsia="Arial"/>
          <w:highlight w:val="white"/>
        </w:rPr>
        <w:t>为了保证 </w:t>
      </w:r>
      <w:hyperlink r:id="rId5">
        <w:r>
          <w:rPr>
            <w:rFonts w:ascii="Arial" w:hAnsi="Arial" w:cs="Arial" w:eastAsia="Arial"/>
            <w:highlight w:val="white"/>
          </w:rPr>
          <w:t>CPU</w:t>
        </w:r>
      </w:hyperlink>
      <w:r>
        <w:rPr>
          <w:rFonts w:ascii="Arial" w:hAnsi="Arial" w:cs="Arial" w:eastAsia="Arial"/>
          <w:highlight w:val="white"/>
        </w:rPr>
        <w:t> 执行指令时可正确访问 </w:t>
      </w:r>
      <w:hyperlink r:id="rId6">
        <w:r>
          <w:rPr>
            <w:rFonts w:ascii="Arial" w:hAnsi="Arial" w:cs="Arial" w:eastAsia="Arial"/>
            <w:highlight w:val="white"/>
          </w:rPr>
          <w:t>存储单元</w:t>
        </w:r>
      </w:hyperlink>
      <w:r>
        <w:rPr>
          <w:rFonts w:ascii="Arial" w:hAnsi="Arial" w:cs="Arial" w:eastAsia="Arial"/>
          <w:highlight w:val="white"/>
        </w:rPr>
        <w:t> ，需将 </w:t>
      </w:r>
      <w:hyperlink r:id="rId7">
        <w:r>
          <w:rPr>
            <w:rFonts w:ascii="Arial" w:hAnsi="Arial" w:cs="Arial" w:eastAsia="Arial"/>
            <w:highlight w:val="white"/>
          </w:rPr>
          <w:t>用户程序</w:t>
        </w:r>
      </w:hyperlink>
      <w:r>
        <w:rPr>
          <w:rFonts w:ascii="Arial" w:hAnsi="Arial" w:cs="Arial" w:eastAsia="Arial"/>
          <w:highlight w:val="white"/>
        </w:rPr>
        <w:t> 中的逻辑 </w:t>
      </w:r>
      <w:hyperlink r:id="rId8">
        <w:r>
          <w:rPr>
            <w:rFonts w:ascii="Arial" w:hAnsi="Arial" w:cs="Arial" w:eastAsia="Arial"/>
            <w:highlight w:val="white"/>
          </w:rPr>
          <w:t>地址转换</w:t>
        </w:r>
      </w:hyperlink>
      <w:r>
        <w:rPr>
          <w:rFonts w:ascii="Arial" w:hAnsi="Arial" w:cs="Arial" w:eastAsia="Arial"/>
          <w:highlight w:val="white"/>
        </w:rPr>
        <w:t> 为运行时由机器 </w:t>
      </w:r>
      <w:hyperlink r:id="rId9">
        <w:r>
          <w:rPr>
            <w:rFonts w:ascii="Arial" w:hAnsi="Arial" w:cs="Arial" w:eastAsia="Arial"/>
            <w:highlight w:val="white"/>
          </w:rPr>
          <w:t>直接寻址</w:t>
        </w:r>
      </w:hyperlink>
      <w:r>
        <w:rPr>
          <w:rFonts w:ascii="Arial" w:hAnsi="Arial" w:cs="Arial" w:eastAsia="Arial"/>
          <w:highlight w:val="white"/>
        </w:rPr>
        <w:t> 的物理地址，这一过程称为地址映射</w:t>
      </w:r>
    </w:p>
    <w:p>
      <w:pPr>
        <w:numPr>
          <w:ilvl w:val="0"/>
          <w:numId w:val="1"/>
        </w:numPr>
      </w:pPr>
      <w:bookmarkStart w:name="7270-1507690414983" w:id="18"/>
      <w:bookmarkEnd w:id="18"/>
      <w:r>
        <w:rPr>
          <w:rFonts w:ascii="Arial" w:hAnsi="Arial" w:cs="Arial" w:eastAsia="Arial"/>
          <w:color w:val="333333"/>
          <w:highlight w:val="white"/>
        </w:rPr>
        <w:t>虚拟存储器最大实际容量= min(计算机地址，内存+辅存)。计算机地址=</w:t>
      </w:r>
      <w:r>
        <w:rPr>
          <w:rFonts w:ascii="Arial" w:hAnsi="Arial" w:cs="Arial" w:eastAsia="Arial"/>
          <w:color w:val="666666"/>
          <w:highlight w:val="white"/>
        </w:rPr>
        <w:t> 2^ </w:t>
      </w:r>
      <w:r>
        <w:rPr>
          <w:rFonts w:ascii="Arial" w:hAnsi="Arial" w:cs="Arial" w:eastAsia="Arial"/>
          <w:color w:val="333333"/>
          <w:highlight w:val="white"/>
        </w:rPr>
        <w:t>10*</w:t>
      </w:r>
      <w:r>
        <w:rPr>
          <w:rFonts w:ascii="Arial" w:hAnsi="Arial" w:cs="Arial" w:eastAsia="Arial"/>
          <w:color w:val="666666"/>
          <w:highlight w:val="white"/>
        </w:rPr>
        <w:t> 2^20=1024M</w:t>
      </w:r>
    </w:p>
    <w:p>
      <w:pPr/>
      <w:bookmarkStart w:name="1943-1507690824962" w:id="19"/>
      <w:bookmarkEnd w:id="19"/>
      <w:r>
        <w:drawing>
          <wp:inline distT="0" distR="0" distB="0" distL="0">
            <wp:extent cx="5267325" cy="503536"/>
            <wp:docPr id="1" name="Drawing 1" descr="RO4UW4T]D@$L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4UW4T]D@$L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bookmarkStart w:name="5247-1507690568495" w:id="20"/>
      <w:bookmarkEnd w:id="20"/>
      <w:r>
        <w:rPr>
          <w:rFonts w:ascii="Arial" w:hAnsi="Arial" w:cs="Arial" w:eastAsia="Arial"/>
          <w:color w:val="666666"/>
          <w:highlight w:val="white"/>
        </w:rPr>
        <w:t>I/O通道的目的是为了建立独立的I/O通道，使得原来一些由CPU处理的I/O任务由通道来承担，从而解脱cpu。通道所能执行的命令局限于I/O操作的指令，也就是执行I/O指令集。</w:t>
      </w:r>
    </w:p>
    <w:p>
      <w:pPr>
        <w:numPr>
          <w:ilvl w:val="0"/>
          <w:numId w:val="1"/>
        </w:numPr>
      </w:pPr>
      <w:bookmarkStart w:name="4170-1507690923461" w:id="21"/>
      <w:bookmarkEnd w:id="21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2.png" Type="http://schemas.openxmlformats.org/officeDocument/2006/relationships/image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Relationship Id="rId5" Target="http://baike.baidu.com/view/2089.htm" TargetMode="External" Type="http://schemas.openxmlformats.org/officeDocument/2006/relationships/hyperlink"/>
<Relationship Id="rId6" Target="http://baike.baidu.com/view/1223079.htm" TargetMode="External" Type="http://schemas.openxmlformats.org/officeDocument/2006/relationships/hyperlink"/>
<Relationship Id="rId7" Target="http://baike.baidu.com/view/1976812.htm" TargetMode="External" Type="http://schemas.openxmlformats.org/officeDocument/2006/relationships/hyperlink"/>
<Relationship Id="rId8" Target="http://baike.baidu.com/view/545723.htm" TargetMode="External" Type="http://schemas.openxmlformats.org/officeDocument/2006/relationships/hyperlink"/>
<Relationship Id="rId9" Target="http://baike.baidu.com/view/714774.htm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2017-10-23T02:21:07Z</dcterms:created>
  <dc:creator>Apache POI</dc:creator>
</cp:coreProperties>
</file>