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before="40" w:after="560" w:line="216" w:lineRule="auto"/>
        <w:jc w:val="center"/>
        <w:rPr>
          <w:sz w:val="72"/>
          <w:szCs w:val="72"/>
        </w:rPr>
      </w:pPr>
    </w:p>
    <w:p>
      <w:pPr>
        <w:pStyle w:val="11"/>
        <w:spacing w:before="40" w:after="560" w:line="216" w:lineRule="auto"/>
        <w:jc w:val="center"/>
        <w:rPr>
          <w:sz w:val="72"/>
          <w:szCs w:val="72"/>
        </w:rPr>
      </w:pPr>
    </w:p>
    <w:p>
      <w:pPr>
        <w:pStyle w:val="11"/>
        <w:spacing w:before="40" w:after="560" w:line="216" w:lineRule="auto"/>
        <w:jc w:val="center"/>
        <w:rPr>
          <w:sz w:val="72"/>
          <w:szCs w:val="72"/>
        </w:rPr>
      </w:pPr>
    </w:p>
    <w:p>
      <w:pPr>
        <w:pStyle w:val="11"/>
        <w:spacing w:before="40" w:after="560" w:line="216" w:lineRule="auto"/>
        <w:jc w:val="center"/>
        <w:rPr>
          <w:color w:val="5B9BD5"/>
          <w:sz w:val="48"/>
          <w:szCs w:val="48"/>
        </w:rPr>
      </w:pPr>
      <w:r>
        <w:rPr>
          <w:rFonts w:hint="eastAsia"/>
          <w:sz w:val="48"/>
          <w:szCs w:val="48"/>
        </w:rPr>
        <w:t>董家口矿石码头3D可视化平台</w:t>
      </w:r>
    </w:p>
    <w:p>
      <w:pPr>
        <w:pStyle w:val="11"/>
        <w:spacing w:before="40" w:after="40"/>
        <w:jc w:val="center"/>
        <w:rPr>
          <w:rFonts w:hint="eastAsia" w:eastAsia="等线"/>
          <w:caps/>
          <w:color w:val="1F3864"/>
          <w:sz w:val="28"/>
          <w:szCs w:val="28"/>
          <w:lang w:val="en-US" w:eastAsia="zh-CN"/>
        </w:rPr>
      </w:pPr>
      <w:r>
        <w:rPr>
          <w:rFonts w:hint="eastAsia"/>
          <w:caps/>
          <w:color w:val="1F3864"/>
          <w:sz w:val="28"/>
          <w:szCs w:val="28"/>
          <w:lang w:val="en-US" w:eastAsia="zh-CN"/>
        </w:rPr>
        <w:t>使用说明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  <w:outlineLvl w:val="2"/>
      </w:pPr>
    </w:p>
    <w:p>
      <w:pPr>
        <w:ind w:firstLine="480"/>
        <w:outlineLvl w:val="0"/>
      </w:pPr>
    </w:p>
    <w:sdt>
      <w:sdtPr>
        <w:rPr>
          <w:lang w:val="zh-CN"/>
        </w:rPr>
        <w:id w:val="-116053763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_Toc24579 </w:instrText>
          </w:r>
          <w:r>
            <w:fldChar w:fldCharType="separate"/>
          </w:r>
          <w:r>
            <w:rPr>
              <w:rFonts w:hint="eastAsia"/>
            </w:rPr>
            <w:t>1</w:t>
          </w:r>
          <w:r>
            <w:t>.1</w:t>
          </w:r>
          <w:r>
            <w:rPr>
              <w:rFonts w:hint="eastAsia"/>
              <w:lang w:val="en-US" w:eastAsia="zh-CN"/>
            </w:rPr>
            <w:t>输入控制</w:t>
          </w:r>
          <w:r>
            <w:tab/>
          </w:r>
          <w:r>
            <w:fldChar w:fldCharType="begin"/>
          </w:r>
          <w:r>
            <w:instrText xml:space="preserve"> PAGEREF _Toc24579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_Toc29520 </w:instrText>
          </w:r>
          <w:r>
            <w:rPr>
              <w:bCs/>
              <w:lang w:val="zh-CN"/>
            </w:rPr>
            <w:fldChar w:fldCharType="separate"/>
          </w:r>
          <w:r>
            <w:t xml:space="preserve">（1） </w:t>
          </w:r>
          <w:r>
            <w:rPr>
              <w:rFonts w:hint="eastAsia"/>
              <w:lang w:val="en-US" w:eastAsia="zh-CN"/>
            </w:rPr>
            <w:t>鼠标控制</w:t>
          </w:r>
          <w:r>
            <w:tab/>
          </w:r>
          <w:r>
            <w:fldChar w:fldCharType="begin"/>
          </w:r>
          <w:r>
            <w:instrText xml:space="preserve"> PAGEREF _Toc29520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_Toc23308 </w:instrText>
          </w:r>
          <w:r>
            <w:rPr>
              <w:bCs/>
              <w:lang w:val="zh-CN"/>
            </w:rPr>
            <w:fldChar w:fldCharType="separate"/>
          </w:r>
          <w:r>
            <w:t xml:space="preserve">（2） </w:t>
          </w:r>
          <w:r>
            <w:rPr>
              <w:rFonts w:hint="eastAsia"/>
              <w:lang w:val="en-US" w:eastAsia="zh-CN"/>
            </w:rPr>
            <w:t>键盘控制</w:t>
          </w:r>
          <w:r>
            <w:tab/>
          </w:r>
          <w:r>
            <w:fldChar w:fldCharType="begin"/>
          </w:r>
          <w:r>
            <w:instrText xml:space="preserve"> PAGEREF _Toc23308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_Toc26906 </w:instrText>
          </w:r>
          <w:r>
            <w:rPr>
              <w:bCs/>
              <w:lang w:val="zh-CN"/>
            </w:rPr>
            <w:fldChar w:fldCharType="separate"/>
          </w:r>
          <w:r>
            <w:t xml:space="preserve">（3） </w:t>
          </w:r>
          <w:r>
            <w:rPr>
              <w:rFonts w:hint="eastAsia"/>
              <w:lang w:val="en-US" w:eastAsia="zh-CN"/>
            </w:rPr>
            <w:t>自动漫游</w:t>
          </w:r>
          <w:r>
            <w:tab/>
          </w:r>
          <w:r>
            <w:fldChar w:fldCharType="begin"/>
          </w:r>
          <w:r>
            <w:instrText xml:space="preserve"> PAGEREF _Toc26906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_Toc12443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（4） 小地图功能</w:t>
          </w:r>
          <w:r>
            <w:tab/>
          </w:r>
          <w:r>
            <w:fldChar w:fldCharType="begin"/>
          </w:r>
          <w:r>
            <w:instrText xml:space="preserve"> PAGEREF _Toc12443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1.2 业务功能</w:t>
          </w:r>
          <w:r>
            <w:tab/>
          </w:r>
          <w:r>
            <w:fldChar w:fldCharType="begin"/>
          </w:r>
          <w:r>
            <w:instrText xml:space="preserve"> PAGEREF _Toc200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  <w:lang w:val="en-US" w:eastAsia="zh-CN"/>
            </w:rPr>
            <w:t xml:space="preserve"> 堆场基本信息查看</w:t>
          </w:r>
          <w:r>
            <w:tab/>
          </w:r>
          <w:r>
            <w:fldChar w:fldCharType="begin"/>
          </w:r>
          <w:r>
            <w:instrText xml:space="preserve"> PAGEREF _Toc26918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（2） 底账基本信息查看</w:t>
          </w:r>
          <w:r>
            <w:tab/>
          </w:r>
          <w:r>
            <w:fldChar w:fldCharType="begin"/>
          </w:r>
          <w:r>
            <w:instrText xml:space="preserve"> PAGEREF _Toc32399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（3） 计量称基本信息查看</w:t>
          </w:r>
          <w:r>
            <w:tab/>
          </w:r>
          <w:r>
            <w:fldChar w:fldCharType="begin"/>
          </w:r>
          <w:r>
            <w:instrText xml:space="preserve"> PAGEREF _Toc1852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（4） 摄像监控设备查看</w:t>
          </w:r>
          <w:r>
            <w:tab/>
          </w:r>
          <w:r>
            <w:fldChar w:fldCharType="begin"/>
          </w:r>
          <w:r>
            <w:instrText xml:space="preserve"> PAGEREF _Toc13611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（5） 查询筛选功能</w:t>
          </w:r>
          <w:r>
            <w:tab/>
          </w:r>
          <w:r>
            <w:fldChar w:fldCharType="begin"/>
          </w:r>
          <w:r>
            <w:instrText xml:space="preserve"> PAGEREF _Toc11117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（6） 预警功能</w:t>
          </w:r>
          <w:r>
            <w:tab/>
          </w:r>
          <w:r>
            <w:fldChar w:fldCharType="begin"/>
          </w:r>
          <w:r>
            <w:instrText xml:space="preserve"> PAGEREF _Toc165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（7） 数据更新功能</w:t>
          </w:r>
          <w:r>
            <w:tab/>
          </w:r>
          <w:r>
            <w:fldChar w:fldCharType="begin"/>
          </w:r>
          <w:r>
            <w:instrText xml:space="preserve"> PAGEREF _Toc28784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482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3"/>
        <w:rPr>
          <w:rFonts w:hint="eastAsia"/>
          <w:lang w:val="en-US" w:eastAsia="zh-CN"/>
        </w:rPr>
      </w:pPr>
      <w:bookmarkStart w:id="0" w:name="_Toc32668"/>
      <w:bookmarkStart w:id="1" w:name="_Toc22150"/>
      <w:bookmarkStart w:id="2" w:name="_Toc2934"/>
      <w:bookmarkStart w:id="3" w:name="_Toc18137"/>
      <w:bookmarkStart w:id="4" w:name="_Toc12474"/>
      <w:bookmarkStart w:id="5" w:name="_Toc25748"/>
      <w:bookmarkStart w:id="6" w:name="_Toc15688"/>
      <w:bookmarkStart w:id="7" w:name="_Toc22108"/>
      <w:bookmarkStart w:id="8" w:name="_Toc3059"/>
      <w:bookmarkStart w:id="9" w:name="_Toc10274"/>
      <w:bookmarkStart w:id="10" w:name="_Toc32146"/>
      <w:bookmarkStart w:id="11" w:name="_Toc15584"/>
      <w:bookmarkStart w:id="12" w:name="_Toc14286"/>
      <w:bookmarkStart w:id="13" w:name="_Toc1907"/>
      <w:bookmarkStart w:id="14" w:name="_Toc27609"/>
      <w:bookmarkStart w:id="15" w:name="_Toc2655"/>
      <w:bookmarkStart w:id="16" w:name="_Toc17656"/>
      <w:bookmarkStart w:id="17" w:name="_Toc174"/>
      <w:bookmarkStart w:id="18" w:name="_Toc17070"/>
      <w:bookmarkStart w:id="19" w:name="_Toc9753"/>
      <w:bookmarkStart w:id="20" w:name="_Toc6320"/>
      <w:bookmarkStart w:id="21" w:name="_Toc17027"/>
      <w:bookmarkStart w:id="22" w:name="_Toc6761"/>
      <w:bookmarkStart w:id="23" w:name="_Toc11925"/>
      <w:bookmarkStart w:id="24" w:name="_Toc3813"/>
      <w:bookmarkStart w:id="25" w:name="_Toc12315"/>
      <w:bookmarkStart w:id="26" w:name="_Toc7973"/>
      <w:bookmarkStart w:id="27" w:name="_Toc12595"/>
      <w:bookmarkStart w:id="28" w:name="_Toc22966"/>
      <w:bookmarkStart w:id="29" w:name="_Toc18452"/>
      <w:bookmarkStart w:id="30" w:name="_Toc23071"/>
      <w:bookmarkStart w:id="31" w:name="_Toc5716"/>
      <w:bookmarkStart w:id="32" w:name="_Toc5507"/>
      <w:bookmarkStart w:id="33" w:name="_Toc18346"/>
      <w:bookmarkStart w:id="34" w:name="_Toc18490"/>
      <w:bookmarkStart w:id="35" w:name="_Toc6448"/>
      <w:bookmarkStart w:id="36" w:name="_Toc26458"/>
      <w:bookmarkStart w:id="37" w:name="_Toc5255"/>
      <w:bookmarkStart w:id="38" w:name="_Toc1198"/>
      <w:bookmarkStart w:id="39" w:name="_Toc24890"/>
      <w:bookmarkStart w:id="40" w:name="_Toc23321"/>
      <w:bookmarkStart w:id="41" w:name="_Toc31143"/>
      <w:bookmarkStart w:id="42" w:name="_Toc17801"/>
      <w:bookmarkStart w:id="43" w:name="_Toc8474"/>
      <w:bookmarkStart w:id="44" w:name="_Toc29010"/>
      <w:bookmarkStart w:id="45" w:name="_Toc378"/>
      <w:bookmarkStart w:id="46" w:name="_Toc28893"/>
      <w:bookmarkStart w:id="47" w:name="_Toc12917"/>
      <w:bookmarkStart w:id="48" w:name="_Toc21565"/>
      <w:bookmarkStart w:id="49" w:name="_Toc20393"/>
      <w:bookmarkStart w:id="50" w:name="_Toc14160"/>
      <w:bookmarkStart w:id="51" w:name="_Toc11133"/>
      <w:bookmarkStart w:id="52" w:name="_Toc2977"/>
      <w:bookmarkStart w:id="53" w:name="_Toc24432"/>
      <w:bookmarkStart w:id="54" w:name="_Toc27402"/>
      <w:bookmarkStart w:id="55" w:name="_Toc29305"/>
      <w:bookmarkStart w:id="56" w:name="_Toc21327"/>
      <w:bookmarkStart w:id="57" w:name="_Toc25957"/>
      <w:bookmarkStart w:id="58" w:name="_Toc6343"/>
      <w:bookmarkStart w:id="59" w:name="_Toc13474"/>
      <w:bookmarkStart w:id="60" w:name="_Toc18953"/>
      <w:bookmarkStart w:id="61" w:name="_Toc27634"/>
      <w:bookmarkStart w:id="62" w:name="_Toc29993"/>
      <w:bookmarkStart w:id="63" w:name="_Toc24034"/>
      <w:bookmarkStart w:id="64" w:name="_Toc14687"/>
      <w:bookmarkStart w:id="65" w:name="_Toc13768"/>
      <w:bookmarkStart w:id="66" w:name="_Toc13640"/>
      <w:bookmarkStart w:id="67" w:name="_Toc21145"/>
      <w:bookmarkStart w:id="68" w:name="_Toc30370"/>
      <w:bookmarkStart w:id="69" w:name="_Toc25517"/>
      <w:bookmarkStart w:id="70" w:name="_Toc5924"/>
      <w:bookmarkStart w:id="71" w:name="_Toc30831"/>
      <w:bookmarkStart w:id="72" w:name="_Toc8435"/>
      <w:bookmarkStart w:id="73" w:name="_Toc31269"/>
      <w:bookmarkStart w:id="74" w:name="_Toc19347"/>
      <w:bookmarkStart w:id="75" w:name="_Toc6281"/>
      <w:bookmarkStart w:id="76" w:name="_Toc1699"/>
      <w:bookmarkStart w:id="77" w:name="_Toc27192"/>
      <w:bookmarkStart w:id="78" w:name="_Toc21588"/>
      <w:bookmarkStart w:id="79" w:name="_Toc15001"/>
      <w:bookmarkStart w:id="80" w:name="_Toc15712"/>
      <w:bookmarkStart w:id="81" w:name="_Toc13851"/>
      <w:bookmarkStart w:id="82" w:name="_Toc9543"/>
      <w:bookmarkStart w:id="83" w:name="_Toc19129"/>
      <w:bookmarkStart w:id="84" w:name="_Toc8229"/>
      <w:bookmarkStart w:id="85" w:name="_Toc16307"/>
      <w:bookmarkStart w:id="86" w:name="_Toc999"/>
      <w:bookmarkStart w:id="87" w:name="_Toc26366"/>
      <w:bookmarkStart w:id="88" w:name="_Toc11571"/>
      <w:bookmarkStart w:id="89" w:name="_Toc49"/>
      <w:bookmarkStart w:id="90" w:name="_Toc20030"/>
      <w:bookmarkStart w:id="91" w:name="_Toc1962"/>
      <w:bookmarkStart w:id="92" w:name="_Toc16287"/>
      <w:bookmarkStart w:id="93" w:name="_Toc20615"/>
      <w:bookmarkStart w:id="94" w:name="_Toc16528"/>
      <w:bookmarkStart w:id="95" w:name="_Toc163"/>
      <w:bookmarkStart w:id="96" w:name="_Toc19036"/>
      <w:bookmarkStart w:id="97" w:name="_Toc24579"/>
      <w:r>
        <w:rPr>
          <w:rFonts w:hint="eastAsia"/>
        </w:rPr>
        <w:t>1</w:t>
      </w:r>
      <w:r>
        <w:t>.1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r>
        <w:rPr>
          <w:rFonts w:hint="eastAsia"/>
          <w:lang w:val="en-US" w:eastAsia="zh-CN"/>
        </w:rPr>
        <w:t>输入控制</w:t>
      </w:r>
      <w:bookmarkEnd w:id="97"/>
    </w:p>
    <w:p>
      <w:pPr>
        <w:pStyle w:val="4"/>
        <w:numPr>
          <w:ilvl w:val="0"/>
          <w:numId w:val="1"/>
        </w:numPr>
      </w:pPr>
      <w:bookmarkStart w:id="98" w:name="_Toc20907"/>
      <w:bookmarkStart w:id="99" w:name="_Toc28079"/>
      <w:bookmarkStart w:id="100" w:name="_Toc20488"/>
      <w:bookmarkStart w:id="101" w:name="_Toc16409"/>
      <w:bookmarkStart w:id="102" w:name="_Toc1727"/>
      <w:bookmarkStart w:id="103" w:name="_Toc17933"/>
      <w:bookmarkStart w:id="104" w:name="_Toc7836"/>
      <w:bookmarkStart w:id="105" w:name="_Toc17640"/>
      <w:bookmarkStart w:id="106" w:name="_Toc20799"/>
      <w:bookmarkStart w:id="107" w:name="_Toc5080"/>
      <w:bookmarkStart w:id="108" w:name="_Toc4914"/>
      <w:bookmarkStart w:id="109" w:name="_Toc21321"/>
      <w:bookmarkStart w:id="110" w:name="_Toc6101"/>
      <w:bookmarkStart w:id="111" w:name="_Toc19273"/>
      <w:bookmarkStart w:id="112" w:name="_Toc10645"/>
      <w:bookmarkStart w:id="113" w:name="_Toc16827"/>
      <w:bookmarkStart w:id="114" w:name="_Toc32121"/>
      <w:bookmarkStart w:id="115" w:name="_Toc2838"/>
      <w:bookmarkStart w:id="116" w:name="_Toc4189"/>
      <w:bookmarkStart w:id="117" w:name="_Toc24992"/>
      <w:bookmarkStart w:id="118" w:name="_Toc30202"/>
      <w:bookmarkStart w:id="119" w:name="_Toc19875"/>
      <w:bookmarkStart w:id="120" w:name="_Toc20298"/>
      <w:bookmarkStart w:id="121" w:name="_Toc24985"/>
      <w:bookmarkStart w:id="122" w:name="_Toc26410"/>
      <w:bookmarkStart w:id="123" w:name="_Toc28143"/>
      <w:bookmarkStart w:id="124" w:name="_Toc5954"/>
      <w:bookmarkStart w:id="125" w:name="_Toc12027"/>
      <w:bookmarkStart w:id="126" w:name="_Toc7828"/>
      <w:bookmarkStart w:id="127" w:name="_Toc27841"/>
      <w:bookmarkStart w:id="128" w:name="_Toc14358"/>
      <w:bookmarkStart w:id="129" w:name="_Toc28853"/>
      <w:bookmarkStart w:id="130" w:name="_Toc17117"/>
      <w:bookmarkStart w:id="131" w:name="_Toc1503"/>
      <w:bookmarkStart w:id="132" w:name="_Toc22131"/>
      <w:bookmarkStart w:id="133" w:name="_Toc1238"/>
      <w:bookmarkStart w:id="134" w:name="_Toc20688"/>
      <w:bookmarkStart w:id="135" w:name="_Toc30897"/>
      <w:bookmarkStart w:id="136" w:name="_Toc20707"/>
      <w:bookmarkStart w:id="137" w:name="_Toc7498"/>
      <w:bookmarkStart w:id="138" w:name="_Toc21735"/>
      <w:bookmarkStart w:id="139" w:name="_Toc25997"/>
      <w:bookmarkStart w:id="140" w:name="_Toc5785"/>
      <w:bookmarkStart w:id="141" w:name="_Toc3129"/>
      <w:bookmarkStart w:id="142" w:name="_Toc19068"/>
      <w:bookmarkStart w:id="143" w:name="_Toc4069"/>
      <w:bookmarkStart w:id="144" w:name="_Toc11098"/>
      <w:bookmarkStart w:id="145" w:name="_Toc24057"/>
      <w:bookmarkStart w:id="146" w:name="_Toc8138"/>
      <w:bookmarkStart w:id="147" w:name="_Toc11090"/>
      <w:bookmarkStart w:id="148" w:name="_Toc2538"/>
      <w:bookmarkStart w:id="149" w:name="_Toc24997"/>
      <w:bookmarkStart w:id="150" w:name="_Toc9558"/>
      <w:bookmarkStart w:id="151" w:name="_Toc16006"/>
      <w:bookmarkStart w:id="152" w:name="_Toc31330"/>
      <w:bookmarkStart w:id="153" w:name="_Toc13849"/>
      <w:bookmarkStart w:id="154" w:name="_Toc19667"/>
      <w:bookmarkStart w:id="155" w:name="_Toc27248"/>
      <w:bookmarkStart w:id="156" w:name="_Toc14566"/>
      <w:bookmarkStart w:id="157" w:name="_Toc32224"/>
      <w:bookmarkStart w:id="158" w:name="_Toc9254"/>
      <w:bookmarkStart w:id="159" w:name="_Toc21418"/>
      <w:bookmarkStart w:id="160" w:name="_Toc31236"/>
      <w:bookmarkStart w:id="161" w:name="_Toc30733"/>
      <w:bookmarkStart w:id="162" w:name="_Toc25615"/>
      <w:bookmarkStart w:id="163" w:name="_Toc16589"/>
      <w:bookmarkStart w:id="164" w:name="_Toc5205"/>
      <w:bookmarkStart w:id="165" w:name="_Toc21915"/>
      <w:bookmarkStart w:id="166" w:name="_Toc16406"/>
      <w:bookmarkStart w:id="167" w:name="_Toc32454"/>
      <w:bookmarkStart w:id="168" w:name="_Toc9277"/>
      <w:bookmarkStart w:id="169" w:name="_Toc7378"/>
      <w:bookmarkStart w:id="170" w:name="_Toc14890"/>
      <w:bookmarkStart w:id="171" w:name="_Toc7008"/>
      <w:bookmarkStart w:id="172" w:name="_Toc19283"/>
      <w:bookmarkStart w:id="173" w:name="_Toc32528"/>
      <w:bookmarkStart w:id="174" w:name="_Toc10585"/>
      <w:bookmarkStart w:id="175" w:name="_Toc29673"/>
      <w:bookmarkStart w:id="176" w:name="_Toc26192"/>
      <w:bookmarkStart w:id="177" w:name="_Toc24256"/>
      <w:bookmarkStart w:id="178" w:name="_Toc29520"/>
      <w:r>
        <w:rPr>
          <w:rFonts w:hint="eastAsia"/>
          <w:lang w:val="en-US" w:eastAsia="zh-CN"/>
        </w:rPr>
        <w:t>鼠标控制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>
      <w:r>
        <w:rPr>
          <w:rFonts w:hint="eastAsia"/>
          <w:lang w:val="en-US" w:eastAsia="zh-CN"/>
        </w:rPr>
        <w:t>按住鼠标左键上下左右拖动鼠标移动视野，按住鼠标右键上下左右拖动鼠标旋转视野，滚动鼠标滚轮进行视野的放大缩小。</w:t>
      </w:r>
    </w:p>
    <w:p>
      <w:pPr>
        <w:pStyle w:val="4"/>
        <w:numPr>
          <w:ilvl w:val="0"/>
          <w:numId w:val="1"/>
        </w:numPr>
      </w:pPr>
      <w:bookmarkStart w:id="179" w:name="_Toc23308"/>
      <w:r>
        <w:rPr>
          <w:rFonts w:hint="eastAsia"/>
          <w:lang w:val="en-US" w:eastAsia="zh-CN"/>
        </w:rPr>
        <w:t>键盘控制</w:t>
      </w:r>
      <w:bookmarkEnd w:id="179"/>
    </w:p>
    <w:p>
      <w:r>
        <w:rPr>
          <w:rFonts w:hint="eastAsia"/>
          <w:lang w:val="en-US" w:eastAsia="zh-CN"/>
        </w:rPr>
        <w:t>按住键盘WASD键进行视野移动，按住左shift键可以加快移动速度。鼠标和键盘可以同时控制视野移动。</w:t>
      </w:r>
    </w:p>
    <w:p>
      <w:pPr>
        <w:pStyle w:val="4"/>
        <w:numPr>
          <w:ilvl w:val="0"/>
          <w:numId w:val="1"/>
        </w:numPr>
      </w:pPr>
      <w:bookmarkStart w:id="180" w:name="_Toc26906"/>
      <w:r>
        <w:rPr>
          <w:rFonts w:hint="eastAsia"/>
          <w:lang w:val="en-US" w:eastAsia="zh-CN"/>
        </w:rPr>
        <w:t>自动漫游</w:t>
      </w:r>
      <w:bookmarkEnd w:id="180"/>
    </w:p>
    <w:p>
      <w:pPr>
        <w:rPr>
          <w:lang w:val="en-US"/>
        </w:rPr>
      </w:pPr>
      <w:r>
        <w:rPr>
          <w:rFonts w:hint="eastAsia"/>
          <w:lang w:val="en-US" w:eastAsia="zh-CN"/>
        </w:rPr>
        <w:t>点击开始漫游按钮可以自动漫游堆场，从大门开始然后漫游到堆场，点击停止漫游按钮可以停止漫游。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81" w:name="_Toc12443"/>
      <w:r>
        <w:rPr>
          <w:rFonts w:hint="eastAsia"/>
          <w:lang w:val="en-US" w:eastAsia="zh-CN"/>
        </w:rPr>
        <w:t>小地图功能</w:t>
      </w:r>
      <w:bookmarkEnd w:id="1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点击界面左下角的小地图可以迅速定位到对应的地方。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2" w:name="_Toc200"/>
      <w:r>
        <w:rPr>
          <w:rFonts w:hint="eastAsia"/>
          <w:lang w:val="en-US" w:eastAsia="zh-CN"/>
        </w:rPr>
        <w:t>1.2 业务功能</w:t>
      </w:r>
      <w:bookmarkEnd w:id="182"/>
    </w:p>
    <w:p>
      <w:pPr>
        <w:pStyle w:val="4"/>
        <w:rPr>
          <w:rFonts w:hint="eastAsia"/>
          <w:lang w:val="en-US" w:eastAsia="zh-CN"/>
        </w:rPr>
      </w:pPr>
      <w:bookmarkStart w:id="183" w:name="_Toc26918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 堆场基本信息查看</w:t>
      </w:r>
      <w:bookmarkEnd w:id="183"/>
    </w:p>
    <w:p>
      <w:pPr>
        <w:jc w:val="left"/>
      </w:pPr>
      <w:r>
        <w:rPr>
          <w:rFonts w:hint="eastAsia"/>
          <w:lang w:val="en-US" w:eastAsia="zh-CN"/>
        </w:rPr>
        <w:t>将鼠标放在堆场上可以让当前堆场外边框高亮显示，双击鼠标左键弹出当前选中堆场的基本信息界面，信息界面中包含堆场的基本信息和相关底账信息的列表。</w:t>
      </w:r>
      <w:r>
        <w:drawing>
          <wp:inline distT="0" distB="0" distL="114300" distR="114300">
            <wp:extent cx="5226050" cy="3568700"/>
            <wp:effectExtent l="0" t="0" r="12700" b="1270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41925" cy="2912745"/>
            <wp:effectExtent l="0" t="0" r="15875" b="190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4" w:name="_Toc32399"/>
      <w:r>
        <w:rPr>
          <w:rFonts w:hint="eastAsia"/>
          <w:lang w:val="en-US" w:eastAsia="zh-CN"/>
        </w:rPr>
        <w:t>底账基本信息查看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点击底账列表中查看按钮可以查看此记录的详细信息。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1480"/>
            <wp:effectExtent l="0" t="0" r="10160" b="127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5" w:name="_Toc1852"/>
      <w:r>
        <w:rPr>
          <w:rFonts w:hint="eastAsia"/>
          <w:lang w:val="en-US" w:eastAsia="zh-CN"/>
        </w:rPr>
        <w:t>计量称基本信息查看</w:t>
      </w:r>
      <w:bookmarkEnd w:id="1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堆场中带有绿色边框标识的物体为计量称，将鼠标放到计量称物体上计量称会高亮显示，双击鼠标左键弹出计量称相关信息界面。</w:t>
      </w:r>
    </w:p>
    <w:p>
      <w:r>
        <w:drawing>
          <wp:inline distT="0" distB="0" distL="114300" distR="114300">
            <wp:extent cx="5269230" cy="3409950"/>
            <wp:effectExtent l="0" t="0" r="7620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455545"/>
            <wp:effectExtent l="0" t="0" r="12065" b="190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6" w:name="_Toc13611"/>
      <w:r>
        <w:rPr>
          <w:rFonts w:hint="eastAsia"/>
          <w:lang w:val="en-US" w:eastAsia="zh-CN"/>
        </w:rPr>
        <w:t>摄像监控设备查看</w:t>
      </w:r>
      <w:bookmarkEnd w:id="1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将鼠标放到三维场景中的摄像头物体上高亮显示物体，双击鼠标左键摄像可以跳转到对应的监控画面。</w:t>
      </w:r>
    </w:p>
    <w:p>
      <w:r>
        <w:drawing>
          <wp:inline distT="0" distB="0" distL="114300" distR="114300">
            <wp:extent cx="5266055" cy="3681730"/>
            <wp:effectExtent l="0" t="0" r="10795" b="1397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7" w:name="_Toc11117"/>
      <w:r>
        <w:rPr>
          <w:rFonts w:hint="eastAsia"/>
          <w:lang w:val="en-US" w:eastAsia="zh-CN"/>
        </w:rPr>
        <w:t>查询筛选功能</w:t>
      </w:r>
      <w:bookmarkEnd w:id="18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在网页上方有一个查询条件输入框，可以根据船名、航次、提单号、商品名称进行模糊组合查询。清空按钮可以清除输入框的文字。点击查询按钮后满足条件的散货会以高亮显示，并隐藏不满足条件的散货。</w:t>
      </w:r>
    </w:p>
    <w:p>
      <w:pPr>
        <w:rPr>
          <w:rFonts w:hint="eastAsia"/>
          <w:lang w:val="en-US" w:eastAsia="zh-CN"/>
        </w:rPr>
      </w:pPr>
      <w:bookmarkStart w:id="190" w:name="_GoBack"/>
      <w:r>
        <w:drawing>
          <wp:inline distT="0" distB="0" distL="114300" distR="114300">
            <wp:extent cx="5264785" cy="1901825"/>
            <wp:effectExtent l="0" t="0" r="1206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8" w:name="_Toc165"/>
      <w:r>
        <w:rPr>
          <w:rFonts w:hint="eastAsia"/>
          <w:lang w:val="en-US" w:eastAsia="zh-CN"/>
        </w:rPr>
        <w:t>预警功能</w:t>
      </w:r>
      <w:bookmarkEnd w:id="1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堆场中存在异常情况的散货在其上方会有警报灯提示，双击警报灯可以查看对应的警报信息。预警功能可以通过在数据库中修改参数来控制是否显示预警。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9" w:name="_Toc28784"/>
      <w:r>
        <w:rPr>
          <w:rFonts w:hint="eastAsia"/>
          <w:lang w:val="en-US" w:eastAsia="zh-CN"/>
        </w:rPr>
        <w:t>数据更新功能</w:t>
      </w:r>
      <w:bookmarkEnd w:id="1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系统每隔一段时间会对堆场上的散货进行一次数据更新。展示最新的散货数据。</w:t>
      </w:r>
    </w:p>
    <w:p>
      <w:pPr>
        <w:pStyle w:val="3"/>
        <w:ind w:firstLine="0" w:firstLineChars="0"/>
        <w:rPr>
          <w:rFonts w:hint="eastAsia" w:eastAsia="黑体"/>
          <w:lang w:val="en-US" w:eastAsia="zh-CN"/>
        </w:rPr>
      </w:pPr>
    </w:p>
    <w:p>
      <w:pPr>
        <w:ind w:firstLine="480"/>
      </w:pPr>
    </w:p>
    <w:p>
      <w:pPr>
        <w:ind w:firstLine="0" w:firstLineChars="0"/>
        <w:outlineLvl w:val="0"/>
      </w:pPr>
    </w:p>
    <w:p>
      <w:pPr>
        <w:ind w:firstLine="0" w:firstLineChars="0"/>
        <w:outlineLvl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831BC6"/>
    <w:multiLevelType w:val="singleLevel"/>
    <w:tmpl w:val="B0831BC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886E46E"/>
    <w:multiLevelType w:val="singleLevel"/>
    <w:tmpl w:val="1886E46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5C3"/>
    <w:rsid w:val="00001BC0"/>
    <w:rsid w:val="00062902"/>
    <w:rsid w:val="000B149C"/>
    <w:rsid w:val="002227C6"/>
    <w:rsid w:val="00310D0B"/>
    <w:rsid w:val="00325E6D"/>
    <w:rsid w:val="00367001"/>
    <w:rsid w:val="00423A4D"/>
    <w:rsid w:val="004B4C07"/>
    <w:rsid w:val="004F0DF6"/>
    <w:rsid w:val="005D5DD2"/>
    <w:rsid w:val="005F2705"/>
    <w:rsid w:val="0067172B"/>
    <w:rsid w:val="006D7CCB"/>
    <w:rsid w:val="006E56E9"/>
    <w:rsid w:val="00756CAF"/>
    <w:rsid w:val="00765F38"/>
    <w:rsid w:val="0077259E"/>
    <w:rsid w:val="007A306E"/>
    <w:rsid w:val="007C7716"/>
    <w:rsid w:val="007F04D5"/>
    <w:rsid w:val="0095613F"/>
    <w:rsid w:val="009964A1"/>
    <w:rsid w:val="009D2110"/>
    <w:rsid w:val="009D4370"/>
    <w:rsid w:val="00A32916"/>
    <w:rsid w:val="00A96E10"/>
    <w:rsid w:val="00AB01B8"/>
    <w:rsid w:val="00AF259F"/>
    <w:rsid w:val="00B47ACE"/>
    <w:rsid w:val="00B705C3"/>
    <w:rsid w:val="00C1459E"/>
    <w:rsid w:val="00CA1666"/>
    <w:rsid w:val="00F9540B"/>
    <w:rsid w:val="00FD30AA"/>
    <w:rsid w:val="027071E6"/>
    <w:rsid w:val="029F21BD"/>
    <w:rsid w:val="03966240"/>
    <w:rsid w:val="047E60A0"/>
    <w:rsid w:val="04AD069C"/>
    <w:rsid w:val="06305A5B"/>
    <w:rsid w:val="078A61DB"/>
    <w:rsid w:val="08060DCD"/>
    <w:rsid w:val="085B3171"/>
    <w:rsid w:val="093F3303"/>
    <w:rsid w:val="0A2E1CE8"/>
    <w:rsid w:val="0B9E3973"/>
    <w:rsid w:val="0C333C6C"/>
    <w:rsid w:val="0DF232E3"/>
    <w:rsid w:val="0E73343E"/>
    <w:rsid w:val="0EDE16D1"/>
    <w:rsid w:val="0FC12103"/>
    <w:rsid w:val="11743F58"/>
    <w:rsid w:val="11C66195"/>
    <w:rsid w:val="11F44B95"/>
    <w:rsid w:val="15593D3D"/>
    <w:rsid w:val="168D4E17"/>
    <w:rsid w:val="17BF739D"/>
    <w:rsid w:val="182F23D8"/>
    <w:rsid w:val="1888450A"/>
    <w:rsid w:val="18AA66A8"/>
    <w:rsid w:val="18D77E50"/>
    <w:rsid w:val="19247C91"/>
    <w:rsid w:val="197930F2"/>
    <w:rsid w:val="1A17062E"/>
    <w:rsid w:val="1A3F013A"/>
    <w:rsid w:val="1A5E02CD"/>
    <w:rsid w:val="1A5E3738"/>
    <w:rsid w:val="1AE21EFA"/>
    <w:rsid w:val="1BFE567A"/>
    <w:rsid w:val="1D9B0449"/>
    <w:rsid w:val="1DC00A0F"/>
    <w:rsid w:val="1F3F5D57"/>
    <w:rsid w:val="20581191"/>
    <w:rsid w:val="20F178F8"/>
    <w:rsid w:val="21796DCF"/>
    <w:rsid w:val="21833270"/>
    <w:rsid w:val="2227375E"/>
    <w:rsid w:val="223D5313"/>
    <w:rsid w:val="23C83EB1"/>
    <w:rsid w:val="24C50255"/>
    <w:rsid w:val="26AE67AD"/>
    <w:rsid w:val="27246EF5"/>
    <w:rsid w:val="285B4FED"/>
    <w:rsid w:val="29147ED4"/>
    <w:rsid w:val="29675AA0"/>
    <w:rsid w:val="29A9535A"/>
    <w:rsid w:val="29C876C8"/>
    <w:rsid w:val="29E33791"/>
    <w:rsid w:val="29FD1A89"/>
    <w:rsid w:val="2A5556F3"/>
    <w:rsid w:val="2C13357D"/>
    <w:rsid w:val="2C2E4E39"/>
    <w:rsid w:val="2D05667E"/>
    <w:rsid w:val="2DF97933"/>
    <w:rsid w:val="2E2A30F8"/>
    <w:rsid w:val="2EE023A2"/>
    <w:rsid w:val="30C57318"/>
    <w:rsid w:val="30E620F1"/>
    <w:rsid w:val="33794214"/>
    <w:rsid w:val="338D7C7A"/>
    <w:rsid w:val="33BC4D80"/>
    <w:rsid w:val="33CB2683"/>
    <w:rsid w:val="33D07FE4"/>
    <w:rsid w:val="34046417"/>
    <w:rsid w:val="35724F14"/>
    <w:rsid w:val="35970120"/>
    <w:rsid w:val="35B978EC"/>
    <w:rsid w:val="362B017C"/>
    <w:rsid w:val="368F388A"/>
    <w:rsid w:val="37035896"/>
    <w:rsid w:val="3772073B"/>
    <w:rsid w:val="378F3E9A"/>
    <w:rsid w:val="389944E8"/>
    <w:rsid w:val="39594068"/>
    <w:rsid w:val="3999475A"/>
    <w:rsid w:val="3A57044B"/>
    <w:rsid w:val="3AF948D2"/>
    <w:rsid w:val="3B4406CA"/>
    <w:rsid w:val="3B5C2884"/>
    <w:rsid w:val="3BD92B8F"/>
    <w:rsid w:val="3C407D6D"/>
    <w:rsid w:val="3C5A0E7E"/>
    <w:rsid w:val="3CC82C9E"/>
    <w:rsid w:val="3D254599"/>
    <w:rsid w:val="40980EE8"/>
    <w:rsid w:val="416D3865"/>
    <w:rsid w:val="41977333"/>
    <w:rsid w:val="42200D54"/>
    <w:rsid w:val="43195BEA"/>
    <w:rsid w:val="43E95FE5"/>
    <w:rsid w:val="45095539"/>
    <w:rsid w:val="45977975"/>
    <w:rsid w:val="45B37E18"/>
    <w:rsid w:val="46791F7B"/>
    <w:rsid w:val="46E20665"/>
    <w:rsid w:val="47647DD2"/>
    <w:rsid w:val="47CB7E0A"/>
    <w:rsid w:val="47DA5145"/>
    <w:rsid w:val="48322128"/>
    <w:rsid w:val="49202F4E"/>
    <w:rsid w:val="494D4C37"/>
    <w:rsid w:val="4A0A7A8B"/>
    <w:rsid w:val="4A0C1A93"/>
    <w:rsid w:val="4A7C274D"/>
    <w:rsid w:val="4AD96F84"/>
    <w:rsid w:val="4AF40609"/>
    <w:rsid w:val="4CA24EED"/>
    <w:rsid w:val="4CBB6760"/>
    <w:rsid w:val="4CC1171E"/>
    <w:rsid w:val="4E683B57"/>
    <w:rsid w:val="4F28599A"/>
    <w:rsid w:val="50253F1B"/>
    <w:rsid w:val="50B91C54"/>
    <w:rsid w:val="52551BCD"/>
    <w:rsid w:val="52612BE5"/>
    <w:rsid w:val="52F16E94"/>
    <w:rsid w:val="536F724A"/>
    <w:rsid w:val="53B826E9"/>
    <w:rsid w:val="54291A3C"/>
    <w:rsid w:val="54586730"/>
    <w:rsid w:val="54991EB4"/>
    <w:rsid w:val="554E4238"/>
    <w:rsid w:val="578F6BB2"/>
    <w:rsid w:val="57A15D93"/>
    <w:rsid w:val="58870ACB"/>
    <w:rsid w:val="588F77EC"/>
    <w:rsid w:val="59621EC3"/>
    <w:rsid w:val="5D1C5DD8"/>
    <w:rsid w:val="5E9F23A9"/>
    <w:rsid w:val="5F930F59"/>
    <w:rsid w:val="5FEC34C8"/>
    <w:rsid w:val="60E05E14"/>
    <w:rsid w:val="61B315E1"/>
    <w:rsid w:val="61CB535D"/>
    <w:rsid w:val="62AF5204"/>
    <w:rsid w:val="6355660B"/>
    <w:rsid w:val="639F21EC"/>
    <w:rsid w:val="64274494"/>
    <w:rsid w:val="64AC0396"/>
    <w:rsid w:val="657661BB"/>
    <w:rsid w:val="65A861EA"/>
    <w:rsid w:val="66690A01"/>
    <w:rsid w:val="687232F4"/>
    <w:rsid w:val="68B76E78"/>
    <w:rsid w:val="69284041"/>
    <w:rsid w:val="6A087C00"/>
    <w:rsid w:val="6AC86908"/>
    <w:rsid w:val="6B1E1812"/>
    <w:rsid w:val="6B384FF8"/>
    <w:rsid w:val="6B557E8E"/>
    <w:rsid w:val="6BCA1239"/>
    <w:rsid w:val="6CC5261C"/>
    <w:rsid w:val="6CEC3672"/>
    <w:rsid w:val="6D293D1D"/>
    <w:rsid w:val="6D61093B"/>
    <w:rsid w:val="6DA937FB"/>
    <w:rsid w:val="6E12120C"/>
    <w:rsid w:val="6F1F4E7C"/>
    <w:rsid w:val="6FC16C3F"/>
    <w:rsid w:val="6FD3684A"/>
    <w:rsid w:val="6FD731B1"/>
    <w:rsid w:val="70026ACD"/>
    <w:rsid w:val="70F02738"/>
    <w:rsid w:val="714A5697"/>
    <w:rsid w:val="7191511C"/>
    <w:rsid w:val="71AC0EDD"/>
    <w:rsid w:val="722A4ED3"/>
    <w:rsid w:val="726834A1"/>
    <w:rsid w:val="727815C6"/>
    <w:rsid w:val="728B18E9"/>
    <w:rsid w:val="73126BE6"/>
    <w:rsid w:val="737F67BE"/>
    <w:rsid w:val="750F3C45"/>
    <w:rsid w:val="75706C82"/>
    <w:rsid w:val="7652295B"/>
    <w:rsid w:val="77151F45"/>
    <w:rsid w:val="782D5017"/>
    <w:rsid w:val="798824FD"/>
    <w:rsid w:val="7AE6750A"/>
    <w:rsid w:val="7BB3607F"/>
    <w:rsid w:val="7C183857"/>
    <w:rsid w:val="7D0819D1"/>
    <w:rsid w:val="7E99360C"/>
    <w:rsid w:val="7ECB5407"/>
    <w:rsid w:val="7ECF7E65"/>
    <w:rsid w:val="7F3D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144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00" w:lineRule="exact"/>
      <w:outlineLvl w:val="1"/>
    </w:pPr>
    <w:rPr>
      <w:rFonts w:eastAsia="黑体"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40" w:after="240" w:line="400" w:lineRule="exact"/>
      <w:outlineLvl w:val="2"/>
    </w:pPr>
    <w:rPr>
      <w:rFonts w:eastAsia="黑体"/>
      <w:bCs/>
      <w:sz w:val="28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toc 1"/>
    <w:basedOn w:val="1"/>
    <w:next w:val="1"/>
    <w:qFormat/>
    <w:uiPriority w:val="39"/>
  </w:style>
  <w:style w:type="paragraph" w:styleId="7">
    <w:name w:val="toc 2"/>
    <w:basedOn w:val="1"/>
    <w:next w:val="1"/>
    <w:qFormat/>
    <w:uiPriority w:val="39"/>
    <w:pPr>
      <w:ind w:left="420" w:leftChars="200"/>
    </w:pPr>
  </w:style>
  <w:style w:type="character" w:styleId="9">
    <w:name w:val="Hyperlink"/>
    <w:qFormat/>
    <w:uiPriority w:val="99"/>
    <w:rPr>
      <w:color w:val="0000FF"/>
      <w:sz w:val="24"/>
      <w:u w:val="single"/>
    </w:rPr>
  </w:style>
  <w:style w:type="paragraph" w:styleId="11">
    <w:name w:val="No Spacing"/>
    <w:qFormat/>
    <w:uiPriority w:val="1"/>
    <w:rPr>
      <w:rFonts w:ascii="等线" w:hAnsi="等线" w:eastAsia="等线" w:cstheme="minorBidi"/>
      <w:sz w:val="22"/>
      <w:szCs w:val="22"/>
      <w:lang w:val="en-US" w:eastAsia="zh-CN" w:bidi="ar-SA"/>
    </w:rPr>
  </w:style>
  <w:style w:type="paragraph" w:customStyle="1" w:styleId="12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3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4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15">
    <w:name w:val="List Paragraph"/>
    <w:basedOn w:val="1"/>
    <w:uiPriority w:val="99"/>
    <w:pPr>
      <w:ind w:firstLine="420"/>
    </w:p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D28FFE-88FF-42D1-A829-CA8434490E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842</Words>
  <Characters>4804</Characters>
  <Lines>40</Lines>
  <Paragraphs>11</Paragraphs>
  <TotalTime>7</TotalTime>
  <ScaleCrop>false</ScaleCrop>
  <LinksUpToDate>false</LinksUpToDate>
  <CharactersWithSpaces>5635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一世凡尘</cp:lastModifiedBy>
  <dcterms:modified xsi:type="dcterms:W3CDTF">2018-08-12T13:19:45Z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