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A2C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 동일하게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최이솔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0.0007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ent_coef: .0(def)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gae_lambda: 1(def)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0.00096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ent_coef: .0(def)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gae_lambda: 1(def)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차정엽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0.0007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ent_coef: 0.001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gae_lambda: 1(def)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learning rate: 0.0007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ent_coef: .0(def)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gae_lambda: 0.9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최진성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learning rate: lin(0.00096)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ent_coef: .0(def)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gae_lambda: 0.9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learning rate: lin(0.00096)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ent_coef: 0.001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gae_lambda: 1(def)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learning rate: 0.00096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ent_coef: 0.001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gae_lambda: 1(def)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gamma: 0.99(def)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learning rate: 0.00096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ent_coef: .0(def)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gae_lambda: 0.9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vf_coef: 0.5(def)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n_steps: 5 (def)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gamma: 0.99(def)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