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35" w:rsidRPr="00324A1E" w:rsidRDefault="00F54235" w:rsidP="004F71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1E">
        <w:rPr>
          <w:rFonts w:ascii="Times New Roman" w:hAnsi="Times New Roman" w:cs="Times New Roman"/>
          <w:b/>
          <w:sz w:val="24"/>
          <w:szCs w:val="24"/>
        </w:rPr>
        <w:t>Robo</w:t>
      </w:r>
      <w:r w:rsidR="004F7165" w:rsidRPr="00324A1E">
        <w:rPr>
          <w:rFonts w:ascii="Times New Roman" w:hAnsi="Times New Roman" w:cs="Times New Roman"/>
          <w:b/>
          <w:sz w:val="24"/>
          <w:szCs w:val="24"/>
        </w:rPr>
        <w:t xml:space="preserve"> One</w:t>
      </w:r>
    </w:p>
    <w:p w:rsidR="00324A1E" w:rsidRPr="00324A1E" w:rsidRDefault="00F54235" w:rsidP="004F7165">
      <w:pPr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sz w:val="24"/>
          <w:szCs w:val="24"/>
        </w:rPr>
        <w:t xml:space="preserve">Robo-One es una competencia de robots categoría de bípedos robots </w:t>
      </w:r>
      <w:r w:rsidR="004F7165" w:rsidRPr="00324A1E">
        <w:rPr>
          <w:rFonts w:ascii="Times New Roman" w:hAnsi="Times New Roman" w:cs="Times New Roman"/>
          <w:sz w:val="24"/>
          <w:szCs w:val="24"/>
        </w:rPr>
        <w:t xml:space="preserve">humanoides. </w:t>
      </w:r>
    </w:p>
    <w:p w:rsidR="004F7165" w:rsidRPr="00324A1E" w:rsidRDefault="00F54235" w:rsidP="004F7165">
      <w:pPr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sz w:val="24"/>
          <w:szCs w:val="24"/>
        </w:rPr>
        <w:t>Los robots se construyen generalmente con RC Servos como actuadores y montados junto con la hoja de metal formas.</w:t>
      </w:r>
    </w:p>
    <w:p w:rsidR="00F54235" w:rsidRPr="00324A1E" w:rsidRDefault="00F54235" w:rsidP="004F7165">
      <w:pPr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sz w:val="24"/>
          <w:szCs w:val="24"/>
        </w:rPr>
        <w:t xml:space="preserve"> El material del marco más común es de aluminio. Sin embargo, ha habido entradas construidos con acero, plástico, e incluso madera. Diferentes sensores son utilizados por el robot de equilibrio y de percibir su entorno. Una pequeña a bordo micro controlador o equivalente se utiliza para controlar los movimientos de los robots y si el robot es autónomo también está programado para ajustar el comportamiento de robots en respuesta a las entradas de sensor.</w:t>
      </w:r>
    </w:p>
    <w:p w:rsidR="00F54235" w:rsidRPr="00324A1E" w:rsidRDefault="00F54235" w:rsidP="004F71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7165" w:rsidRPr="00324A1E" w:rsidRDefault="00F54235" w:rsidP="004F71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1E">
        <w:rPr>
          <w:rFonts w:ascii="Times New Roman" w:hAnsi="Times New Roman" w:cs="Times New Roman"/>
          <w:b/>
          <w:sz w:val="24"/>
          <w:szCs w:val="24"/>
        </w:rPr>
        <w:t>Los primeros Robo-</w:t>
      </w:r>
      <w:proofErr w:type="spellStart"/>
      <w:r w:rsidRPr="00324A1E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324A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A1E" w:rsidRPr="00324A1E">
        <w:rPr>
          <w:rFonts w:ascii="Times New Roman" w:hAnsi="Times New Roman" w:cs="Times New Roman"/>
          <w:b/>
          <w:sz w:val="24"/>
          <w:szCs w:val="24"/>
        </w:rPr>
        <w:t xml:space="preserve">y sus </w:t>
      </w:r>
      <w:r w:rsidRPr="00324A1E">
        <w:rPr>
          <w:rFonts w:ascii="Times New Roman" w:hAnsi="Times New Roman" w:cs="Times New Roman"/>
          <w:b/>
          <w:sz w:val="24"/>
          <w:szCs w:val="24"/>
        </w:rPr>
        <w:t>especificaciones</w:t>
      </w:r>
    </w:p>
    <w:p w:rsidR="00F54235" w:rsidRDefault="00F54235" w:rsidP="004F7165">
      <w:pPr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sz w:val="24"/>
          <w:szCs w:val="24"/>
        </w:rPr>
        <w:t xml:space="preserve"> </w:t>
      </w:r>
      <w:r w:rsidR="004F7165" w:rsidRPr="00324A1E">
        <w:rPr>
          <w:rFonts w:ascii="Times New Roman" w:hAnsi="Times New Roman" w:cs="Times New Roman"/>
          <w:sz w:val="24"/>
          <w:szCs w:val="24"/>
        </w:rPr>
        <w:t>Eran</w:t>
      </w:r>
      <w:r w:rsidRPr="00324A1E">
        <w:rPr>
          <w:rFonts w:ascii="Times New Roman" w:hAnsi="Times New Roman" w:cs="Times New Roman"/>
          <w:sz w:val="24"/>
          <w:szCs w:val="24"/>
        </w:rPr>
        <w:t xml:space="preserve"> deliberadamente mínimo para fomentar la mayor participación posible. Como los robots rendimiento </w:t>
      </w:r>
      <w:r w:rsidR="004F7165" w:rsidRPr="00324A1E">
        <w:rPr>
          <w:rFonts w:ascii="Times New Roman" w:hAnsi="Times New Roman" w:cs="Times New Roman"/>
          <w:sz w:val="24"/>
          <w:szCs w:val="24"/>
        </w:rPr>
        <w:t>han</w:t>
      </w:r>
      <w:r w:rsidRPr="00324A1E">
        <w:rPr>
          <w:rFonts w:ascii="Times New Roman" w:hAnsi="Times New Roman" w:cs="Times New Roman"/>
          <w:sz w:val="24"/>
          <w:szCs w:val="24"/>
        </w:rPr>
        <w:t xml:space="preserve"> mejorado, las especificaciones se han endurecido para mantener la atención en 'robótica humanoide. Por ejemplo, el pie / tamaño único en relación con los robots tamaño total ha sido gradualmente disminuye para las competiciones recientes.</w:t>
      </w:r>
    </w:p>
    <w:p w:rsidR="00324A1E" w:rsidRPr="00324A1E" w:rsidRDefault="006B6324" w:rsidP="00324A1E">
      <w:pPr>
        <w:shd w:val="clear" w:color="auto" w:fill="FFFFFF"/>
        <w:spacing w:before="120" w:after="120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B6324">
        <w:rPr>
          <w:rFonts w:ascii="Times New Roman" w:hAnsi="Times New Roman" w:cs="Times New Roman"/>
          <w:b/>
          <w:sz w:val="24"/>
          <w:szCs w:val="24"/>
        </w:rPr>
        <w:t>Las Reglas</w:t>
      </w:r>
      <w:r w:rsidR="00324A1E" w:rsidRPr="00324A1E">
        <w:rPr>
          <w:rFonts w:ascii="Times New Roman" w:hAnsi="Times New Roman" w:cs="Times New Roman"/>
          <w:sz w:val="24"/>
          <w:szCs w:val="24"/>
        </w:rPr>
        <w:t xml:space="preserve"> de competencia varían basado en el evento específico, y han evolucionado con el tiempo como la capacidad de los robots ha mejorado. El comité ROBO-ONE publica las normas oficiales en japonés para cada competición aproximadamente dos meses de antelación.</w:t>
      </w:r>
    </w:p>
    <w:p w:rsidR="00324A1E" w:rsidRPr="00324A1E" w:rsidRDefault="00324A1E" w:rsidP="006B6324">
      <w:pPr>
        <w:shd w:val="clear" w:color="auto" w:fill="FFFFFF"/>
        <w:spacing w:before="120" w:after="120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sz w:val="24"/>
          <w:szCs w:val="24"/>
        </w:rPr>
        <w:t>ROBO-ONE competiciones de tipo en otros países suelen seguir el mismo formato y reglas generales, pero con las modificaciones apropiadas para la habilidad participantes y niveles de habilidad.</w:t>
      </w:r>
    </w:p>
    <w:p w:rsidR="00324A1E" w:rsidRPr="00324A1E" w:rsidRDefault="00324A1E" w:rsidP="00324A1E">
      <w:pPr>
        <w:shd w:val="clear" w:color="auto" w:fill="FFFFFF"/>
        <w:spacing w:before="100" w:beforeAutospacing="1" w:after="24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4A1E">
        <w:rPr>
          <w:rFonts w:ascii="Times New Roman" w:hAnsi="Times New Roman" w:cs="Times New Roman"/>
          <w:b/>
          <w:sz w:val="24"/>
          <w:szCs w:val="24"/>
        </w:rPr>
        <w:t>ROBO-ONE</w:t>
      </w:r>
      <w:r w:rsidRPr="00324A1E">
        <w:rPr>
          <w:rFonts w:ascii="Times New Roman" w:hAnsi="Times New Roman" w:cs="Times New Roman"/>
          <w:sz w:val="24"/>
          <w:szCs w:val="24"/>
        </w:rPr>
        <w:t>: El Robo-</w:t>
      </w:r>
      <w:proofErr w:type="spellStart"/>
      <w:r w:rsidRPr="00324A1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24A1E">
        <w:rPr>
          <w:rFonts w:ascii="Times New Roman" w:hAnsi="Times New Roman" w:cs="Times New Roman"/>
          <w:sz w:val="24"/>
          <w:szCs w:val="24"/>
        </w:rPr>
        <w:t xml:space="preserve"> primaria competiciones tienen lugar dos veces al año, con las competiciones impares programadas en el </w:t>
      </w:r>
      <w:hyperlink r:id="rId5" w:tooltip="Tokio" w:history="1">
        <w:r w:rsidRPr="00324A1E">
          <w:rPr>
            <w:rFonts w:ascii="Times New Roman" w:hAnsi="Times New Roman" w:cs="Times New Roman"/>
            <w:sz w:val="24"/>
            <w:szCs w:val="24"/>
          </w:rPr>
          <w:t>Tokio</w:t>
        </w:r>
      </w:hyperlink>
      <w:r w:rsidRPr="00324A1E">
        <w:rPr>
          <w:rFonts w:ascii="Times New Roman" w:hAnsi="Times New Roman" w:cs="Times New Roman"/>
          <w:sz w:val="24"/>
          <w:szCs w:val="24"/>
        </w:rPr>
        <w:t> zona y las competiciones pares realizaron en lugares más remotos para aumentar la visibilidad y fomentar la participación en el deporte. </w:t>
      </w:r>
      <w:r w:rsidRPr="00324A1E">
        <w:rPr>
          <w:rFonts w:ascii="Times New Roman" w:hAnsi="Times New Roman" w:cs="Times New Roman"/>
          <w:sz w:val="24"/>
          <w:szCs w:val="24"/>
        </w:rPr>
        <w:br/>
        <w:t>Se inicia el primer día con las pruebas de selección previa que aseguran las entradas son capaces de tomar una serie de pasos (10 pasos dentro de 10 segundos), y el aumento tanto de una </w:t>
      </w:r>
      <w:hyperlink r:id="rId6" w:tooltip="Posición supina" w:history="1">
        <w:r w:rsidRPr="00324A1E">
          <w:rPr>
            <w:rFonts w:ascii="Times New Roman" w:hAnsi="Times New Roman" w:cs="Times New Roman"/>
            <w:sz w:val="24"/>
            <w:szCs w:val="24"/>
          </w:rPr>
          <w:t>supina</w:t>
        </w:r>
      </w:hyperlink>
      <w:r w:rsidRPr="00324A1E">
        <w:rPr>
          <w:rFonts w:ascii="Times New Roman" w:hAnsi="Times New Roman" w:cs="Times New Roman"/>
          <w:sz w:val="24"/>
          <w:szCs w:val="24"/>
        </w:rPr>
        <w:t> y </w:t>
      </w:r>
      <w:hyperlink r:id="rId7" w:tooltip="Posición prona" w:history="1">
        <w:r w:rsidRPr="00324A1E">
          <w:rPr>
            <w:rFonts w:ascii="Times New Roman" w:hAnsi="Times New Roman" w:cs="Times New Roman"/>
            <w:sz w:val="24"/>
            <w:szCs w:val="24"/>
          </w:rPr>
          <w:t>posiciones propensas</w:t>
        </w:r>
      </w:hyperlink>
      <w:r w:rsidRPr="00324A1E">
        <w:rPr>
          <w:rFonts w:ascii="Times New Roman" w:hAnsi="Times New Roman" w:cs="Times New Roman"/>
          <w:sz w:val="24"/>
          <w:szCs w:val="24"/>
        </w:rPr>
        <w:t xml:space="preserve"> . Esto es seguido por una demostración </w:t>
      </w:r>
      <w:proofErr w:type="spellStart"/>
      <w:r w:rsidRPr="00324A1E">
        <w:rPr>
          <w:rFonts w:ascii="Times New Roman" w:hAnsi="Times New Roman" w:cs="Times New Roman"/>
          <w:sz w:val="24"/>
          <w:szCs w:val="24"/>
        </w:rPr>
        <w:t>autononmous</w:t>
      </w:r>
      <w:proofErr w:type="spellEnd"/>
      <w:r w:rsidRPr="00324A1E">
        <w:rPr>
          <w:rFonts w:ascii="Times New Roman" w:hAnsi="Times New Roman" w:cs="Times New Roman"/>
          <w:sz w:val="24"/>
          <w:szCs w:val="24"/>
        </w:rPr>
        <w:t xml:space="preserve"> 2 minutos juzgados por un panel de expertos - típicamente los miembros clave del comité organizador ROBO-ONE. Los detalles específicos del sistema de puntuación utilizado nunca han sido revelados públicamente. Sólo las entradas principales de puntuación de ganar el derecho a regresar para el segundo día los partidos. </w:t>
      </w:r>
      <w:r w:rsidRPr="00324A1E">
        <w:rPr>
          <w:rFonts w:ascii="Times New Roman" w:hAnsi="Times New Roman" w:cs="Times New Roman"/>
          <w:sz w:val="24"/>
          <w:szCs w:val="24"/>
        </w:rPr>
        <w:br/>
        <w:t xml:space="preserve">Los partidos celebrados en el segundo día se basan más o menos en </w:t>
      </w:r>
      <w:proofErr w:type="gramStart"/>
      <w:r w:rsidRPr="00324A1E">
        <w:rPr>
          <w:rFonts w:ascii="Times New Roman" w:hAnsi="Times New Roman" w:cs="Times New Roman"/>
          <w:sz w:val="24"/>
          <w:szCs w:val="24"/>
        </w:rPr>
        <w:t>el </w:t>
      </w:r>
      <w:hyperlink r:id="rId8" w:tooltip="K-1" w:history="1">
        <w:r w:rsidRPr="00324A1E">
          <w:rPr>
            <w:rFonts w:ascii="Times New Roman" w:hAnsi="Times New Roman" w:cs="Times New Roman"/>
            <w:sz w:val="24"/>
            <w:szCs w:val="24"/>
          </w:rPr>
          <w:t>K-1</w:t>
        </w:r>
      </w:hyperlink>
      <w:r w:rsidRPr="00324A1E">
        <w:rPr>
          <w:rFonts w:ascii="Times New Roman" w:hAnsi="Times New Roman" w:cs="Times New Roman"/>
          <w:sz w:val="24"/>
          <w:szCs w:val="24"/>
        </w:rPr>
        <w:t> eventos</w:t>
      </w:r>
      <w:proofErr w:type="gramEnd"/>
      <w:r w:rsidRPr="00324A1E">
        <w:rPr>
          <w:rFonts w:ascii="Times New Roman" w:hAnsi="Times New Roman" w:cs="Times New Roman"/>
          <w:sz w:val="24"/>
          <w:szCs w:val="24"/>
        </w:rPr>
        <w:t xml:space="preserve"> de boxeo con cada robot tratando de golpear a su oponente, o fuera del ring.</w:t>
      </w:r>
      <w:bookmarkStart w:id="0" w:name="_GoBack"/>
      <w:bookmarkEnd w:id="0"/>
    </w:p>
    <w:sectPr w:rsidR="00324A1E" w:rsidRPr="0032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F0A16"/>
    <w:multiLevelType w:val="multilevel"/>
    <w:tmpl w:val="246E0A1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35"/>
    <w:rsid w:val="00324A1E"/>
    <w:rsid w:val="004F7165"/>
    <w:rsid w:val="005B097F"/>
    <w:rsid w:val="006B6324"/>
    <w:rsid w:val="00C31F99"/>
    <w:rsid w:val="00E35D5A"/>
    <w:rsid w:val="00F54235"/>
    <w:rsid w:val="00F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5B34F-AE00-4C55-8330-3AF72C78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0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097F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5B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5B097F"/>
  </w:style>
  <w:style w:type="character" w:styleId="Hipervnculo">
    <w:name w:val="Hyperlink"/>
    <w:basedOn w:val="Fuentedeprrafopredeter"/>
    <w:uiPriority w:val="99"/>
    <w:semiHidden/>
    <w:unhideWhenUsed/>
    <w:rsid w:val="00324A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ne_pos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ine_position" TargetMode="External"/><Relationship Id="rId5" Type="http://schemas.openxmlformats.org/officeDocument/2006/relationships/hyperlink" Target="https://en.wikipedia.org/wiki/Toky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ENITH CASTILLO ALMANZA</dc:creator>
  <cp:keywords/>
  <dc:description/>
  <cp:lastModifiedBy>viviana yissel</cp:lastModifiedBy>
  <cp:revision>2</cp:revision>
  <dcterms:created xsi:type="dcterms:W3CDTF">2015-08-18T15:23:00Z</dcterms:created>
  <dcterms:modified xsi:type="dcterms:W3CDTF">2015-08-18T15:23:00Z</dcterms:modified>
</cp:coreProperties>
</file>