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HAnsi"/>
          <w:color w:val="000000"/>
          <w:sz w:val="23"/>
          <w:szCs w:val="23"/>
          <w:shd w:val="clear" w:color="auto" w:fill="FFFFFF"/>
        </w:rPr>
      </w:pPr>
      <w:r>
        <w:rPr>
          <w:rFonts w:eastAsiaTheme="minorHAnsi"/>
          <w:color w:val="000000"/>
          <w:sz w:val="23"/>
          <w:szCs w:val="23"/>
          <w:shd w:val="clear" w:color="auto" w:fill="FFFFFF"/>
        </w:rPr>
        <w:t>孩子被诊断为孤独症，对每个家庭来说都是一个重大的挑战。在这个关键的时刻，家长的做法和考虑问题的思路，可能会对孩子乃至整个家庭的未来产生重要的影响。孤独症儿童的干预教育，不是一个短期几天、几个月就能完成事情，家长要做好打持久战、长久陪伴的心里准备。因此，组建一个干预团队，大家明确共同的前进方向，做好分工，协同配合是非常必要的。</w:t>
      </w:r>
    </w:p>
    <w:p>
      <w:pPr>
        <w:rPr>
          <w:rFonts w:eastAsiaTheme="minorHAnsi"/>
          <w:color w:val="000000"/>
          <w:sz w:val="23"/>
          <w:szCs w:val="23"/>
          <w:shd w:val="clear" w:color="auto" w:fill="FFFFFF"/>
        </w:rPr>
      </w:pP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在考虑家庭成员的分工的时候，有如下几个问题需要明确：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1、由谁来做干预团队的总负责人？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在选择干预策略，安排干预时间，组织家庭会议，给家庭成员做培训等方面，最好由一名家长来做团队管理负责，统一家庭干预思想，分配任务给大家。</w:t>
      </w:r>
    </w:p>
    <w:p>
      <w:pPr>
        <w:pStyle w:val="2"/>
        <w:numPr>
          <w:ilvl w:val="0"/>
          <w:numId w:val="1"/>
        </w:numPr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 明确家庭每年可支配的干预支出是多少？</w:t>
      </w:r>
    </w:p>
    <w:p>
      <w:pPr>
        <w:pStyle w:val="2"/>
        <w:numPr>
          <w:numId w:val="0"/>
        </w:numPr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家长可以在孩子年纪小的时候适当地投入更多的干预精力和金钱，确保孩子在早期的黄金干预期可以获得更大进步。但是，一定要量力而行，做好长期的合理规划，毕竟孤独症干预通常都是需要长期坚持的。 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3、 由谁来陪读？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如果选择的是需要陪读的干预机构，需要家庭会议确定是由某一位家长陪同，还是另外请陪读老师来实施。</w:t>
      </w:r>
      <w:bookmarkStart w:id="0" w:name="_GoBack"/>
      <w:bookmarkEnd w:id="0"/>
      <w:r>
        <w:rPr>
          <w:rFonts w:asciiTheme="minorHAnsi" w:hAnsiTheme="minorHAnsi" w:eastAsiaTheme="minorHAnsi"/>
          <w:color w:val="000000"/>
          <w:sz w:val="23"/>
          <w:szCs w:val="23"/>
        </w:rPr>
        <w:t> 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4、 家庭日常干预主要由谁来实施？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对于家庭干预，你可以给家庭成员分配不同的任务，比如妈妈主要负责桌面教学，爸爸主要负责游戏运动，奶奶主要负责生活自理教学等。</w:t>
      </w:r>
    </w:p>
    <w:p>
      <w:pPr>
        <w:pStyle w:val="2"/>
        <w:shd w:val="clear" w:color="auto" w:fill="FFFFFF"/>
        <w:spacing w:line="420" w:lineRule="atLeast"/>
        <w:rPr>
          <w:rFonts w:hint="eastAsia" w:asciiTheme="minorHAnsi" w:hAnsiTheme="minorHAnsi" w:eastAsiaTheme="minorHAnsi"/>
          <w:color w:val="000000"/>
          <w:sz w:val="23"/>
          <w:szCs w:val="23"/>
        </w:rPr>
      </w:pP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0AAB0C"/>
    <w:multiLevelType w:val="singleLevel"/>
    <w:tmpl w:val="B70AAB0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4D2C69"/>
    <w:rsid w:val="004D2C69"/>
    <w:rsid w:val="004E0983"/>
    <w:rsid w:val="005A4AB9"/>
    <w:rsid w:val="00634385"/>
    <w:rsid w:val="00D25D52"/>
    <w:rsid w:val="502B0BD7"/>
    <w:rsid w:val="570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473</Characters>
  <Lines>3</Lines>
  <Paragraphs>1</Paragraphs>
  <TotalTime>2</TotalTime>
  <ScaleCrop>false</ScaleCrop>
  <LinksUpToDate>false</LinksUpToDate>
  <CharactersWithSpaces>554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2023-07-25T01:56:00Z</dcterms:created>
  <dc:creator>Jiawei Wang</dc:creator>
  <cp:lastModifiedBy>Joy Chen</cp:lastModifiedBy>
  <dcterms:modified xsi:type="dcterms:W3CDTF">2023-07-25T08:53:21Z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509942B1FCDC41908AD91C1AC26CC53E_12</vt:lpwstr>
  </property>
</Properties>
</file>