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bookmarkStart w:id="0" w:name="_GoBack"/>
      <w:bookmarkEnd w:id="0"/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알파벳이나한글아이디@d</w:t>
      </w:r>
      <w:r w:rsidRPr="00952C6A">
        <w:t>omain.com</w:t>
      </w:r>
      <w:r>
        <w:rPr>
          <w:rFonts w:hint="eastAsia"/>
        </w:rPr>
        <w:t>이나</w:t>
      </w:r>
    </w:p>
    <w:p w14:paraId="4EEED560" w14:textId="77777777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9D86A" w14:textId="77777777" w:rsidR="000E2681" w:rsidRDefault="000E2681" w:rsidP="002D7849">
      <w:pPr>
        <w:spacing w:after="0" w:line="240" w:lineRule="auto"/>
      </w:pPr>
      <w:r>
        <w:separator/>
      </w:r>
    </w:p>
  </w:endnote>
  <w:endnote w:type="continuationSeparator" w:id="0">
    <w:p w14:paraId="06ACB903" w14:textId="77777777" w:rsidR="000E2681" w:rsidRDefault="000E268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0287FC08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DB1" w:rsidRPr="008E4DB1">
          <w:rPr>
            <w:noProof/>
            <w:lang w:val="ko-KR"/>
          </w:rPr>
          <w:t>13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43305" w14:textId="77777777" w:rsidR="000E2681" w:rsidRDefault="000E2681" w:rsidP="002D7849">
      <w:pPr>
        <w:spacing w:after="0" w:line="240" w:lineRule="auto"/>
      </w:pPr>
      <w:r>
        <w:separator/>
      </w:r>
    </w:p>
  </w:footnote>
  <w:footnote w:type="continuationSeparator" w:id="0">
    <w:p w14:paraId="7656B89F" w14:textId="77777777" w:rsidR="000E2681" w:rsidRDefault="000E268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2681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39</cp:revision>
  <cp:lastPrinted>2016-03-27T15:00:00Z</cp:lastPrinted>
  <dcterms:created xsi:type="dcterms:W3CDTF">2021-01-13T08:52:00Z</dcterms:created>
  <dcterms:modified xsi:type="dcterms:W3CDTF">2023-01-11T04:16:00Z</dcterms:modified>
</cp:coreProperties>
</file>