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16758"/>
      <w:bookmarkStart w:id="2" w:name="_Toc28226"/>
      <w:r>
        <w:rPr>
          <w:rFonts w:hint="eastAsia"/>
          <w:lang w:val="en-US" w:eastAsia="zh-CN"/>
        </w:rPr>
        <w:t>一、</w:t>
      </w:r>
      <w:r>
        <w:rPr>
          <w:rFonts w:hint="eastAsia"/>
        </w:rPr>
        <w:t>引言</w:t>
      </w:r>
      <w:bookmarkEnd w:id="1"/>
      <w:bookmarkEnd w:id="2"/>
    </w:p>
    <w:p>
      <w:pPr>
        <w:pStyle w:val="3"/>
      </w:pPr>
      <w:bookmarkStart w:id="3" w:name="_Toc19245"/>
      <w:bookmarkStart w:id="4" w:name="_Toc12550"/>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8471"/>
      <w:bookmarkStart w:id="8" w:name="_Toc17484"/>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20508"/>
      <w:bookmarkStart w:id="10" w:name="_Toc6171"/>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2247"/>
      <w:bookmarkStart w:id="24" w:name="_Toc32581"/>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2596"/>
      <w:bookmarkStart w:id="26" w:name="_Toc21035"/>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p>
      <w:pPr>
        <w:rPr>
          <w:color w:val="000000"/>
        </w:rPr>
      </w:pPr>
      <w:r>
        <w:rPr>
          <w:rFonts w:hint="eastAsia"/>
          <w:color w:val="000000"/>
        </w:rPr>
        <w:tab/>
      </w:r>
    </w:p>
    <w:p>
      <w:pPr>
        <w:rPr>
          <w:color w:val="000000"/>
        </w:rPr>
      </w:pP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519"/>
        <w:gridCol w:w="2686"/>
        <w:gridCol w:w="1022"/>
        <w:gridCol w:w="1089"/>
        <w:gridCol w:w="1050"/>
        <w:gridCol w:w="1132"/>
        <w:gridCol w:w="836"/>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任务模式</w:t>
            </w:r>
          </w:p>
        </w:tc>
        <w:tc>
          <w:tcPr>
            <w:tcW w:w="55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8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7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教师-课程评价平台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108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23,17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总体设计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详细设计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细化详细设计报告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实现部分前端代码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管理员界面框架搭建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81</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统一开发环境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数据库设计-部署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管理员界面实现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界面大致框架（头部栏与底部栏）</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添加修改信息界面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登录注册界面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举报评论审核处理界面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用户登录注册界面实现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老师-具体课程页面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RESTful接口定义</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128,134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编码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121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144</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bl>
    <w:p>
      <w:pPr>
        <w:rPr>
          <w:color w:val="000000"/>
        </w:rPr>
      </w:pPr>
      <w:bookmarkStart w:id="45" w:name="_GoBack"/>
      <w:bookmarkEnd w:id="45"/>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2083"/>
      <w:bookmarkStart w:id="36" w:name="_Toc30948"/>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11313"/>
      <w:bookmarkStart w:id="42" w:name="_Toc6734"/>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7254"/>
      <w:bookmarkStart w:id="44" w:name="_Toc17069"/>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9B53DA"/>
    <w:rsid w:val="0DA0382F"/>
    <w:rsid w:val="0E6671D4"/>
    <w:rsid w:val="0FDA2A70"/>
    <w:rsid w:val="10A817EC"/>
    <w:rsid w:val="11B6021B"/>
    <w:rsid w:val="146649DE"/>
    <w:rsid w:val="16216380"/>
    <w:rsid w:val="1A2C473F"/>
    <w:rsid w:val="1FBA21A0"/>
    <w:rsid w:val="228D03B5"/>
    <w:rsid w:val="2371782D"/>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AC138C9"/>
    <w:rsid w:val="6B07161E"/>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2</TotalTime>
  <ScaleCrop>false</ScaleCrop>
  <LinksUpToDate>false</LinksUpToDate>
  <CharactersWithSpaces>10039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2020-12-13T09:51:25Z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