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WMA与QiboTN最终实验报告</w:t>
      </w:r>
    </w:p>
    <w:p>
      <w:pPr>
        <w:pStyle w:val="Subtitle"/>
      </w:pPr>
      <w:r>
        <w:t>孙逸腾  240810010427    2026年10月6日</w:t>
      </w:r>
    </w:p>
    <w:p>
      <w:r>
        <w:t>本报告汇总WMA完整20 Case统一AMP对照实验，以及QiboTN官方CPU路径大规模线路优化。两题正式实验的已知指标和本地证据通过复检；正式发送、接收回执与评审结论属于后续交付环节。</w:t>
      </w:r>
    </w:p>
    <w:p>
      <w:pPr>
        <w:pStyle w:val="Heading1"/>
      </w:pPr>
      <w:r>
        <w:t>1 最终结果与验收结论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60"/>
        <w:gridCol w:w="3360"/>
        <w:gridCol w:w="3360"/>
      </w:tblGrid>
      <w:tr>
        <w:trPr>
          <w:cantSplit/>
          <w:tblHeader/>
        </w:trPr>
        <w:tc>
          <w:tcPr>
            <w:tcW w:type="dxa" w:w="316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7EEF4"/>
          </w:tcPr>
          <w:p>
            <w:pPr>
              <w:spacing w:after="0" w:line="252" w:lineRule="auto"/>
              <w:jc w:val="left"/>
            </w:pPr>
            <w:r>
              <w:rPr>
                <w:b/>
                <w:sz w:val="21"/>
              </w:rPr>
              <w:t>指标</w:t>
            </w:r>
          </w:p>
        </w:tc>
        <w:tc>
          <w:tcPr>
            <w:tcW w:type="dxa" w:w="360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7EEF4"/>
          </w:tcPr>
          <w:p>
            <w:pPr>
              <w:spacing w:after="0" w:line="252" w:lineRule="auto"/>
              <w:jc w:val="center"/>
            </w:pPr>
            <w:r>
              <w:rPr>
                <w:b/>
                <w:sz w:val="21"/>
              </w:rPr>
              <w:t>正式结果</w:t>
            </w:r>
          </w:p>
        </w:tc>
        <w:tc>
          <w:tcPr>
            <w:tcW w:type="dxa" w:w="331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7EEF4"/>
          </w:tcPr>
          <w:p>
            <w:pPr>
              <w:spacing w:after="0" w:line="252" w:lineRule="auto"/>
              <w:jc w:val="center"/>
            </w:pPr>
            <w:r>
              <w:rPr>
                <w:b/>
                <w:sz w:val="21"/>
              </w:rPr>
              <w:t>要求或口径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52" w:lineRule="auto"/>
              <w:jc w:val="left"/>
            </w:pPr>
            <w:r>
              <w:rPr>
                <w:b w:val="0"/>
                <w:sz w:val="21"/>
              </w:rPr>
              <w:t>WMA完成数量</w:t>
            </w:r>
          </w:p>
        </w:tc>
        <w:tc>
          <w:tcPr>
            <w:tcW w:type="dxa" w:w="360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20 / 20</w:t>
            </w:r>
          </w:p>
        </w:tc>
        <w:tc>
          <w:tcPr>
            <w:tcW w:type="dxa" w:w="331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全部Case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52" w:lineRule="auto"/>
              <w:jc w:val="left"/>
            </w:pPr>
            <w:r>
              <w:rPr>
                <w:b w:val="0"/>
                <w:sz w:val="21"/>
              </w:rPr>
              <w:t>WMA精确推理时间</w:t>
            </w:r>
          </w:p>
        </w:tc>
        <w:tc>
          <w:tcPr>
            <w:tcW w:type="dxa" w:w="360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6137.218386184424 s</w:t>
            </w:r>
          </w:p>
        </w:tc>
        <w:tc>
          <w:tcPr>
            <w:tcW w:type="dxa" w:w="331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≤6264.390872 s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52" w:lineRule="auto"/>
              <w:jc w:val="left"/>
            </w:pPr>
            <w:r>
              <w:rPr>
                <w:b w:val="0"/>
                <w:sz w:val="21"/>
              </w:rPr>
              <w:t>统一FP16 AMP基线</w:t>
            </w:r>
          </w:p>
        </w:tc>
        <w:tc>
          <w:tcPr>
            <w:tcW w:type="dxa" w:w="360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7830.488590281457 s</w:t>
            </w:r>
          </w:p>
        </w:tc>
        <w:tc>
          <w:tcPr>
            <w:tcW w:type="dxa" w:w="331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同20项任务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52" w:lineRule="auto"/>
              <w:jc w:val="left"/>
            </w:pPr>
            <w:r>
              <w:rPr>
                <w:b w:val="0"/>
                <w:sz w:val="21"/>
              </w:rPr>
              <w:t>WMA总加速比</w:t>
            </w:r>
          </w:p>
        </w:tc>
        <w:tc>
          <w:tcPr>
            <w:tcW w:type="dxa" w:w="360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1.2759018984738715×</w:t>
            </w:r>
          </w:p>
        </w:tc>
        <w:tc>
          <w:tcPr>
            <w:tcW w:type="dxa" w:w="331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≥1.25×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52" w:lineRule="auto"/>
              <w:jc w:val="left"/>
            </w:pPr>
            <w:r>
              <w:rPr>
                <w:b w:val="0"/>
                <w:sz w:val="21"/>
              </w:rPr>
              <w:t>WMA总时间降低</w:t>
            </w:r>
          </w:p>
        </w:tc>
        <w:tc>
          <w:tcPr>
            <w:tcW w:type="dxa" w:w="360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21.6240683397%</w:t>
            </w:r>
          </w:p>
        </w:tc>
        <w:tc>
          <w:tcPr>
            <w:tcW w:type="dxa" w:w="331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≥20%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52" w:lineRule="auto"/>
              <w:jc w:val="left"/>
            </w:pPr>
            <w:r>
              <w:rPr>
                <w:b w:val="0"/>
                <w:sz w:val="21"/>
              </w:rPr>
              <w:t>WMA最低PSNR</w:t>
            </w:r>
          </w:p>
        </w:tc>
        <w:tc>
          <w:tcPr>
            <w:tcW w:type="dxa" w:w="360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25.8241672300 dB</w:t>
            </w:r>
          </w:p>
        </w:tc>
        <w:tc>
          <w:tcPr>
            <w:tcW w:type="dxa" w:w="331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每项≥25 dB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52" w:lineRule="auto"/>
              <w:jc w:val="left"/>
            </w:pPr>
            <w:r>
              <w:rPr>
                <w:b w:val="0"/>
                <w:sz w:val="21"/>
              </w:rPr>
              <w:t>WMA平均PSNR</w:t>
            </w:r>
          </w:p>
        </w:tc>
        <w:tc>
          <w:tcPr>
            <w:tcW w:type="dxa" w:w="360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38.4393232909 dB</w:t>
            </w:r>
          </w:p>
        </w:tc>
        <w:tc>
          <w:tcPr>
            <w:tcW w:type="dxa" w:w="331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20项算术平均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52" w:lineRule="auto"/>
              <w:jc w:val="left"/>
            </w:pPr>
            <w:r>
              <w:rPr>
                <w:b w:val="0"/>
                <w:sz w:val="21"/>
              </w:rPr>
              <w:t>QiboTN负载</w:t>
            </w:r>
          </w:p>
        </w:tc>
        <w:tc>
          <w:tcPr>
            <w:tcW w:type="dxa" w:w="360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30 qubits  9998 gates</w:t>
            </w:r>
          </w:p>
        </w:tc>
        <w:tc>
          <w:tcPr>
            <w:tcW w:type="dxa" w:w="331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depth 449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52" w:lineRule="auto"/>
              <w:jc w:val="left"/>
            </w:pPr>
            <w:r>
              <w:rPr>
                <w:b w:val="0"/>
                <w:sz w:val="21"/>
              </w:rPr>
              <w:t>QiboTN正式稳态加速</w:t>
            </w:r>
          </w:p>
        </w:tc>
        <w:tc>
          <w:tcPr>
            <w:tcW w:type="dxa" w:w="360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7.0260386579×</w:t>
            </w:r>
          </w:p>
        </w:tc>
        <w:tc>
          <w:tcPr>
            <w:tcW w:type="dxa" w:w="331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默认20线程对1线程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52" w:lineRule="auto"/>
              <w:jc w:val="left"/>
            </w:pPr>
            <w:r>
              <w:rPr>
                <w:b w:val="0"/>
                <w:sz w:val="21"/>
              </w:rPr>
              <w:t>QiboTN输出差</w:t>
            </w:r>
          </w:p>
        </w:tc>
        <w:tc>
          <w:tcPr>
            <w:tcW w:type="dxa" w:w="360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5.789×10⁻¹⁶</w:t>
            </w:r>
          </w:p>
        </w:tc>
        <w:tc>
          <w:tcPr>
            <w:tcW w:type="dxa" w:w="331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≤1×10⁻¹²</w:t>
            </w:r>
          </w:p>
        </w:tc>
      </w:tr>
    </w:tbl>
    <w:p>
      <w:pPr>
        <w:spacing w:after="0"/>
      </w:pPr>
    </w:p>
    <w:p>
      <w:r>
        <w:t>WMA全部20项均为v4本轮新输出，没有拼接旧轮视频。原主程序在生成后的ffprobe核验阶段退出1，补充CPU评分与规格核验退出0；该异常不影响已保存的精确推理计时，但必须与结果一起披露。</w:t>
      </w:r>
    </w:p>
    <w:p>
      <w:r>
        <w:t>QiboTN的7.0260×仅表示所测CPU、线程库与固定线路上的稳态收益，不表示任意线路或硬件上的普遍加速。材料中的历史小规模、截断候选和WMA旧轮结果不用于正式结论。</w:t>
      </w:r>
    </w:p>
    <w:p>
      <w:pPr>
        <w:pStyle w:val="Heading1"/>
        <w:pageBreakBefore/>
      </w:pPr>
      <w:r>
        <w:t>2 WMA实验设置与优化方法</w:t>
      </w:r>
    </w:p>
    <w:p>
      <w:r>
        <w:t>实验使用020机RTX 4090 24 GB、16 vCPU、120 GB内存。基线与优化使用同一UnifoLM-WMA-0-Dual权重、同一20项manifest与官方评分路径。基线开启FP16/AMP，单纯开启autocast不计入个人优化。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040"/>
        <w:gridCol w:w="5040"/>
      </w:tblGrid>
      <w:tr>
        <w:trPr>
          <w:cantSplit/>
          <w:tblHeader/>
        </w:trPr>
        <w:tc>
          <w:tcPr>
            <w:tcW w:type="dxa" w:w="244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7EEF4"/>
          </w:tcPr>
          <w:p>
            <w:pPr>
              <w:spacing w:after="0" w:line="252" w:lineRule="auto"/>
              <w:jc w:val="left"/>
            </w:pPr>
            <w:r>
              <w:rPr>
                <w:b/>
                <w:sz w:val="21"/>
              </w:rPr>
              <w:t>固定项</w:t>
            </w:r>
          </w:p>
        </w:tc>
        <w:tc>
          <w:tcPr>
            <w:tcW w:type="dxa" w:w="763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7EEF4"/>
          </w:tcPr>
          <w:p>
            <w:pPr>
              <w:spacing w:after="0" w:line="252" w:lineRule="auto"/>
              <w:jc w:val="center"/>
            </w:pPr>
            <w:r>
              <w:rPr>
                <w:b/>
                <w:sz w:val="21"/>
              </w:rPr>
              <w:t>正式设置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52" w:lineRule="auto"/>
              <w:jc w:val="left"/>
            </w:pPr>
            <w:r>
              <w:rPr>
                <w:b w:val="0"/>
                <w:sz w:val="21"/>
              </w:rPr>
              <w:t>精度</w:t>
            </w:r>
          </w:p>
        </w:tc>
        <w:tc>
          <w:tcPr>
            <w:tcW w:type="dxa" w:w="763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FP16 autocast  不使用低于16-bit精度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52" w:lineRule="auto"/>
              <w:jc w:val="left"/>
            </w:pPr>
            <w:r>
              <w:rPr>
                <w:b w:val="0"/>
                <w:sz w:val="21"/>
              </w:rPr>
              <w:t>采样</w:t>
            </w:r>
          </w:p>
        </w:tc>
        <w:tc>
          <w:tcPr>
            <w:tcW w:type="dxa" w:w="763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DDIM 50步  eta 1  seed 123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52" w:lineRule="auto"/>
              <w:jc w:val="left"/>
            </w:pPr>
            <w:r>
              <w:rPr>
                <w:b w:val="0"/>
                <w:sz w:val="21"/>
              </w:rPr>
              <w:t>视频</w:t>
            </w:r>
          </w:p>
        </w:tc>
        <w:tc>
          <w:tcPr>
            <w:tcW w:type="dxa" w:w="763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512×320  8 fps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52" w:lineRule="auto"/>
              <w:jc w:val="left"/>
            </w:pPr>
            <w:r>
              <w:rPr>
                <w:b w:val="0"/>
                <w:sz w:val="21"/>
              </w:rPr>
              <w:t>交互轮数</w:t>
            </w:r>
          </w:p>
        </w:tc>
        <w:tc>
          <w:tcPr>
            <w:tcW w:type="dxa" w:w="763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按manifest保持7  8  11或12轮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52" w:lineRule="auto"/>
              <w:jc w:val="left"/>
            </w:pPr>
            <w:r>
              <w:rPr>
                <w:b w:val="0"/>
                <w:sz w:val="21"/>
              </w:rPr>
              <w:t>完整帧数</w:t>
            </w:r>
          </w:p>
        </w:tc>
        <w:tc>
          <w:tcPr>
            <w:tcW w:type="dxa" w:w="763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对应112  128  176或192帧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52" w:lineRule="auto"/>
              <w:jc w:val="left"/>
            </w:pPr>
            <w:r>
              <w:rPr>
                <w:b w:val="0"/>
                <w:sz w:val="21"/>
              </w:rPr>
              <w:t>CPU线程</w:t>
            </w:r>
          </w:p>
        </w:tc>
        <w:tc>
          <w:tcPr>
            <w:tcW w:type="dxa" w:w="763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优化运行8线程  interop 2</w:t>
            </w:r>
          </w:p>
        </w:tc>
      </w:tr>
    </w:tbl>
    <w:p>
      <w:pPr>
        <w:spacing w:after="0"/>
      </w:pPr>
    </w:p>
    <w:p>
      <w:r>
        <w:t>基线流程逐项启动并加载模型。分析后，优化使用持久化模型生成19项，减少重复导入与模型初始化，并控制CPU数学库线程争用，减少不参与正式输出的诊断保存。正式视频内容和规定输出不变。</w:t>
      </w:r>
    </w:p>
    <w:p>
      <w:r>
        <w:t>质量敏感项unitree_z1_dual_arm_stackbox_v2/case1在正式v4开始前固定采用独立确定性FP16子进程：模型初始化后、准备输入前重置seed，完成一次完整生成后退出并释放GPU，再加载其余19项模型。没有依据本轮GT评分挑选候选，没有生成重试。</w:t>
      </w:r>
    </w:p>
    <w:p>
      <w:pPr>
        <w:pStyle w:val="Heading1"/>
      </w:pPr>
      <w:r>
        <w:t>计时范围</w:t>
      </w:r>
    </w:p>
    <w:p>
      <w:r>
        <w:t>优化总时间来自inference_complete.json中的全局perf_counter，包含Python导入、两次模型加载、边缘项子进程启动和全部视频生成。官方PSNR评分与ffprobe规格核验另计。基线7830.488590281457 s为同20项统一AMP完整推理记录之和；相同任务和输出要求下计算两者总时间比。</w:t>
      </w:r>
    </w:p>
    <w:p>
      <w:r>
        <w:t>逐Case elapsed_seconds之和不替代全局计时。外部/usr/bin/time的6141.72 s包含首次核验失败与退出开销，也不替代正式推理计时。精确加速比取7830.488590281457除以6137.218386184424。</w:t>
      </w:r>
    </w:p>
    <w:p>
      <w:pPr>
        <w:pStyle w:val="Heading1"/>
        <w:pageBreakBefore/>
      </w:pPr>
      <w:r>
        <w:t>3 WMA全部20项质量与规格</w:t>
      </w:r>
    </w:p>
    <w:p>
      <w:r>
        <w:t>下表耗时为各项记录值，PSNR来自官方评分结果。全部视频512×320、8 fps；帧数与manifest逐项一致。</w:t>
      </w:r>
    </w:p>
    <w:p>
      <w:r>
        <w:t>S1  unitree_g1_pack_camera</w:t>
      </w:r>
    </w:p>
    <w:p>
      <w:r>
        <w:t>S2  unitree_z1_dual_arm_cleanup_pencils</w:t>
      </w:r>
    </w:p>
    <w:p>
      <w:r>
        <w:t>S3  unitree_z1_dual_arm_stackbox</w:t>
      </w:r>
    </w:p>
    <w:p>
      <w:r>
        <w:t>S4  unitree_z1_dual_arm_stackbox_v2</w:t>
      </w:r>
    </w:p>
    <w:p>
      <w:r>
        <w:t>S5  unitree_z1_stackbox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520"/>
        <w:gridCol w:w="2520"/>
        <w:gridCol w:w="2520"/>
        <w:gridCol w:w="2520"/>
      </w:tblGrid>
      <w:tr>
        <w:trPr>
          <w:cantSplit/>
          <w:tblHeader/>
        </w:trPr>
        <w:tc>
          <w:tcPr>
            <w:tcW w:type="dxa" w:w="252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7EEF4"/>
          </w:tcPr>
          <w:p>
            <w:pPr>
              <w:spacing w:after="0" w:line="252" w:lineRule="auto"/>
              <w:jc w:val="left"/>
            </w:pPr>
            <w:r>
              <w:rPr>
                <w:b/>
                <w:sz w:val="21"/>
              </w:rPr>
              <w:t>场景 Case</w:t>
            </w:r>
          </w:p>
        </w:tc>
        <w:tc>
          <w:tcPr>
            <w:tcW w:type="dxa" w:w="259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7EEF4"/>
          </w:tcPr>
          <w:p>
            <w:pPr>
              <w:spacing w:after="0" w:line="252" w:lineRule="auto"/>
              <w:jc w:val="center"/>
            </w:pPr>
            <w:r>
              <w:rPr>
                <w:b/>
                <w:sz w:val="21"/>
              </w:rPr>
              <w:t>生成耗时 s</w:t>
            </w:r>
          </w:p>
        </w:tc>
        <w:tc>
          <w:tcPr>
            <w:tcW w:type="dxa" w:w="280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7EEF4"/>
          </w:tcPr>
          <w:p>
            <w:pPr>
              <w:spacing w:after="0" w:line="252" w:lineRule="auto"/>
              <w:jc w:val="center"/>
            </w:pPr>
            <w:r>
              <w:rPr>
                <w:b/>
                <w:sz w:val="21"/>
              </w:rPr>
              <w:t>PSNR dB</w:t>
            </w:r>
          </w:p>
        </w:tc>
        <w:tc>
          <w:tcPr>
            <w:tcW w:type="dxa" w:w="216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7EEF4"/>
          </w:tcPr>
          <w:p>
            <w:pPr>
              <w:spacing w:after="0" w:line="252" w:lineRule="auto"/>
              <w:jc w:val="center"/>
            </w:pPr>
            <w:r>
              <w:rPr>
                <w:b/>
                <w:sz w:val="21"/>
              </w:rPr>
              <w:t>帧数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52" w:lineRule="auto"/>
              <w:jc w:val="left"/>
            </w:pPr>
            <w:r>
              <w:rPr>
                <w:b w:val="0"/>
                <w:sz w:val="21"/>
              </w:rPr>
              <w:t>S1 case1</w:t>
            </w:r>
          </w:p>
        </w:tc>
        <w:tc>
          <w:tcPr>
            <w:tcW w:type="dxa" w:w="259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400.372038</w:t>
            </w:r>
          </w:p>
        </w:tc>
        <w:tc>
          <w:tcPr>
            <w:tcW w:type="dxa" w:w="280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32.135263068</w:t>
            </w:r>
          </w:p>
        </w:tc>
        <w:tc>
          <w:tcPr>
            <w:tcW w:type="dxa" w:w="216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176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52" w:lineRule="auto"/>
              <w:jc w:val="left"/>
            </w:pPr>
            <w:r>
              <w:rPr>
                <w:b w:val="0"/>
                <w:sz w:val="21"/>
              </w:rPr>
              <w:t>S1 case2</w:t>
            </w:r>
          </w:p>
        </w:tc>
        <w:tc>
          <w:tcPr>
            <w:tcW w:type="dxa" w:w="259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331.984000</w:t>
            </w:r>
          </w:p>
        </w:tc>
        <w:tc>
          <w:tcPr>
            <w:tcW w:type="dxa" w:w="280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32.823135999</w:t>
            </w:r>
          </w:p>
        </w:tc>
        <w:tc>
          <w:tcPr>
            <w:tcW w:type="dxa" w:w="216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176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52" w:lineRule="auto"/>
              <w:jc w:val="left"/>
            </w:pPr>
            <w:r>
              <w:rPr>
                <w:b w:val="0"/>
                <w:sz w:val="21"/>
              </w:rPr>
              <w:t>S1 case3</w:t>
            </w:r>
          </w:p>
        </w:tc>
        <w:tc>
          <w:tcPr>
            <w:tcW w:type="dxa" w:w="259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332.569521</w:t>
            </w:r>
          </w:p>
        </w:tc>
        <w:tc>
          <w:tcPr>
            <w:tcW w:type="dxa" w:w="280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36.876911174</w:t>
            </w:r>
          </w:p>
        </w:tc>
        <w:tc>
          <w:tcPr>
            <w:tcW w:type="dxa" w:w="216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176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52" w:lineRule="auto"/>
              <w:jc w:val="left"/>
            </w:pPr>
            <w:r>
              <w:rPr>
                <w:b w:val="0"/>
                <w:sz w:val="21"/>
              </w:rPr>
              <w:t>S1 case4</w:t>
            </w:r>
          </w:p>
        </w:tc>
        <w:tc>
          <w:tcPr>
            <w:tcW w:type="dxa" w:w="259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339.942299</w:t>
            </w:r>
          </w:p>
        </w:tc>
        <w:tc>
          <w:tcPr>
            <w:tcW w:type="dxa" w:w="280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35.060184220</w:t>
            </w:r>
          </w:p>
        </w:tc>
        <w:tc>
          <w:tcPr>
            <w:tcW w:type="dxa" w:w="216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176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52" w:lineRule="auto"/>
              <w:jc w:val="left"/>
            </w:pPr>
            <w:r>
              <w:rPr>
                <w:b w:val="0"/>
                <w:sz w:val="21"/>
              </w:rPr>
              <w:t>S2 case1</w:t>
            </w:r>
          </w:p>
        </w:tc>
        <w:tc>
          <w:tcPr>
            <w:tcW w:type="dxa" w:w="259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247.751911</w:t>
            </w:r>
          </w:p>
        </w:tc>
        <w:tc>
          <w:tcPr>
            <w:tcW w:type="dxa" w:w="280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39.665023684</w:t>
            </w:r>
          </w:p>
        </w:tc>
        <w:tc>
          <w:tcPr>
            <w:tcW w:type="dxa" w:w="216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128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52" w:lineRule="auto"/>
              <w:jc w:val="left"/>
            </w:pPr>
            <w:r>
              <w:rPr>
                <w:b w:val="0"/>
                <w:sz w:val="21"/>
              </w:rPr>
              <w:t>S2 case2</w:t>
            </w:r>
          </w:p>
        </w:tc>
        <w:tc>
          <w:tcPr>
            <w:tcW w:type="dxa" w:w="259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243.431172</w:t>
            </w:r>
          </w:p>
        </w:tc>
        <w:tc>
          <w:tcPr>
            <w:tcW w:type="dxa" w:w="280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46.054710032</w:t>
            </w:r>
          </w:p>
        </w:tc>
        <w:tc>
          <w:tcPr>
            <w:tcW w:type="dxa" w:w="216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128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52" w:lineRule="auto"/>
              <w:jc w:val="left"/>
            </w:pPr>
            <w:r>
              <w:rPr>
                <w:b w:val="0"/>
                <w:sz w:val="21"/>
              </w:rPr>
              <w:t>S2 case3</w:t>
            </w:r>
          </w:p>
        </w:tc>
        <w:tc>
          <w:tcPr>
            <w:tcW w:type="dxa" w:w="259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242.725658</w:t>
            </w:r>
          </w:p>
        </w:tc>
        <w:tc>
          <w:tcPr>
            <w:tcW w:type="dxa" w:w="280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42.321849342</w:t>
            </w:r>
          </w:p>
        </w:tc>
        <w:tc>
          <w:tcPr>
            <w:tcW w:type="dxa" w:w="216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128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52" w:lineRule="auto"/>
              <w:jc w:val="left"/>
            </w:pPr>
            <w:r>
              <w:rPr>
                <w:b w:val="0"/>
                <w:sz w:val="21"/>
              </w:rPr>
              <w:t>S2 case4</w:t>
            </w:r>
          </w:p>
        </w:tc>
        <w:tc>
          <w:tcPr>
            <w:tcW w:type="dxa" w:w="259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242.862944</w:t>
            </w:r>
          </w:p>
        </w:tc>
        <w:tc>
          <w:tcPr>
            <w:tcW w:type="dxa" w:w="280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45.140790778</w:t>
            </w:r>
          </w:p>
        </w:tc>
        <w:tc>
          <w:tcPr>
            <w:tcW w:type="dxa" w:w="216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128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52" w:lineRule="auto"/>
              <w:jc w:val="left"/>
            </w:pPr>
            <w:r>
              <w:rPr>
                <w:b w:val="0"/>
                <w:sz w:val="21"/>
              </w:rPr>
              <w:t>S3 case1</w:t>
            </w:r>
          </w:p>
        </w:tc>
        <w:tc>
          <w:tcPr>
            <w:tcW w:type="dxa" w:w="259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211.287833</w:t>
            </w:r>
          </w:p>
        </w:tc>
        <w:tc>
          <w:tcPr>
            <w:tcW w:type="dxa" w:w="280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39.236007602</w:t>
            </w:r>
          </w:p>
        </w:tc>
        <w:tc>
          <w:tcPr>
            <w:tcW w:type="dxa" w:w="216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112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52" w:lineRule="auto"/>
              <w:jc w:val="left"/>
            </w:pPr>
            <w:r>
              <w:rPr>
                <w:b w:val="0"/>
                <w:sz w:val="21"/>
              </w:rPr>
              <w:t>S3 case2</w:t>
            </w:r>
          </w:p>
        </w:tc>
        <w:tc>
          <w:tcPr>
            <w:tcW w:type="dxa" w:w="259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213.203633</w:t>
            </w:r>
          </w:p>
        </w:tc>
        <w:tc>
          <w:tcPr>
            <w:tcW w:type="dxa" w:w="280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43.279371706</w:t>
            </w:r>
          </w:p>
        </w:tc>
        <w:tc>
          <w:tcPr>
            <w:tcW w:type="dxa" w:w="216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112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52" w:lineRule="auto"/>
              <w:jc w:val="left"/>
            </w:pPr>
            <w:r>
              <w:rPr>
                <w:b w:val="0"/>
                <w:sz w:val="21"/>
              </w:rPr>
              <w:t>S3 case3</w:t>
            </w:r>
          </w:p>
        </w:tc>
        <w:tc>
          <w:tcPr>
            <w:tcW w:type="dxa" w:w="259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211.897504</w:t>
            </w:r>
          </w:p>
        </w:tc>
        <w:tc>
          <w:tcPr>
            <w:tcW w:type="dxa" w:w="280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38.695513248</w:t>
            </w:r>
          </w:p>
        </w:tc>
        <w:tc>
          <w:tcPr>
            <w:tcW w:type="dxa" w:w="216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112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52" w:lineRule="auto"/>
              <w:jc w:val="left"/>
            </w:pPr>
            <w:r>
              <w:rPr>
                <w:b w:val="0"/>
                <w:sz w:val="21"/>
              </w:rPr>
              <w:t>S3 case4</w:t>
            </w:r>
          </w:p>
        </w:tc>
        <w:tc>
          <w:tcPr>
            <w:tcW w:type="dxa" w:w="259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212.176646</w:t>
            </w:r>
          </w:p>
        </w:tc>
        <w:tc>
          <w:tcPr>
            <w:tcW w:type="dxa" w:w="280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41.919336577</w:t>
            </w:r>
          </w:p>
        </w:tc>
        <w:tc>
          <w:tcPr>
            <w:tcW w:type="dxa" w:w="216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112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52" w:lineRule="auto"/>
              <w:jc w:val="left"/>
            </w:pPr>
            <w:r>
              <w:rPr>
                <w:b w:val="0"/>
                <w:sz w:val="21"/>
              </w:rPr>
              <w:t>S4 case1</w:t>
            </w:r>
          </w:p>
        </w:tc>
        <w:tc>
          <w:tcPr>
            <w:tcW w:type="dxa" w:w="259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448.144222</w:t>
            </w:r>
          </w:p>
        </w:tc>
        <w:tc>
          <w:tcPr>
            <w:tcW w:type="dxa" w:w="280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25.824167230</w:t>
            </w:r>
          </w:p>
        </w:tc>
        <w:tc>
          <w:tcPr>
            <w:tcW w:type="dxa" w:w="216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176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52" w:lineRule="auto"/>
              <w:jc w:val="left"/>
            </w:pPr>
            <w:r>
              <w:rPr>
                <w:b w:val="0"/>
                <w:sz w:val="21"/>
              </w:rPr>
              <w:t>S4 case2</w:t>
            </w:r>
          </w:p>
        </w:tc>
        <w:tc>
          <w:tcPr>
            <w:tcW w:type="dxa" w:w="259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332.154208</w:t>
            </w:r>
          </w:p>
        </w:tc>
        <w:tc>
          <w:tcPr>
            <w:tcW w:type="dxa" w:w="280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33.061946276</w:t>
            </w:r>
          </w:p>
        </w:tc>
        <w:tc>
          <w:tcPr>
            <w:tcW w:type="dxa" w:w="216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176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52" w:lineRule="auto"/>
              <w:jc w:val="left"/>
            </w:pPr>
            <w:r>
              <w:rPr>
                <w:b w:val="0"/>
                <w:sz w:val="21"/>
              </w:rPr>
              <w:t>S4 case3</w:t>
            </w:r>
          </w:p>
        </w:tc>
        <w:tc>
          <w:tcPr>
            <w:tcW w:type="dxa" w:w="259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332.648934</w:t>
            </w:r>
          </w:p>
        </w:tc>
        <w:tc>
          <w:tcPr>
            <w:tcW w:type="dxa" w:w="280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26.967640230</w:t>
            </w:r>
          </w:p>
        </w:tc>
        <w:tc>
          <w:tcPr>
            <w:tcW w:type="dxa" w:w="216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176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52" w:lineRule="auto"/>
              <w:jc w:val="left"/>
            </w:pPr>
            <w:r>
              <w:rPr>
                <w:b w:val="0"/>
                <w:sz w:val="21"/>
              </w:rPr>
              <w:t>S4 case4</w:t>
            </w:r>
          </w:p>
        </w:tc>
        <w:tc>
          <w:tcPr>
            <w:tcW w:type="dxa" w:w="259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336.406921</w:t>
            </w:r>
          </w:p>
        </w:tc>
        <w:tc>
          <w:tcPr>
            <w:tcW w:type="dxa" w:w="280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37.089830272</w:t>
            </w:r>
          </w:p>
        </w:tc>
        <w:tc>
          <w:tcPr>
            <w:tcW w:type="dxa" w:w="216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176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52" w:lineRule="auto"/>
              <w:jc w:val="left"/>
            </w:pPr>
            <w:r>
              <w:rPr>
                <w:b w:val="0"/>
                <w:sz w:val="21"/>
              </w:rPr>
              <w:t>S5 case1</w:t>
            </w:r>
          </w:p>
        </w:tc>
        <w:tc>
          <w:tcPr>
            <w:tcW w:type="dxa" w:w="259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364.827254</w:t>
            </w:r>
          </w:p>
        </w:tc>
        <w:tc>
          <w:tcPr>
            <w:tcW w:type="dxa" w:w="280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41.806356623</w:t>
            </w:r>
          </w:p>
        </w:tc>
        <w:tc>
          <w:tcPr>
            <w:tcW w:type="dxa" w:w="216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192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52" w:lineRule="auto"/>
              <w:jc w:val="left"/>
            </w:pPr>
            <w:r>
              <w:rPr>
                <w:b w:val="0"/>
                <w:sz w:val="21"/>
              </w:rPr>
              <w:t>S5 case2</w:t>
            </w:r>
          </w:p>
        </w:tc>
        <w:tc>
          <w:tcPr>
            <w:tcW w:type="dxa" w:w="259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363.067425</w:t>
            </w:r>
          </w:p>
        </w:tc>
        <w:tc>
          <w:tcPr>
            <w:tcW w:type="dxa" w:w="280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37.366399441</w:t>
            </w:r>
          </w:p>
        </w:tc>
        <w:tc>
          <w:tcPr>
            <w:tcW w:type="dxa" w:w="216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192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52" w:lineRule="auto"/>
              <w:jc w:val="left"/>
            </w:pPr>
            <w:r>
              <w:rPr>
                <w:b w:val="0"/>
                <w:sz w:val="21"/>
              </w:rPr>
              <w:t>S5 case3</w:t>
            </w:r>
          </w:p>
        </w:tc>
        <w:tc>
          <w:tcPr>
            <w:tcW w:type="dxa" w:w="259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361.808297</w:t>
            </w:r>
          </w:p>
        </w:tc>
        <w:tc>
          <w:tcPr>
            <w:tcW w:type="dxa" w:w="280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46.487538205</w:t>
            </w:r>
          </w:p>
        </w:tc>
        <w:tc>
          <w:tcPr>
            <w:tcW w:type="dxa" w:w="216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192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52" w:lineRule="auto"/>
              <w:jc w:val="left"/>
            </w:pPr>
            <w:r>
              <w:rPr>
                <w:b w:val="0"/>
                <w:sz w:val="21"/>
              </w:rPr>
              <w:t>S5 case4</w:t>
            </w:r>
          </w:p>
        </w:tc>
        <w:tc>
          <w:tcPr>
            <w:tcW w:type="dxa" w:w="259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364.193205</w:t>
            </w:r>
          </w:p>
        </w:tc>
        <w:tc>
          <w:tcPr>
            <w:tcW w:type="dxa" w:w="280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46.974490111</w:t>
            </w:r>
          </w:p>
        </w:tc>
        <w:tc>
          <w:tcPr>
            <w:tcW w:type="dxa" w:w="216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192</w:t>
            </w:r>
          </w:p>
        </w:tc>
      </w:tr>
    </w:tbl>
    <w:p>
      <w:pPr>
        <w:spacing w:after="0"/>
      </w:pPr>
    </w:p>
    <w:p>
      <w:r>
        <w:t>平均值对20项PSNR等权求算术平均，不按帧数加权。最低项为unitree_z1_dual_arm_stackbox_v2/case1，25.82416722996686 dB。</w:t>
      </w:r>
    </w:p>
    <w:p>
      <w:pPr>
        <w:pStyle w:val="Heading1"/>
        <w:pageBreakBefore/>
      </w:pPr>
      <w:r>
        <w:t>4 WMA异常记录与证据复检</w:t>
      </w:r>
    </w:p>
    <w:p>
      <w:r>
        <w:t>本轮完成20项推理并持久化精确计时后，主程序调用ffprobe时因PATH未包含该工具而退出1。随后finish_last20_audit.py使用绝对ffprobe路径，在CPU上补充官方评分与视频规格核验，summary状态pass、audit_exit_code为0。没有重新生成视频，没有推理OOM。</w:t>
      </w:r>
    </w:p>
    <w:p>
      <w:r>
        <w:t>原exit_code=1、process_time、failure_checkpoint以及补充核验日志均原样保存。本报告不将原程序描述为首次无异常退出0，也不改写其退出码。边缘项本轮视频哈希与早期稳定性探针不同，不能宣称跨实验字节完全一致。</w:t>
      </w:r>
    </w:p>
    <w:p>
      <w:pPr>
        <w:pStyle w:val="Heading1"/>
      </w:pPr>
      <w:r>
        <w:t>2026年10月6日离线复检</w:t>
      </w:r>
    </w:p>
    <w:p>
      <w:r>
        <w:t>重新检查归档SHA256、20项完整性、args与manifest的采样步数和交互轮数、FP16设置、官方PSNR记录、ffprobe记录及视频哈希；重算20项平均值、最低值、统一AMP总时与精确速度。evidence_errors为空，原始输入缺项为0。本次核对已保存的官方评分与规格记录，不声称在本地重新完成GPU推理或逐视频重新评分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60"/>
        <w:gridCol w:w="3360"/>
        <w:gridCol w:w="3360"/>
      </w:tblGrid>
      <w:tr>
        <w:trPr>
          <w:cantSplit/>
          <w:tblHeader/>
        </w:trPr>
        <w:tc>
          <w:tcPr>
            <w:tcW w:type="dxa" w:w="475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7EEF4"/>
          </w:tcPr>
          <w:p>
            <w:pPr>
              <w:spacing w:after="0" w:line="252" w:lineRule="auto"/>
              <w:jc w:val="left"/>
            </w:pPr>
            <w:r>
              <w:rPr>
                <w:b/>
                <w:sz w:val="21"/>
              </w:rPr>
              <w:t>证据归档</w:t>
            </w:r>
          </w:p>
        </w:tc>
        <w:tc>
          <w:tcPr>
            <w:tcW w:type="dxa" w:w="388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7EEF4"/>
          </w:tcPr>
          <w:p>
            <w:pPr>
              <w:spacing w:after="0" w:line="252" w:lineRule="auto"/>
              <w:jc w:val="center"/>
            </w:pPr>
            <w:r>
              <w:rPr>
                <w:b/>
                <w:sz w:val="21"/>
              </w:rPr>
              <w:t>内容</w:t>
            </w:r>
          </w:p>
        </w:tc>
        <w:tc>
          <w:tcPr>
            <w:tcW w:type="dxa" w:w="144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7EEF4"/>
          </w:tcPr>
          <w:p>
            <w:pPr>
              <w:spacing w:after="0" w:line="252" w:lineRule="auto"/>
              <w:jc w:val="center"/>
            </w:pPr>
            <w:r>
              <w:rPr>
                <w:b/>
                <w:sz w:val="21"/>
              </w:rPr>
              <w:t>核验</w:t>
            </w:r>
          </w:p>
        </w:tc>
      </w:tr>
      <w:tr>
        <w:trPr>
          <w:cantSplit/>
        </w:trPr>
        <w:tc>
          <w:tcPr>
            <w:tcW w:type="dxa" w:w="475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52" w:lineRule="auto"/>
              <w:jc w:val="left"/>
            </w:pPr>
            <w:r>
              <w:rPr>
                <w:b w:val="0"/>
                <w:sz w:val="21"/>
              </w:rPr>
              <w:t>WMA_v4_final_evidence_20261005.tar.gz</w:t>
            </w:r>
          </w:p>
        </w:tc>
        <w:tc>
          <w:tcPr>
            <w:tcW w:type="dxa" w:w="388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20新视频 参数 计时 评分 源码 日志</w:t>
            </w:r>
          </w:p>
        </w:tc>
        <w:tc>
          <w:tcPr>
            <w:tcW w:type="dxa" w:w="144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SHA256一致</w:t>
            </w:r>
          </w:p>
        </w:tc>
      </w:tr>
      <w:tr>
        <w:trPr>
          <w:cantSplit/>
        </w:trPr>
        <w:tc>
          <w:tcPr>
            <w:tcW w:type="dxa" w:w="475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52" w:lineRule="auto"/>
              <w:jc w:val="left"/>
            </w:pPr>
            <w:r>
              <w:rPr>
                <w:b w:val="0"/>
                <w:sz w:val="21"/>
              </w:rPr>
              <w:t>WMA_final_evidence_020_2026-10-04.tar.gz</w:t>
            </w:r>
          </w:p>
        </w:tc>
        <w:tc>
          <w:tcPr>
            <w:tcW w:type="dxa" w:w="388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统一AMP 20项基线记录</w:t>
            </w:r>
          </w:p>
        </w:tc>
        <w:tc>
          <w:tcPr>
            <w:tcW w:type="dxa" w:w="144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SHA256一致</w:t>
            </w:r>
          </w:p>
        </w:tc>
      </w:tr>
      <w:tr>
        <w:trPr>
          <w:cantSplit/>
        </w:trPr>
        <w:tc>
          <w:tcPr>
            <w:tcW w:type="dxa" w:w="475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52" w:lineRule="auto"/>
              <w:jc w:val="left"/>
            </w:pPr>
            <w:r>
              <w:rPr>
                <w:b w:val="0"/>
                <w:sz w:val="21"/>
              </w:rPr>
              <w:t>WMA_official_20case_inputs.tar.gz</w:t>
            </w:r>
          </w:p>
        </w:tc>
        <w:tc>
          <w:tcPr>
            <w:tcW w:type="dxa" w:w="388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20 GT视频 20提示PNG 20 H5</w:t>
            </w:r>
          </w:p>
        </w:tc>
        <w:tc>
          <w:tcPr>
            <w:tcW w:type="dxa" w:w="144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SHA256一致</w:t>
            </w:r>
          </w:p>
        </w:tc>
      </w:tr>
    </w:tbl>
    <w:p>
      <w:pPr>
        <w:spacing w:after="0"/>
      </w:pPr>
    </w:p>
    <w:p>
      <w:r>
        <w:t>正式v4包SHA256：78f52be9e9c01c0c76489bb0517bfbbd8b56804030649a067334c3967e5fa26b。其他归档哈希见正式目录SHA256SUMS.txt。</w:t>
      </w:r>
    </w:p>
    <w:p>
      <w:r>
        <w:t>大型权重不在本地结果包中。恢复说明保存官方固定提交88e73c19d72bead94da3d7fc2433ade6d468167c、文件大小16719237688 bytes及SHA256 f5c5202b41bbda777e2a861104a8886e9c2b0cd981d496a8bffaa67e0149c7ef。服务器权重与官方固定版本已匹配；这是可恢复来源，不是完整离线模型备份。</w:t>
      </w:r>
    </w:p>
    <w:p>
      <w:pPr>
        <w:pStyle w:val="Heading1"/>
        <w:pageBreakBefore/>
      </w:pPr>
      <w:r>
        <w:t>5 QiboTN官方CPU路径与大规模负载</w:t>
      </w:r>
    </w:p>
    <w:p>
      <w:r>
        <w:t>源码来自qiboteam/qibotn官方仓库，保留上游提交7ebbd4d4a00f37b898c552922953591b78b0af7e及fork历史。正式实验通过QiboTN Quimb NumPy CPU执行，不使用qibojit、cuQuantum、GPU或外部态矢量模拟计时。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040"/>
        <w:gridCol w:w="5040"/>
      </w:tblGrid>
      <w:tr>
        <w:trPr>
          <w:cantSplit/>
          <w:tblHeader/>
        </w:trPr>
        <w:tc>
          <w:tcPr>
            <w:tcW w:type="dxa" w:w="230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7EEF4"/>
          </w:tcPr>
          <w:p>
            <w:pPr>
              <w:spacing w:after="0" w:line="252" w:lineRule="auto"/>
              <w:jc w:val="left"/>
            </w:pPr>
            <w:r>
              <w:rPr>
                <w:b/>
                <w:sz w:val="21"/>
              </w:rPr>
              <w:t>控制项</w:t>
            </w:r>
          </w:p>
        </w:tc>
        <w:tc>
          <w:tcPr>
            <w:tcW w:type="dxa" w:w="777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7EEF4"/>
          </w:tcPr>
          <w:p>
            <w:pPr>
              <w:spacing w:after="0" w:line="252" w:lineRule="auto"/>
              <w:jc w:val="center"/>
            </w:pPr>
            <w:r>
              <w:rPr>
                <w:b/>
                <w:sz w:val="21"/>
              </w:rPr>
              <w:t>基线与优化共同设置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52" w:lineRule="auto"/>
              <w:jc w:val="left"/>
            </w:pPr>
            <w:r>
              <w:rPr>
                <w:b w:val="0"/>
                <w:sz w:val="21"/>
              </w:rPr>
              <w:t>线路</w:t>
            </w:r>
          </w:p>
        </w:tc>
        <w:tc>
          <w:tcPr>
            <w:tcW w:type="dxa" w:w="777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30 qubits  112构造层  9998 gates  depth 449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52" w:lineRule="auto"/>
              <w:jc w:val="left"/>
            </w:pPr>
            <w:r>
              <w:rPr>
                <w:b w:val="0"/>
                <w:sz w:val="21"/>
              </w:rPr>
              <w:t>输入一致性</w:t>
            </w:r>
          </w:p>
        </w:tc>
        <w:tc>
          <w:tcPr>
            <w:tcW w:type="dxa" w:w="777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同QASM SHA256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52" w:lineRule="auto"/>
              <w:jc w:val="left"/>
            </w:pPr>
            <w:r>
              <w:rPr>
                <w:b w:val="0"/>
                <w:sz w:val="21"/>
              </w:rPr>
              <w:t>数值设置</w:t>
            </w:r>
          </w:p>
        </w:tc>
        <w:tc>
          <w:tcPr>
            <w:tcW w:type="dxa" w:w="777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SVD cutoff 1e-12  max_bond 128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52" w:lineRule="auto"/>
              <w:jc w:val="left"/>
            </w:pPr>
            <w:r>
              <w:rPr>
                <w:b w:val="0"/>
                <w:sz w:val="21"/>
              </w:rPr>
              <w:t>收缩与输出</w:t>
            </w:r>
          </w:p>
        </w:tc>
        <w:tc>
          <w:tcPr>
            <w:tcW w:type="dxa" w:w="777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auto-hq  四项ZZ期望值平均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52" w:lineRule="auto"/>
              <w:jc w:val="left"/>
            </w:pPr>
            <w:r>
              <w:rPr>
                <w:b w:val="0"/>
                <w:sz w:val="21"/>
              </w:rPr>
              <w:t>软件</w:t>
            </w:r>
          </w:p>
        </w:tc>
        <w:tc>
          <w:tcPr>
            <w:tcW w:type="dxa" w:w="777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Python 3.11.16  Qibo 0.3.2  QiboTN 0.0.7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52" w:lineRule="auto"/>
              <w:jc w:val="left"/>
            </w:pPr>
            <w:r>
              <w:rPr>
                <w:b w:val="0"/>
                <w:sz w:val="21"/>
              </w:rPr>
              <w:t>依赖</w:t>
            </w:r>
          </w:p>
        </w:tc>
        <w:tc>
          <w:tcPr>
            <w:tcW w:type="dxa" w:w="777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Quimb 1.13  NumPy 2.2.6  SciPy 1.17.1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52" w:lineRule="auto"/>
              <w:jc w:val="left"/>
            </w:pPr>
            <w:r>
              <w:rPr>
                <w:b w:val="0"/>
                <w:sz w:val="21"/>
              </w:rPr>
              <w:t>本地硬件</w:t>
            </w:r>
          </w:p>
        </w:tc>
        <w:tc>
          <w:tcPr>
            <w:tcW w:type="dxa" w:w="777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14物理核  20逻辑CPU  内存约15.69 GiB</w:t>
            </w:r>
          </w:p>
        </w:tc>
      </w:tr>
    </w:tbl>
    <w:p>
      <w:pPr>
        <w:spacing w:after="0"/>
      </w:pPr>
    </w:p>
    <w:p>
      <w:r>
        <w:t>线路规模符合补充通知中向30 qubits、数千至10000 gates和数百层depth靠拢的要求。9998是实际门数，不写成精确10000；本结果仅覆盖该确定性高压力线路，而非所有30-qubit线路。</w:t>
      </w:r>
    </w:p>
    <w:p>
      <w:pPr>
        <w:pStyle w:val="Heading1"/>
      </w:pPr>
      <w:r>
        <w:t>瓶颈与个人优化</w:t>
      </w:r>
    </w:p>
    <w:p>
      <w:r>
        <w:t>25-qubit线程扫描中，1、2、4、8、16线程单次耗时约为23.69、41.15、53.10、81.95、128.61 s。重复的小中型张量与SVD运算中，较大的线程团队带来显著调度和同步开销，形成此机器上的线程争用瓶颈。</w:t>
      </w:r>
    </w:p>
    <w:p>
      <w:r>
        <w:t>独立新进程在相关环境变量未设置时检测到OpenBLAS默认20线程。优化在导入NumPy与Quimb前固定数学库线程为1，每种配置独立进程启动；保持线路、MPS精度、收缩优化器及输出不变。正式收益仅统计线程控制，不将框架原生MPS相对态矢量的优势记作个人贡献。</w:t>
      </w:r>
    </w:p>
    <w:p>
      <w:r>
        <w:t>同时修复Quimb期望值路径读取contractions_optimizer属性的问题，并增加回归测试。基线与优化均使用相同修复后的路径，该源码修复不单独冒充7.0260×的性能来源。</w:t>
      </w:r>
    </w:p>
    <w:p>
      <w:pPr>
        <w:pStyle w:val="Heading1"/>
        <w:pageBreakBefore/>
      </w:pPr>
      <w:r>
        <w:t>6 QiboTN正式对照与正确性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60"/>
        <w:gridCol w:w="3360"/>
        <w:gridCol w:w="3360"/>
      </w:tblGrid>
      <w:tr>
        <w:trPr>
          <w:cantSplit/>
          <w:tblHeader/>
        </w:trPr>
        <w:tc>
          <w:tcPr>
            <w:tcW w:type="dxa" w:w="288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7EEF4"/>
          </w:tcPr>
          <w:p>
            <w:pPr>
              <w:spacing w:after="0" w:line="252" w:lineRule="auto"/>
              <w:jc w:val="left"/>
            </w:pPr>
            <w:r>
              <w:rPr>
                <w:b/>
                <w:sz w:val="21"/>
              </w:rPr>
              <w:t>指标</w:t>
            </w:r>
          </w:p>
        </w:tc>
        <w:tc>
          <w:tcPr>
            <w:tcW w:type="dxa" w:w="360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7EEF4"/>
          </w:tcPr>
          <w:p>
            <w:pPr>
              <w:spacing w:after="0" w:line="252" w:lineRule="auto"/>
              <w:jc w:val="center"/>
            </w:pPr>
            <w:r>
              <w:rPr>
                <w:b/>
                <w:sz w:val="21"/>
              </w:rPr>
              <w:t>默认20线程</w:t>
            </w:r>
          </w:p>
        </w:tc>
        <w:tc>
          <w:tcPr>
            <w:tcW w:type="dxa" w:w="360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7EEF4"/>
          </w:tcPr>
          <w:p>
            <w:pPr>
              <w:spacing w:after="0" w:line="252" w:lineRule="auto"/>
              <w:jc w:val="center"/>
            </w:pPr>
            <w:r>
              <w:rPr>
                <w:b/>
                <w:sz w:val="21"/>
              </w:rPr>
              <w:t>优化1线程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52" w:lineRule="auto"/>
              <w:jc w:val="left"/>
            </w:pPr>
            <w:r>
              <w:rPr>
                <w:b w:val="0"/>
                <w:sz w:val="21"/>
              </w:rPr>
              <w:t>重复次数</w:t>
            </w:r>
          </w:p>
        </w:tc>
        <w:tc>
          <w:tcPr>
            <w:tcW w:type="dxa" w:w="360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3</w:t>
            </w:r>
          </w:p>
        </w:tc>
        <w:tc>
          <w:tcPr>
            <w:tcW w:type="dxa" w:w="360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3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52" w:lineRule="auto"/>
              <w:jc w:val="left"/>
            </w:pPr>
            <w:r>
              <w:rPr>
                <w:b w:val="0"/>
                <w:sz w:val="21"/>
              </w:rPr>
              <w:t>首次冷启动 s</w:t>
            </w:r>
          </w:p>
        </w:tc>
        <w:tc>
          <w:tcPr>
            <w:tcW w:type="dxa" w:w="360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377.077775</w:t>
            </w:r>
          </w:p>
        </w:tc>
        <w:tc>
          <w:tcPr>
            <w:tcW w:type="dxa" w:w="360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106.149195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52" w:lineRule="auto"/>
              <w:jc w:val="left"/>
            </w:pPr>
            <w:r>
              <w:rPr>
                <w:b w:val="0"/>
                <w:sz w:val="21"/>
              </w:rPr>
              <w:t>后两次稳态均值 s</w:t>
            </w:r>
          </w:p>
        </w:tc>
        <w:tc>
          <w:tcPr>
            <w:tcW w:type="dxa" w:w="360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404.042775799986</w:t>
            </w:r>
          </w:p>
        </w:tc>
        <w:tc>
          <w:tcPr>
            <w:tcW w:type="dxa" w:w="360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57.5064834500663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52" w:lineRule="auto"/>
              <w:jc w:val="left"/>
            </w:pPr>
            <w:r>
              <w:rPr>
                <w:b w:val="0"/>
                <w:sz w:val="21"/>
              </w:rPr>
              <w:t>稳态标准差 s</w:t>
            </w:r>
          </w:p>
        </w:tc>
        <w:tc>
          <w:tcPr>
            <w:tcW w:type="dxa" w:w="360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1.498335</w:t>
            </w:r>
          </w:p>
        </w:tc>
        <w:tc>
          <w:tcPr>
            <w:tcW w:type="dxa" w:w="360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0.435740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52" w:lineRule="auto"/>
              <w:jc w:val="left"/>
            </w:pPr>
            <w:r>
              <w:rPr>
                <w:b w:val="0"/>
                <w:sz w:val="21"/>
              </w:rPr>
              <w:t>峰值RSS MiB</w:t>
            </w:r>
          </w:p>
        </w:tc>
        <w:tc>
          <w:tcPr>
            <w:tcW w:type="dxa" w:w="360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292.511719</w:t>
            </w:r>
          </w:p>
        </w:tc>
        <w:tc>
          <w:tcPr>
            <w:tcW w:type="dxa" w:w="360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267.363281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52" w:lineRule="auto"/>
              <w:jc w:val="left"/>
            </w:pPr>
            <w:r>
              <w:rPr>
                <w:b w:val="0"/>
                <w:sz w:val="21"/>
              </w:rPr>
              <w:t>四项ZZ平均</w:t>
            </w:r>
          </w:p>
        </w:tc>
        <w:tc>
          <w:tcPr>
            <w:tcW w:type="dxa" w:w="360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3.6185261198×10⁻¹¹</w:t>
            </w:r>
          </w:p>
        </w:tc>
        <w:tc>
          <w:tcPr>
            <w:tcW w:type="dxa" w:w="360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3.6184682273×10⁻¹¹</w:t>
            </w:r>
          </w:p>
        </w:tc>
      </w:tr>
    </w:tbl>
    <w:p>
      <w:pPr>
        <w:spacing w:after="0"/>
      </w:pPr>
    </w:p>
    <w:p>
      <w:r>
        <w:t>正式稳态加速比为404.042775799986除以57.5064834500663，即7.026038657898845×。第一次执行单列为冷启动，后两次算术平均作为稳态指标；这是稳态口径，不是包含环境安装与Python启动的全流程加速。</w:t>
      </w:r>
    </w:p>
    <w:p>
      <w:r>
        <w:t>两组QASM SHA256均为1ea5c95ebdcc651a1291dadfb7a193009377732bba8d03a01ac37ef7b82b37d4。正式输出绝对差5.789×10⁻¹⁶，小于1×10⁻¹²。两组保守MPS数值设置一致；不将近零标量误差推导为完整态矢量绝对精确。</w:t>
      </w:r>
    </w:p>
    <w:p>
      <w:pPr>
        <w:pStyle w:val="Heading1"/>
      </w:pPr>
      <w:r>
        <w:t>未采用的精度候选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60"/>
        <w:gridCol w:w="3360"/>
        <w:gridCol w:w="3360"/>
      </w:tblGrid>
      <w:tr>
        <w:trPr>
          <w:cantSplit/>
          <w:tblHeader/>
        </w:trPr>
        <w:tc>
          <w:tcPr>
            <w:tcW w:type="dxa" w:w="374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7EEF4"/>
          </w:tcPr>
          <w:p>
            <w:pPr>
              <w:spacing w:after="0" w:line="252" w:lineRule="auto"/>
              <w:jc w:val="left"/>
            </w:pPr>
            <w:r>
              <w:rPr>
                <w:b/>
                <w:sz w:val="21"/>
              </w:rPr>
              <w:t>截断候选</w:t>
            </w:r>
          </w:p>
        </w:tc>
        <w:tc>
          <w:tcPr>
            <w:tcW w:type="dxa" w:w="388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7EEF4"/>
          </w:tcPr>
          <w:p>
            <w:pPr>
              <w:spacing w:after="0" w:line="252" w:lineRule="auto"/>
              <w:jc w:val="center"/>
            </w:pPr>
            <w:r>
              <w:rPr>
                <w:b/>
                <w:sz w:val="21"/>
              </w:rPr>
              <w:t>对保守基线的态保真度</w:t>
            </w:r>
          </w:p>
        </w:tc>
        <w:tc>
          <w:tcPr>
            <w:tcW w:type="dxa" w:w="244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7EEF4"/>
          </w:tcPr>
          <w:p>
            <w:pPr>
              <w:spacing w:after="0" w:line="252" w:lineRule="auto"/>
              <w:jc w:val="center"/>
            </w:pPr>
            <w:r>
              <w:rPr>
                <w:b/>
                <w:sz w:val="21"/>
              </w:rPr>
              <w:t>判定</w:t>
            </w:r>
          </w:p>
        </w:tc>
      </w:tr>
      <w:tr>
        <w:trPr>
          <w:cantSplit/>
        </w:trPr>
        <w:tc>
          <w:tcPr>
            <w:tcW w:type="dxa" w:w="374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52" w:lineRule="auto"/>
              <w:jc w:val="left"/>
            </w:pPr>
            <w:r>
              <w:rPr>
                <w:b w:val="0"/>
                <w:sz w:val="21"/>
              </w:rPr>
              <w:t>cutoff 1e-10  bond 128</w:t>
            </w:r>
          </w:p>
        </w:tc>
        <w:tc>
          <w:tcPr>
            <w:tcW w:type="dxa" w:w="388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0.451171</w:t>
            </w:r>
          </w:p>
        </w:tc>
        <w:tc>
          <w:tcPr>
            <w:tcW w:type="dxa" w:w="244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拒绝</w:t>
            </w:r>
          </w:p>
        </w:tc>
      </w:tr>
      <w:tr>
        <w:trPr>
          <w:cantSplit/>
        </w:trPr>
        <w:tc>
          <w:tcPr>
            <w:tcW w:type="dxa" w:w="374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52" w:lineRule="auto"/>
              <w:jc w:val="left"/>
            </w:pPr>
            <w:r>
              <w:rPr>
                <w:b w:val="0"/>
                <w:sz w:val="21"/>
              </w:rPr>
              <w:t>cutoff 1e-8  bond 128</w:t>
            </w:r>
          </w:p>
        </w:tc>
        <w:tc>
          <w:tcPr>
            <w:tcW w:type="dxa" w:w="388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0.361843</w:t>
            </w:r>
          </w:p>
        </w:tc>
        <w:tc>
          <w:tcPr>
            <w:tcW w:type="dxa" w:w="244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拒绝</w:t>
            </w:r>
          </w:p>
        </w:tc>
      </w:tr>
      <w:tr>
        <w:trPr>
          <w:cantSplit/>
        </w:trPr>
        <w:tc>
          <w:tcPr>
            <w:tcW w:type="dxa" w:w="374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52" w:lineRule="auto"/>
              <w:jc w:val="left"/>
            </w:pPr>
            <w:r>
              <w:rPr>
                <w:b w:val="0"/>
                <w:sz w:val="21"/>
              </w:rPr>
              <w:t>cutoff 1e-7  bond 128</w:t>
            </w:r>
          </w:p>
        </w:tc>
        <w:tc>
          <w:tcPr>
            <w:tcW w:type="dxa" w:w="388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0.280895</w:t>
            </w:r>
          </w:p>
        </w:tc>
        <w:tc>
          <w:tcPr>
            <w:tcW w:type="dxa" w:w="244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拒绝</w:t>
            </w:r>
          </w:p>
        </w:tc>
      </w:tr>
    </w:tbl>
    <w:p>
      <w:pPr>
        <w:spacing w:after="0"/>
      </w:pPr>
    </w:p>
    <w:p>
      <w:r>
        <w:t>以上候选虽可能在近零ZZ标量上显示较小差异，但态保真度明显低于0.999，不能计入有效性能优化。正式7.0260×未放宽截断。16线程对1线程的5.6447×仅为扫描对照，正式基线为实际默认20线程。</w:t>
      </w:r>
    </w:p>
    <w:p>
      <w:r>
        <w:t>2026年10月6日再次运行verify_evidence.py，核对30-qubit规模、CSV重复数、同QASM、固定数值设置和派生指标，结果PASS；官方fork的Quimb CPU后端回归测试5/5通过。原始环境记录的历史profile标签不替代CSV中的实际30:112负载，原始记录保留不改写。</w:t>
      </w:r>
    </w:p>
    <w:p>
      <w:pPr>
        <w:pStyle w:val="Heading1"/>
        <w:pageBreakBefore/>
      </w:pPr>
      <w:r>
        <w:t>7 复现材料与交付状态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040"/>
        <w:gridCol w:w="5040"/>
      </w:tblGrid>
      <w:tr>
        <w:trPr>
          <w:cantSplit/>
          <w:tblHeader/>
        </w:trPr>
        <w:tc>
          <w:tcPr>
            <w:tcW w:type="dxa" w:w="648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7EEF4"/>
          </w:tcPr>
          <w:p>
            <w:pPr>
              <w:spacing w:after="0" w:line="252" w:lineRule="auto"/>
              <w:jc w:val="left"/>
            </w:pPr>
            <w:r>
              <w:rPr>
                <w:b/>
                <w:sz w:val="21"/>
              </w:rPr>
              <w:t>检查项目</w:t>
            </w:r>
          </w:p>
        </w:tc>
        <w:tc>
          <w:tcPr>
            <w:tcW w:type="dxa" w:w="360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7EEF4"/>
          </w:tcPr>
          <w:p>
            <w:pPr>
              <w:spacing w:after="0" w:line="252" w:lineRule="auto"/>
              <w:jc w:val="center"/>
            </w:pPr>
            <w:r>
              <w:rPr>
                <w:b/>
                <w:sz w:val="21"/>
              </w:rPr>
              <w:t>复检状态</w:t>
            </w:r>
          </w:p>
        </w:tc>
      </w:tr>
      <w:tr>
        <w:trPr>
          <w:cantSplit/>
        </w:trPr>
        <w:tc>
          <w:tcPr>
            <w:tcW w:type="dxa" w:w="648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52" w:lineRule="auto"/>
              <w:jc w:val="left"/>
            </w:pPr>
            <w:r>
              <w:rPr>
                <w:b w:val="0"/>
                <w:sz w:val="21"/>
              </w:rPr>
              <w:t>WMA完整20项任务 质量与输出</w:t>
            </w:r>
          </w:p>
        </w:tc>
        <w:tc>
          <w:tcPr>
            <w:tcW w:type="dxa" w:w="360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已核验</w:t>
            </w:r>
          </w:p>
        </w:tc>
      </w:tr>
      <w:tr>
        <w:trPr>
          <w:cantSplit/>
        </w:trPr>
        <w:tc>
          <w:tcPr>
            <w:tcW w:type="dxa" w:w="648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52" w:lineRule="auto"/>
              <w:jc w:val="left"/>
            </w:pPr>
            <w:r>
              <w:rPr>
                <w:b w:val="0"/>
                <w:sz w:val="21"/>
              </w:rPr>
              <w:t>WMA同AMP基线精确总时间对照</w:t>
            </w:r>
          </w:p>
        </w:tc>
        <w:tc>
          <w:tcPr>
            <w:tcW w:type="dxa" w:w="360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已核验</w:t>
            </w:r>
          </w:p>
        </w:tc>
      </w:tr>
      <w:tr>
        <w:trPr>
          <w:cantSplit/>
        </w:trPr>
        <w:tc>
          <w:tcPr>
            <w:tcW w:type="dxa" w:w="648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52" w:lineRule="auto"/>
              <w:jc w:val="left"/>
            </w:pPr>
            <w:r>
              <w:rPr>
                <w:b w:val="0"/>
                <w:sz w:val="21"/>
              </w:rPr>
              <w:t>不减少采样 轮数 输出 不低于FP16</w:t>
            </w:r>
          </w:p>
        </w:tc>
        <w:tc>
          <w:tcPr>
            <w:tcW w:type="dxa" w:w="360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已核验</w:t>
            </w:r>
          </w:p>
        </w:tc>
      </w:tr>
      <w:tr>
        <w:trPr>
          <w:cantSplit/>
        </w:trPr>
        <w:tc>
          <w:tcPr>
            <w:tcW w:type="dxa" w:w="648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52" w:lineRule="auto"/>
              <w:jc w:val="left"/>
            </w:pPr>
            <w:r>
              <w:rPr>
                <w:b w:val="0"/>
                <w:sz w:val="21"/>
              </w:rPr>
              <w:t>QiboTN官方CPU源码及性能闭环</w:t>
            </w:r>
          </w:p>
        </w:tc>
        <w:tc>
          <w:tcPr>
            <w:tcW w:type="dxa" w:w="360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已核验</w:t>
            </w:r>
          </w:p>
        </w:tc>
      </w:tr>
      <w:tr>
        <w:trPr>
          <w:cantSplit/>
        </w:trPr>
        <w:tc>
          <w:tcPr>
            <w:tcW w:type="dxa" w:w="648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52" w:lineRule="auto"/>
              <w:jc w:val="left"/>
            </w:pPr>
            <w:r>
              <w:rPr>
                <w:b w:val="0"/>
                <w:sz w:val="21"/>
              </w:rPr>
              <w:t>QiboTN大规模压力和正确性记录</w:t>
            </w:r>
          </w:p>
        </w:tc>
        <w:tc>
          <w:tcPr>
            <w:tcW w:type="dxa" w:w="360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已核验</w:t>
            </w:r>
          </w:p>
        </w:tc>
      </w:tr>
      <w:tr>
        <w:trPr>
          <w:cantSplit/>
        </w:trPr>
        <w:tc>
          <w:tcPr>
            <w:tcW w:type="dxa" w:w="648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52" w:lineRule="auto"/>
              <w:jc w:val="left"/>
            </w:pPr>
            <w:r>
              <w:rPr>
                <w:b w:val="0"/>
                <w:sz w:val="21"/>
              </w:rPr>
              <w:t>正式报告 原始记录 源码与哈希</w:t>
            </w:r>
          </w:p>
        </w:tc>
        <w:tc>
          <w:tcPr>
            <w:tcW w:type="dxa" w:w="360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本地齐备</w:t>
            </w:r>
          </w:p>
        </w:tc>
      </w:tr>
      <w:tr>
        <w:trPr>
          <w:cantSplit/>
        </w:trPr>
        <w:tc>
          <w:tcPr>
            <w:tcW w:type="dxa" w:w="648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52" w:lineRule="auto"/>
              <w:jc w:val="left"/>
            </w:pPr>
            <w:r>
              <w:rPr>
                <w:b w:val="0"/>
                <w:sz w:val="21"/>
              </w:rPr>
              <w:t>实际发送与接收回执</w:t>
            </w:r>
          </w:p>
        </w:tc>
        <w:tc>
          <w:tcPr>
            <w:tcW w:type="dxa" w:w="360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1"/>
              </w:rPr>
              <w:t>尚未确认</w:t>
            </w:r>
          </w:p>
        </w:tc>
      </w:tr>
    </w:tbl>
    <w:p>
      <w:pPr>
        <w:spacing w:after="0"/>
      </w:pPr>
    </w:p>
    <w:p>
      <w:r>
        <w:t>WMA正式目录：02_大题/WMA/official_amp20_v4_final。QiboTN正式目录：05_大题/QiboTN/official_cpu_30q_final。两题要求逐条验收矩阵和SHA256清单位于00_提交说明。原七题综合报告保留，本报告专门展开这两题最终数据及异常。</w:t>
      </w:r>
    </w:p>
    <w:p>
      <w:pPr>
        <w:pStyle w:val="Heading1"/>
      </w:pPr>
      <w:r>
        <w:t>复现入口</w:t>
      </w:r>
    </w:p>
    <w:p>
      <w:r>
        <w:t>WMA：按权重恢复说明准备固定版本权重，恢复20项输入和manifest；运行run_clean_20case.py --tag &lt;新的输出目录名&gt; --isolated-stable-edge，再以明确的ffprobe绝对路径完成评分和规格核验。复现应使用新目录，保留原始证据。</w:t>
      </w:r>
    </w:p>
    <w:p>
      <w:r>
        <w:t>QiboTN：按benchmarks/asc_large_cpu/README.md安装固定环境，使用benchmark.py及thread_sweep.py的正式命令，保持30:112、cutoff 1e-12、max_bond 128及固定线路。快速离线核对命令为python benchmarks/asc_large_cpu/verify_evidence.py。</w:t>
      </w:r>
    </w:p>
    <w:p>
      <w:pPr>
        <w:pStyle w:val="Heading1"/>
      </w:pPr>
      <w:r>
        <w:t>源码与要求来源</w:t>
      </w:r>
    </w:p>
    <w:p>
      <w:r>
        <w:t>官方QiboTN：https://github.com/qiboteam/qibotn。正式fork：https://github.com/yitengsun10-coder/qibotn。两题提交仓库：https://github.com/yitengsun10-coder/ASC-WMA-SunYiteng 与 https://github.com/yitengsun10-coder/ASC-QiboTN-SunYiteng。</w:t>
      </w:r>
    </w:p>
    <w:p>
      <w:r>
        <w:t>要求依据为Qibotn.pdf四页原题及选拔群补充通知。WMA按每Case PSNR≥25 dB、同统一AMP总推理降低≥20%且加速≥1.25×验收；QiboTN按官方CPU路径、真实高压力规模和保持精度的性能闭环验收。</w:t>
      </w:r>
    </w:p>
    <w:p>
      <w:r>
        <w:t>两题已知实验要求与本地材料检查通过。报告和仓库同步不等于老师已经收到或审核通过；正式发送后还应保存接收凭证。材料包不含大型模型权重，只提供可验证恢复来源。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76" w:lineRule="auto"/>
    </w:pPr>
    <w:rPr>
      <w:rFonts w:ascii="Calibri" w:hAnsi="Calibri" w:eastAsia="宋体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40" w:line="276" w:lineRule="auto"/>
      <w:outlineLvl w:val="0"/>
    </w:pPr>
    <w:rPr>
      <w:rFonts w:asciiTheme="majorHAnsi" w:eastAsiaTheme="majorEastAsia" w:hAnsiTheme="majorHAnsi" w:cstheme="majorBidi" w:ascii="Calibri" w:hAnsi="Calibri" w:eastAsia="宋体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 w:line="276" w:lineRule="auto"/>
      <w:outlineLvl w:val="1"/>
    </w:pPr>
    <w:rPr>
      <w:rFonts w:asciiTheme="majorHAnsi" w:eastAsiaTheme="majorEastAsia" w:hAnsiTheme="majorHAnsi" w:cstheme="majorBidi" w:ascii="Calibri" w:hAnsi="Calibri" w:eastAsia="宋体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76" w:lineRule="auto"/>
      <w:contextualSpacing/>
    </w:pPr>
    <w:rPr>
      <w:rFonts w:asciiTheme="majorHAnsi" w:eastAsiaTheme="majorEastAsia" w:hAnsiTheme="majorHAnsi" w:cstheme="majorBidi" w:ascii="Calibri" w:hAnsi="Calibri" w:eastAsia="宋体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40" w:line="276" w:lineRule="auto"/>
    </w:pPr>
    <w:rPr>
      <w:rFonts w:asciiTheme="majorHAnsi" w:eastAsiaTheme="majorEastAsia" w:hAnsiTheme="majorHAnsi" w:cstheme="majorBidi" w:ascii="Calibri" w:hAnsi="Calibri" w:eastAsia="宋体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WMA与QiboTN最终实验报告</dc:title>
  <dc:subject/>
  <dc:creator>孙逸腾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