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一、项目架构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1986280"/>
            <wp:effectExtent l="0" t="0" r="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8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为了解决庞大的一整块后端服务带来的变更与扩展方面的限制，出现了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"https://link.zhihu.com/?target=http://www.ayqy.net/blog/%e5%be%ae%e6%9c%8d%e5%8a%a1%e6%9e%b6%e6%9e%84%ef%bc%88microservices%ef%bc%89/" \t "https://zhuanlan.zhihu.com/p/_blank"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微服务架构（Microservices）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然而，越来越重的前端工程也面临同样的问题，自然地想到了将微服务思想应用（照搬）到前端，于是有了「微前端（micro-frontends）」的概念：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即，一种由独立交付的多个前端应用组成整体的架构风格。具体的，将前端应用分解成一些更小、更简单的能够独立开发、测试、部署的小块，而在用户看来仍然是内聚的单个产品：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demo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 HYPERLINK "https://demo.microfrontends.com/"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5"/>
          <w:rFonts w:hint="eastAsia" w:cstheme="minorBidi"/>
          <w:kern w:val="2"/>
          <w:sz w:val="21"/>
          <w:szCs w:val="24"/>
          <w:lang w:val="en-US" w:eastAsia="zh-CN" w:bidi="ar-SA"/>
        </w:rPr>
        <w:t>https://demo.microfrontends.com/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2771775" cy="3200400"/>
            <wp:effectExtent l="0" t="0" r="952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父子交互</w:t>
      </w:r>
    </w:p>
    <w:p>
      <w:r>
        <w:drawing>
          <wp:inline distT="0" distB="0" distL="114300" distR="114300">
            <wp:extent cx="5267960" cy="1895475"/>
            <wp:effectExtent l="0" t="0" r="889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子应用引入 </w:t>
      </w:r>
    </w:p>
    <w:p>
      <w:r>
        <w:drawing>
          <wp:inline distT="0" distB="0" distL="114300" distR="114300">
            <wp:extent cx="5267325" cy="2122805"/>
            <wp:effectExtent l="0" t="0" r="9525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子应用渲染初始化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732280"/>
            <wp:effectExtent l="0" t="0" r="317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二、项目目录</w:t>
      </w:r>
    </w:p>
    <w:p/>
    <w:p>
      <w:r>
        <w:drawing>
          <wp:inline distT="0" distB="0" distL="114300" distR="114300">
            <wp:extent cx="4152900" cy="463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 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 图片，字体图标，公共样式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 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 微前端配置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路由配置处理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  父子应用交互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 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   公共方法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1490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添加菜单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414905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公共方法 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432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ElementTable --&gt; 封装表格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list_table:{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cellSpan:false,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hasIndex:false,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hasSelect:false,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header:[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name:"", 表头显示值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key:"",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isDrill:false, 是否钻取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width:150, 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text:false, 钻取显示文本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fixed:false, 左右对其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hidden:false 是否隐藏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sort:false 是否排序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exporthidden:false 导出隐藏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pagination:{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pageIndex:1,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pageRowSize:10,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button:[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id:"",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name:"",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export:false,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option:{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url:"",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params:{},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fileName:""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selectOption:"",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},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VirtualList  虚拟列表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文件夹下 封装一些公共接口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代码规范 （https://github.com/BingKui/javascript-zh）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每个.vue文件不能超过400行，按块分离组件，minix 抽离代码块js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组件命名以双大写开头例ElementTable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Style方法class 名 用  -连接  例.class-fisrt-name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If....else 多种判断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If(val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 {} else if(val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){} else if(val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改写成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option =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:()=&gt;{},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:()=&gt;{},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:()=&gt;{}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Option[val]();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多枚举清空 用配置文件引入格式进行处理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多层处理逻辑写清注释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定义对象使用嵌套模式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10100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页面文件命名禁止使用拼音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省份判断 定制化分为 common（公共） 各省份的 按单独文件夹文件拆分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如子应用建立路由 需在文件夹名上加 地市缩写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086350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各省份配置文件 (公共组件头，子应用api)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31060"/>
            <wp:effectExtent l="0" t="0" r="762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9DEB0"/>
    <w:multiLevelType w:val="singleLevel"/>
    <w:tmpl w:val="86B9DEB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4B18BF"/>
    <w:multiLevelType w:val="singleLevel"/>
    <w:tmpl w:val="494B1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860AB"/>
    <w:rsid w:val="0DCE6281"/>
    <w:rsid w:val="21C05DCF"/>
    <w:rsid w:val="32566E95"/>
    <w:rsid w:val="3D5B42B2"/>
    <w:rsid w:val="6B6746D0"/>
    <w:rsid w:val="729313D1"/>
    <w:rsid w:val="7B6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2021-03-05T08:59:11Z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