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456" w:rsidRDefault="00EB6456">
      <w:r>
        <w:t>2. Experiment Platform</w:t>
      </w:r>
    </w:p>
    <w:p w:rsidR="003B2752" w:rsidRDefault="00EB6456">
      <w:r>
        <w:t>We preformed our experiment on the Amazon EC2 instances, with 6 different kinds of setup. All of them are general purpose – current generation instances, as the difference between them are usually small, making us easier to control the factors and do the comparison between them.</w:t>
      </w:r>
      <w:r w:rsidR="003B2752">
        <w:t xml:space="preserve"> The fact that we only choose 6 kinds of instance to run the benchmarks is because the difference between them are significant enough to show the impact of them on</w:t>
      </w:r>
      <w:r>
        <w:t xml:space="preserve"> </w:t>
      </w:r>
      <w:r w:rsidR="003B2752">
        <w:t xml:space="preserve">the performance of the web server. Besides, the price of AWS instance is also considered, as instance with 40 cores are much more ideal, but much more expensive. Besides, our application is relatively small, which means it might never needs such good server to hold. </w:t>
      </w:r>
    </w:p>
    <w:p w:rsidR="00EB6456" w:rsidRDefault="003B2752">
      <w:r>
        <w:t>H</w:t>
      </w:r>
      <w:r w:rsidR="00EB6456">
        <w:t>ere are the list of all the instances we used:</w:t>
      </w:r>
    </w:p>
    <w:tbl>
      <w:tblPr>
        <w:tblStyle w:val="a4"/>
        <w:tblW w:w="0" w:type="auto"/>
        <w:tblLook w:val="04A0" w:firstRow="1" w:lastRow="0" w:firstColumn="1" w:lastColumn="0" w:noHBand="0" w:noVBand="1"/>
      </w:tblPr>
      <w:tblGrid>
        <w:gridCol w:w="1870"/>
        <w:gridCol w:w="1870"/>
        <w:gridCol w:w="1870"/>
        <w:gridCol w:w="1870"/>
        <w:gridCol w:w="1870"/>
      </w:tblGrid>
      <w:tr w:rsidR="00EB6456" w:rsidTr="00EB6456">
        <w:tc>
          <w:tcPr>
            <w:tcW w:w="1870" w:type="dxa"/>
          </w:tcPr>
          <w:p w:rsidR="00EB6456" w:rsidRDefault="00EB6456">
            <w:r>
              <w:t>Name</w:t>
            </w:r>
          </w:p>
        </w:tc>
        <w:tc>
          <w:tcPr>
            <w:tcW w:w="1870" w:type="dxa"/>
          </w:tcPr>
          <w:p w:rsidR="00EB6456" w:rsidRDefault="00EB6456">
            <w:r>
              <w:t>vCPU</w:t>
            </w:r>
          </w:p>
        </w:tc>
        <w:tc>
          <w:tcPr>
            <w:tcW w:w="1870" w:type="dxa"/>
          </w:tcPr>
          <w:p w:rsidR="00EB6456" w:rsidRDefault="00EB6456">
            <w:r>
              <w:t>ECU</w:t>
            </w:r>
          </w:p>
        </w:tc>
        <w:tc>
          <w:tcPr>
            <w:tcW w:w="1870" w:type="dxa"/>
          </w:tcPr>
          <w:p w:rsidR="00EB6456" w:rsidRDefault="00EB6456">
            <w:r>
              <w:t>Memory</w:t>
            </w:r>
            <w:r w:rsidR="008756B1" w:rsidRPr="008756B1">
              <w:t xml:space="preserve"> (</w:t>
            </w:r>
            <w:proofErr w:type="spellStart"/>
            <w:r w:rsidR="008756B1" w:rsidRPr="008756B1">
              <w:t>GiB</w:t>
            </w:r>
            <w:proofErr w:type="spellEnd"/>
            <w:r w:rsidR="008756B1" w:rsidRPr="008756B1">
              <w:t>)</w:t>
            </w:r>
          </w:p>
        </w:tc>
        <w:tc>
          <w:tcPr>
            <w:tcW w:w="1870" w:type="dxa"/>
          </w:tcPr>
          <w:p w:rsidR="00EB6456" w:rsidRDefault="00EB6456">
            <w:r>
              <w:t>Storage</w:t>
            </w:r>
            <w:r w:rsidR="008756B1" w:rsidRPr="008756B1">
              <w:t>(GB)</w:t>
            </w:r>
          </w:p>
        </w:tc>
      </w:tr>
      <w:tr w:rsidR="00EB6456" w:rsidTr="00EB6456">
        <w:tc>
          <w:tcPr>
            <w:tcW w:w="1870" w:type="dxa"/>
          </w:tcPr>
          <w:p w:rsidR="00EB6456" w:rsidRDefault="00DA1700">
            <w:r>
              <w:t>t</w:t>
            </w:r>
            <w:r w:rsidR="00EB6456">
              <w:t>2.nano</w:t>
            </w:r>
          </w:p>
        </w:tc>
        <w:tc>
          <w:tcPr>
            <w:tcW w:w="1870" w:type="dxa"/>
          </w:tcPr>
          <w:p w:rsidR="00EB6456" w:rsidRDefault="00EB6456">
            <w:r>
              <w:t>1</w:t>
            </w:r>
          </w:p>
        </w:tc>
        <w:tc>
          <w:tcPr>
            <w:tcW w:w="1870" w:type="dxa"/>
          </w:tcPr>
          <w:p w:rsidR="00EB6456" w:rsidRDefault="00EB6456">
            <w:r w:rsidRPr="00EB6456">
              <w:t>Variable</w:t>
            </w:r>
          </w:p>
        </w:tc>
        <w:tc>
          <w:tcPr>
            <w:tcW w:w="1870" w:type="dxa"/>
          </w:tcPr>
          <w:p w:rsidR="00EB6456" w:rsidRDefault="00EB6456">
            <w:r>
              <w:t>0.5</w:t>
            </w:r>
          </w:p>
        </w:tc>
        <w:tc>
          <w:tcPr>
            <w:tcW w:w="1870" w:type="dxa"/>
          </w:tcPr>
          <w:p w:rsidR="00EB6456" w:rsidRDefault="00EB6456">
            <w:r w:rsidRPr="00EB6456">
              <w:t>EBS Only</w:t>
            </w:r>
          </w:p>
        </w:tc>
      </w:tr>
      <w:tr w:rsidR="0018731E" w:rsidTr="00EB6456">
        <w:tc>
          <w:tcPr>
            <w:tcW w:w="1870" w:type="dxa"/>
          </w:tcPr>
          <w:p w:rsidR="0018731E" w:rsidRDefault="00DA1700" w:rsidP="0018731E">
            <w:r>
              <w:t>t</w:t>
            </w:r>
            <w:r w:rsidR="0018731E">
              <w:t xml:space="preserve">2. </w:t>
            </w:r>
            <w:r w:rsidR="0018731E" w:rsidRPr="003B2752">
              <w:t>micro</w:t>
            </w:r>
          </w:p>
        </w:tc>
        <w:tc>
          <w:tcPr>
            <w:tcW w:w="1870" w:type="dxa"/>
          </w:tcPr>
          <w:p w:rsidR="0018731E" w:rsidRDefault="0018731E" w:rsidP="0018731E">
            <w:r w:rsidRPr="003B2752">
              <w:t>1</w:t>
            </w:r>
          </w:p>
        </w:tc>
        <w:tc>
          <w:tcPr>
            <w:tcW w:w="1870" w:type="dxa"/>
          </w:tcPr>
          <w:p w:rsidR="0018731E" w:rsidRDefault="0018731E" w:rsidP="0018731E">
            <w:r w:rsidRPr="00EB6456">
              <w:t>Variable</w:t>
            </w:r>
          </w:p>
        </w:tc>
        <w:tc>
          <w:tcPr>
            <w:tcW w:w="1870" w:type="dxa"/>
          </w:tcPr>
          <w:p w:rsidR="0018731E" w:rsidRDefault="0018731E" w:rsidP="0018731E">
            <w:r>
              <w:rPr>
                <w:rFonts w:hint="eastAsia"/>
              </w:rPr>
              <w:t>1</w:t>
            </w:r>
          </w:p>
        </w:tc>
        <w:tc>
          <w:tcPr>
            <w:tcW w:w="1870" w:type="dxa"/>
          </w:tcPr>
          <w:p w:rsidR="0018731E" w:rsidRDefault="0018731E" w:rsidP="0018731E">
            <w:r w:rsidRPr="00EB6456">
              <w:t>EBS Only</w:t>
            </w:r>
          </w:p>
        </w:tc>
      </w:tr>
      <w:tr w:rsidR="0018731E" w:rsidTr="00EB6456">
        <w:tc>
          <w:tcPr>
            <w:tcW w:w="1870" w:type="dxa"/>
          </w:tcPr>
          <w:p w:rsidR="0018731E" w:rsidRDefault="0018731E" w:rsidP="0018731E">
            <w:r w:rsidRPr="003B2752">
              <w:t>t2.small</w:t>
            </w:r>
          </w:p>
        </w:tc>
        <w:tc>
          <w:tcPr>
            <w:tcW w:w="1870" w:type="dxa"/>
          </w:tcPr>
          <w:p w:rsidR="0018731E" w:rsidRDefault="0018731E" w:rsidP="0018731E">
            <w:r>
              <w:rPr>
                <w:rFonts w:hint="eastAsia"/>
              </w:rPr>
              <w:t>1</w:t>
            </w:r>
          </w:p>
        </w:tc>
        <w:tc>
          <w:tcPr>
            <w:tcW w:w="1870" w:type="dxa"/>
          </w:tcPr>
          <w:p w:rsidR="0018731E" w:rsidRDefault="0018731E" w:rsidP="0018731E">
            <w:r w:rsidRPr="00EB6456">
              <w:t>Variable</w:t>
            </w:r>
          </w:p>
        </w:tc>
        <w:tc>
          <w:tcPr>
            <w:tcW w:w="1870" w:type="dxa"/>
          </w:tcPr>
          <w:p w:rsidR="0018731E" w:rsidRDefault="0018731E" w:rsidP="0018731E">
            <w:r>
              <w:t>2</w:t>
            </w:r>
          </w:p>
        </w:tc>
        <w:tc>
          <w:tcPr>
            <w:tcW w:w="1870" w:type="dxa"/>
          </w:tcPr>
          <w:p w:rsidR="0018731E" w:rsidRDefault="0018731E" w:rsidP="0018731E">
            <w:r w:rsidRPr="00EB6456">
              <w:t>EBS Only</w:t>
            </w:r>
          </w:p>
        </w:tc>
      </w:tr>
      <w:tr w:rsidR="0018731E" w:rsidTr="00EB6456">
        <w:tc>
          <w:tcPr>
            <w:tcW w:w="1870" w:type="dxa"/>
          </w:tcPr>
          <w:p w:rsidR="0018731E" w:rsidRDefault="0018731E" w:rsidP="0018731E">
            <w:r w:rsidRPr="003B2752">
              <w:t>t2.medium</w:t>
            </w:r>
          </w:p>
        </w:tc>
        <w:tc>
          <w:tcPr>
            <w:tcW w:w="1870" w:type="dxa"/>
          </w:tcPr>
          <w:p w:rsidR="0018731E" w:rsidRDefault="0018731E" w:rsidP="0018731E">
            <w:r>
              <w:rPr>
                <w:rFonts w:hint="eastAsia"/>
              </w:rPr>
              <w:t>2</w:t>
            </w:r>
          </w:p>
        </w:tc>
        <w:tc>
          <w:tcPr>
            <w:tcW w:w="1870" w:type="dxa"/>
          </w:tcPr>
          <w:p w:rsidR="0018731E" w:rsidRDefault="0018731E" w:rsidP="0018731E">
            <w:r w:rsidRPr="00EB6456">
              <w:t>Variable</w:t>
            </w:r>
          </w:p>
        </w:tc>
        <w:tc>
          <w:tcPr>
            <w:tcW w:w="1870" w:type="dxa"/>
          </w:tcPr>
          <w:p w:rsidR="0018731E" w:rsidRDefault="0018731E" w:rsidP="0018731E">
            <w:r>
              <w:t>4</w:t>
            </w:r>
          </w:p>
        </w:tc>
        <w:tc>
          <w:tcPr>
            <w:tcW w:w="1870" w:type="dxa"/>
          </w:tcPr>
          <w:p w:rsidR="0018731E" w:rsidRDefault="0018731E" w:rsidP="0018731E">
            <w:r w:rsidRPr="00EB6456">
              <w:t>EBS Only</w:t>
            </w:r>
          </w:p>
        </w:tc>
      </w:tr>
      <w:tr w:rsidR="0018731E" w:rsidTr="00EB6456">
        <w:tc>
          <w:tcPr>
            <w:tcW w:w="1870" w:type="dxa"/>
          </w:tcPr>
          <w:p w:rsidR="0018731E" w:rsidRDefault="0018731E" w:rsidP="0018731E">
            <w:r w:rsidRPr="003B2752">
              <w:t>t2.large</w:t>
            </w:r>
          </w:p>
        </w:tc>
        <w:tc>
          <w:tcPr>
            <w:tcW w:w="1870" w:type="dxa"/>
          </w:tcPr>
          <w:p w:rsidR="0018731E" w:rsidRDefault="0018731E" w:rsidP="0018731E">
            <w:r>
              <w:rPr>
                <w:rFonts w:hint="eastAsia"/>
              </w:rPr>
              <w:t>2</w:t>
            </w:r>
          </w:p>
        </w:tc>
        <w:tc>
          <w:tcPr>
            <w:tcW w:w="1870" w:type="dxa"/>
          </w:tcPr>
          <w:p w:rsidR="0018731E" w:rsidRDefault="0018731E" w:rsidP="0018731E">
            <w:r w:rsidRPr="00EB6456">
              <w:t>Variable</w:t>
            </w:r>
          </w:p>
        </w:tc>
        <w:tc>
          <w:tcPr>
            <w:tcW w:w="1870" w:type="dxa"/>
          </w:tcPr>
          <w:p w:rsidR="0018731E" w:rsidRDefault="0018731E" w:rsidP="0018731E">
            <w:r w:rsidRPr="003B2752">
              <w:t>8</w:t>
            </w:r>
          </w:p>
        </w:tc>
        <w:tc>
          <w:tcPr>
            <w:tcW w:w="1870" w:type="dxa"/>
          </w:tcPr>
          <w:p w:rsidR="0018731E" w:rsidRDefault="0018731E" w:rsidP="0018731E">
            <w:r w:rsidRPr="00EB6456">
              <w:t>EBS Only</w:t>
            </w:r>
          </w:p>
        </w:tc>
      </w:tr>
      <w:tr w:rsidR="0018731E" w:rsidTr="00EB6456">
        <w:tc>
          <w:tcPr>
            <w:tcW w:w="1870" w:type="dxa"/>
          </w:tcPr>
          <w:p w:rsidR="0018731E" w:rsidRDefault="0018731E" w:rsidP="0018731E">
            <w:r w:rsidRPr="003B2752">
              <w:t>m3.large</w:t>
            </w:r>
          </w:p>
        </w:tc>
        <w:tc>
          <w:tcPr>
            <w:tcW w:w="1870" w:type="dxa"/>
          </w:tcPr>
          <w:p w:rsidR="0018731E" w:rsidRDefault="0018731E" w:rsidP="0018731E">
            <w:r>
              <w:rPr>
                <w:rFonts w:hint="eastAsia"/>
              </w:rPr>
              <w:t>2</w:t>
            </w:r>
          </w:p>
        </w:tc>
        <w:tc>
          <w:tcPr>
            <w:tcW w:w="1870" w:type="dxa"/>
          </w:tcPr>
          <w:p w:rsidR="0018731E" w:rsidRDefault="00A675ED" w:rsidP="0018731E">
            <w:r w:rsidRPr="00A675ED">
              <w:t>6.5</w:t>
            </w:r>
          </w:p>
        </w:tc>
        <w:tc>
          <w:tcPr>
            <w:tcW w:w="1870" w:type="dxa"/>
          </w:tcPr>
          <w:p w:rsidR="0018731E" w:rsidRDefault="0018731E" w:rsidP="0018731E">
            <w:r w:rsidRPr="003B2752">
              <w:t>7.5</w:t>
            </w:r>
          </w:p>
        </w:tc>
        <w:tc>
          <w:tcPr>
            <w:tcW w:w="1870" w:type="dxa"/>
          </w:tcPr>
          <w:p w:rsidR="0018731E" w:rsidRDefault="0018731E" w:rsidP="0018731E">
            <w:r w:rsidRPr="0018731E">
              <w:t>1 x 32 SSD</w:t>
            </w:r>
          </w:p>
        </w:tc>
      </w:tr>
    </w:tbl>
    <w:p w:rsidR="00EB6456" w:rsidRDefault="00EB6456"/>
    <w:p w:rsidR="0097353C" w:rsidRDefault="00215A67">
      <w:r>
        <w:rPr>
          <w:rFonts w:hint="eastAsia"/>
        </w:rPr>
        <w:t xml:space="preserve">On the system side, we performed the </w:t>
      </w:r>
      <w:r>
        <w:t>experiment</w:t>
      </w:r>
      <w:r>
        <w:rPr>
          <w:rFonts w:hint="eastAsia"/>
        </w:rPr>
        <w:t xml:space="preserve"> </w:t>
      </w:r>
      <w:r>
        <w:t xml:space="preserve">on the latest </w:t>
      </w:r>
      <w:r w:rsidRPr="00215A67">
        <w:t>Amazon Linux AMI</w:t>
      </w:r>
      <w:r>
        <w:t xml:space="preserve"> (version </w:t>
      </w:r>
      <w:r w:rsidRPr="00215A67">
        <w:t>2016.03.0 (HVM)</w:t>
      </w:r>
      <w:r>
        <w:t xml:space="preserve">), with kernel version </w:t>
      </w:r>
      <w:r w:rsidRPr="00215A67">
        <w:t>4.4.5</w:t>
      </w:r>
      <w:r w:rsidR="0097353C">
        <w:t xml:space="preserve">. </w:t>
      </w:r>
    </w:p>
    <w:p w:rsidR="00EB6456" w:rsidRDefault="0097353C">
      <w:r>
        <w:t xml:space="preserve">As for </w:t>
      </w:r>
      <w:r w:rsidRPr="00215A67">
        <w:t>Amazon Linux AMI</w:t>
      </w:r>
      <w:r>
        <w:t xml:space="preserve"> is based on </w:t>
      </w:r>
      <w:r w:rsidRPr="0097353C">
        <w:t>Red Hat</w:t>
      </w:r>
      <w:r>
        <w:t xml:space="preserve">, the PHP we get from ‘yum’ is </w:t>
      </w:r>
      <w:r w:rsidRPr="0097353C">
        <w:t>5.3.29</w:t>
      </w:r>
      <w:r>
        <w:t>, which is not the latest version. But, since our application may not need to unitize the full performance of the server, the version of PHP shouldn’t matter that much.</w:t>
      </w:r>
    </w:p>
    <w:p w:rsidR="0097353C" w:rsidRDefault="0097353C">
      <w:r>
        <w:rPr>
          <w:rFonts w:hint="eastAsia"/>
        </w:rPr>
        <w:t xml:space="preserve">The MongoDB </w:t>
      </w:r>
      <w:r>
        <w:t xml:space="preserve">version </w:t>
      </w:r>
      <w:r>
        <w:rPr>
          <w:rFonts w:hint="eastAsia"/>
        </w:rPr>
        <w:t xml:space="preserve">we used </w:t>
      </w:r>
      <w:proofErr w:type="gramStart"/>
      <w:r>
        <w:rPr>
          <w:rFonts w:hint="eastAsia"/>
        </w:rPr>
        <w:t xml:space="preserve">is  </w:t>
      </w:r>
      <w:r w:rsidRPr="0097353C">
        <w:t>MongoDB</w:t>
      </w:r>
      <w:proofErr w:type="gramEnd"/>
      <w:r w:rsidRPr="0097353C">
        <w:t xml:space="preserve"> Community Edition 3.2</w:t>
      </w:r>
      <w:r>
        <w:t xml:space="preserve">, which is the latest version. </w:t>
      </w:r>
    </w:p>
    <w:p w:rsidR="0097353C" w:rsidRDefault="00F7308F">
      <w:r>
        <w:t xml:space="preserve">What’s more, as for the benchmarks we used is Python based, the Python version 2.7.10, and </w:t>
      </w:r>
      <w:proofErr w:type="spellStart"/>
      <w:r>
        <w:t>gcc</w:t>
      </w:r>
      <w:proofErr w:type="spellEnd"/>
      <w:r>
        <w:t xml:space="preserve"> with version </w:t>
      </w:r>
      <w:r w:rsidRPr="00F7308F">
        <w:t>4.8.3</w:t>
      </w:r>
      <w:r>
        <w:t xml:space="preserve">. </w:t>
      </w:r>
    </w:p>
    <w:p w:rsidR="00F7308F" w:rsidRDefault="00F7308F">
      <w:r>
        <w:rPr>
          <w:rFonts w:hint="eastAsia"/>
        </w:rPr>
        <w:t xml:space="preserve">4. </w:t>
      </w:r>
      <w:r>
        <w:t xml:space="preserve">MongoDB Performance </w:t>
      </w:r>
      <w:r w:rsidR="00044CC8">
        <w:t>Evaluation</w:t>
      </w:r>
    </w:p>
    <w:p w:rsidR="003E7186" w:rsidRDefault="00044CC8">
      <w:r>
        <w:t xml:space="preserve">We used the </w:t>
      </w:r>
      <w:r w:rsidRPr="00044CC8">
        <w:t xml:space="preserve">Mongo-perf (not </w:t>
      </w:r>
      <w:proofErr w:type="spellStart"/>
      <w:r w:rsidRPr="00044CC8">
        <w:t>mongoperf</w:t>
      </w:r>
      <w:proofErr w:type="spellEnd"/>
      <w:r w:rsidRPr="00044CC8">
        <w:t>)</w:t>
      </w:r>
      <w:r>
        <w:t xml:space="preserve"> to do the evaluation on MongoDB. </w:t>
      </w:r>
      <w:r w:rsidRPr="00044CC8">
        <w:t>Mongo-perf is a micro benchmarking tool for the MongoDB server. It measures throughput of commands with regards to the number of threads.</w:t>
      </w:r>
      <w:r>
        <w:t xml:space="preserve"> It is a python based benchmark, from whom we only use 2 test cases: simple </w:t>
      </w:r>
      <w:r w:rsidRPr="00044CC8">
        <w:t xml:space="preserve">insertion and </w:t>
      </w:r>
      <w:r>
        <w:t xml:space="preserve">simple </w:t>
      </w:r>
      <w:r w:rsidRPr="00044CC8">
        <w:t>query, to cover reading and writing</w:t>
      </w:r>
      <w:r>
        <w:t xml:space="preserve"> from the database. We chose them as they are the most basic operation of the databases, and could be very representative. What’s more, inside the simple insertion and simple test scripts, there are actually a bunch of different test set ups. We would only use the empty insertion and </w:t>
      </w:r>
      <w:r w:rsidR="003E7186">
        <w:rPr>
          <w:lang w:eastAsia="zh-CN"/>
        </w:rPr>
        <w:t xml:space="preserve">empty query as the result would be affected by the content of the databases, and could represent the overall performance of the database. Another reason is that some of the test set up seems may case the database to crash and make the benchmark terminated with error. To avoid it, we decided to do the smallest scale test on the instances. Each of the test are set with </w:t>
      </w:r>
      <w:r w:rsidR="003E7186" w:rsidRPr="00044CC8">
        <w:t>threads</w:t>
      </w:r>
      <w:r w:rsidR="003E7186">
        <w:t xml:space="preserve"> of 1, 2, 4, 8 and 16 to test the performance of database under different pressure.</w:t>
      </w:r>
    </w:p>
    <w:p w:rsidR="009200D8" w:rsidRDefault="009200D8">
      <w:r>
        <w:t xml:space="preserve">Here are the bench result: </w:t>
      </w:r>
    </w:p>
    <w:p w:rsidR="003E7186" w:rsidRDefault="00FF6CE4">
      <w:pPr>
        <w:rPr>
          <w:lang w:eastAsia="zh-CN"/>
        </w:rPr>
      </w:pPr>
      <w:r>
        <w:rPr>
          <w:noProof/>
          <w:lang w:eastAsia="zh-CN"/>
        </w:rPr>
        <w:lastRenderedPageBreak/>
        <w:drawing>
          <wp:inline distT="0" distB="0" distL="0" distR="0" wp14:anchorId="0D1630F7" wp14:editId="27613B4A">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200D8" w:rsidRDefault="009200D8">
      <w:pPr>
        <w:rPr>
          <w:rFonts w:hint="eastAsia"/>
          <w:lang w:eastAsia="zh-CN"/>
        </w:rPr>
      </w:pPr>
      <w:r>
        <w:rPr>
          <w:noProof/>
          <w:lang w:eastAsia="zh-CN"/>
        </w:rPr>
        <w:drawing>
          <wp:inline distT="0" distB="0" distL="0" distR="0" wp14:anchorId="64B8F495" wp14:editId="61DCB0E5">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87F5C" w:rsidRDefault="00FF6CE4">
      <w:pPr>
        <w:rPr>
          <w:lang w:eastAsia="zh-CN"/>
        </w:rPr>
      </w:pPr>
      <w:r>
        <w:rPr>
          <w:rFonts w:hint="eastAsia"/>
          <w:lang w:eastAsia="zh-CN"/>
        </w:rPr>
        <w:t xml:space="preserve">From the result, we can see that the CPU and RAM does impact the database performance a lot. </w:t>
      </w:r>
    </w:p>
    <w:p w:rsidR="00FF6CE4" w:rsidRDefault="00FF6CE4">
      <w:pPr>
        <w:rPr>
          <w:lang w:eastAsia="zh-CN"/>
        </w:rPr>
      </w:pPr>
      <w:r>
        <w:rPr>
          <w:lang w:eastAsia="zh-CN"/>
        </w:rPr>
        <w:t>For example</w:t>
      </w:r>
      <w:r w:rsidR="00C87F5C">
        <w:rPr>
          <w:lang w:eastAsia="zh-CN"/>
        </w:rPr>
        <w:t>, comparing</w:t>
      </w:r>
      <w:r>
        <w:rPr>
          <w:lang w:eastAsia="zh-CN"/>
        </w:rPr>
        <w:t xml:space="preserve"> the outcome of t2.small (with 1 vCPU &amp; 2 </w:t>
      </w:r>
      <w:proofErr w:type="spellStart"/>
      <w:r>
        <w:rPr>
          <w:lang w:eastAsia="zh-CN"/>
        </w:rPr>
        <w:t>GiB</w:t>
      </w:r>
      <w:proofErr w:type="spellEnd"/>
      <w:r>
        <w:rPr>
          <w:lang w:eastAsia="zh-CN"/>
        </w:rPr>
        <w:t xml:space="preserve"> RAM) and t2.mid </w:t>
      </w:r>
      <w:r>
        <w:rPr>
          <w:lang w:eastAsia="zh-CN"/>
        </w:rPr>
        <w:t>(</w:t>
      </w:r>
      <w:r>
        <w:rPr>
          <w:lang w:eastAsia="zh-CN"/>
        </w:rPr>
        <w:t>with 2</w:t>
      </w:r>
      <w:r>
        <w:rPr>
          <w:lang w:eastAsia="zh-CN"/>
        </w:rPr>
        <w:t xml:space="preserve"> vCPU &amp; </w:t>
      </w:r>
      <w:r>
        <w:rPr>
          <w:lang w:eastAsia="zh-CN"/>
        </w:rPr>
        <w:t>4</w:t>
      </w:r>
      <w:r>
        <w:rPr>
          <w:lang w:eastAsia="zh-CN"/>
        </w:rPr>
        <w:t xml:space="preserve"> </w:t>
      </w:r>
      <w:proofErr w:type="spellStart"/>
      <w:r>
        <w:rPr>
          <w:lang w:eastAsia="zh-CN"/>
        </w:rPr>
        <w:t>GiB</w:t>
      </w:r>
      <w:proofErr w:type="spellEnd"/>
      <w:r>
        <w:rPr>
          <w:lang w:eastAsia="zh-CN"/>
        </w:rPr>
        <w:t xml:space="preserve"> RAM)</w:t>
      </w:r>
      <w:r>
        <w:rPr>
          <w:lang w:eastAsia="zh-CN"/>
        </w:rPr>
        <w:t xml:space="preserve">, </w:t>
      </w:r>
      <w:r w:rsidR="00C87F5C">
        <w:rPr>
          <w:lang w:eastAsia="zh-CN"/>
        </w:rPr>
        <w:t xml:space="preserve">although the single thread performance is kind of the same, </w:t>
      </w:r>
      <w:r>
        <w:rPr>
          <w:lang w:eastAsia="zh-CN"/>
        </w:rPr>
        <w:t xml:space="preserve">the multi-thread performance </w:t>
      </w:r>
      <w:r w:rsidR="00C87F5C">
        <w:rPr>
          <w:lang w:eastAsia="zh-CN"/>
        </w:rPr>
        <w:t>are</w:t>
      </w:r>
      <w:r>
        <w:rPr>
          <w:lang w:eastAsia="zh-CN"/>
        </w:rPr>
        <w:t xml:space="preserve"> boosted by </w:t>
      </w:r>
      <w:r w:rsidR="00C87F5C">
        <w:rPr>
          <w:lang w:eastAsia="zh-CN"/>
        </w:rPr>
        <w:t>twice.  It is reasonable since one more core means two thread can insert into the database simultaneously which result in twice performance.</w:t>
      </w:r>
    </w:p>
    <w:p w:rsidR="00C87F5C" w:rsidRDefault="00C87F5C">
      <w:pPr>
        <w:rPr>
          <w:lang w:eastAsia="zh-CN"/>
        </w:rPr>
      </w:pPr>
      <w:r>
        <w:rPr>
          <w:lang w:eastAsia="zh-CN"/>
        </w:rPr>
        <w:t xml:space="preserve">Another example is shown between t2.mid </w:t>
      </w:r>
      <w:r>
        <w:rPr>
          <w:lang w:eastAsia="zh-CN"/>
        </w:rPr>
        <w:t xml:space="preserve">(with 2 vCPU &amp; 4 </w:t>
      </w:r>
      <w:proofErr w:type="spellStart"/>
      <w:r>
        <w:rPr>
          <w:lang w:eastAsia="zh-CN"/>
        </w:rPr>
        <w:t>GiB</w:t>
      </w:r>
      <w:proofErr w:type="spellEnd"/>
      <w:r>
        <w:rPr>
          <w:lang w:eastAsia="zh-CN"/>
        </w:rPr>
        <w:t xml:space="preserve"> RAM)</w:t>
      </w:r>
      <w:r>
        <w:rPr>
          <w:lang w:eastAsia="zh-CN"/>
        </w:rPr>
        <w:t xml:space="preserve"> and t2.large</w:t>
      </w:r>
      <w:r>
        <w:rPr>
          <w:lang w:eastAsia="zh-CN"/>
        </w:rPr>
        <w:t xml:space="preserve"> (with 2 vCPU &amp; </w:t>
      </w:r>
      <w:r>
        <w:rPr>
          <w:lang w:eastAsia="zh-CN"/>
        </w:rPr>
        <w:t>8</w:t>
      </w:r>
      <w:r>
        <w:rPr>
          <w:lang w:eastAsia="zh-CN"/>
        </w:rPr>
        <w:t xml:space="preserve"> </w:t>
      </w:r>
      <w:proofErr w:type="spellStart"/>
      <w:r>
        <w:rPr>
          <w:lang w:eastAsia="zh-CN"/>
        </w:rPr>
        <w:t>GiB</w:t>
      </w:r>
      <w:proofErr w:type="spellEnd"/>
      <w:r>
        <w:rPr>
          <w:lang w:eastAsia="zh-CN"/>
        </w:rPr>
        <w:t xml:space="preserve"> RAM)</w:t>
      </w:r>
      <w:r>
        <w:rPr>
          <w:lang w:eastAsia="zh-CN"/>
        </w:rPr>
        <w:t>. They both have 2 vCPUs, but one have RAM with as twice large as the other’s RAM.</w:t>
      </w:r>
      <w:r>
        <w:rPr>
          <w:rFonts w:hint="eastAsia"/>
          <w:lang w:eastAsia="zh-CN"/>
        </w:rPr>
        <w:t xml:space="preserve"> </w:t>
      </w:r>
      <w:r>
        <w:rPr>
          <w:lang w:eastAsia="zh-CN"/>
        </w:rPr>
        <w:t xml:space="preserve">The performance boost by RAM is about 30% on both single thread on multi-thread. The boost is not as significant as increasing the number of cores, but, still, it is </w:t>
      </w:r>
      <w:r w:rsidR="00B04CF1">
        <w:rPr>
          <w:lang w:eastAsia="zh-CN"/>
        </w:rPr>
        <w:t>quite a huge boost consider they both have only two v</w:t>
      </w:r>
      <w:r w:rsidR="00B04CF1" w:rsidRPr="00B04CF1">
        <w:rPr>
          <w:lang w:eastAsia="zh-CN"/>
        </w:rPr>
        <w:t>irtual</w:t>
      </w:r>
      <w:r w:rsidR="00B04CF1">
        <w:rPr>
          <w:lang w:eastAsia="zh-CN"/>
        </w:rPr>
        <w:t xml:space="preserve"> cores.</w:t>
      </w:r>
    </w:p>
    <w:p w:rsidR="009200D8" w:rsidRDefault="009200D8">
      <w:pPr>
        <w:rPr>
          <w:lang w:eastAsia="zh-CN"/>
        </w:rPr>
      </w:pPr>
      <w:r>
        <w:rPr>
          <w:lang w:eastAsia="zh-CN"/>
        </w:rPr>
        <w:t xml:space="preserve">However, there are something out of our expectation. </w:t>
      </w:r>
    </w:p>
    <w:p w:rsidR="00EF07A7" w:rsidRDefault="00EF07A7">
      <w:pPr>
        <w:rPr>
          <w:rFonts w:hint="eastAsia"/>
          <w:lang w:eastAsia="zh-CN"/>
        </w:rPr>
      </w:pPr>
      <w:r>
        <w:rPr>
          <w:rFonts w:hint="eastAsia"/>
          <w:lang w:eastAsia="zh-CN"/>
        </w:rPr>
        <w:lastRenderedPageBreak/>
        <w:t xml:space="preserve">For the first </w:t>
      </w:r>
      <w:r>
        <w:rPr>
          <w:lang w:eastAsia="zh-CN"/>
        </w:rPr>
        <w:t xml:space="preserve">one, the boost of RAM did not shown on the instance with one core, which are t2.nano, t2.micro and t2.small. This could cause by the CPU bottleneck effect as the only core they have are unable to fully utilize the RAM. However, there might be another reason, which is an interesting fact we found. The </w:t>
      </w:r>
      <w:r>
        <w:rPr>
          <w:lang w:eastAsia="zh-CN"/>
        </w:rPr>
        <w:t>t2.nano</w:t>
      </w:r>
      <w:r>
        <w:rPr>
          <w:lang w:eastAsia="zh-CN"/>
        </w:rPr>
        <w:t xml:space="preserve"> and </w:t>
      </w:r>
      <w:r>
        <w:rPr>
          <w:lang w:eastAsia="zh-CN"/>
        </w:rPr>
        <w:t>t2.micro</w:t>
      </w:r>
      <w:r>
        <w:rPr>
          <w:lang w:eastAsia="zh-CN"/>
        </w:rPr>
        <w:t xml:space="preserve"> instances were created on the ‘AWS Availability Zone’</w:t>
      </w:r>
      <w:r w:rsidR="004F6A11">
        <w:rPr>
          <w:lang w:eastAsia="zh-CN"/>
        </w:rPr>
        <w:t xml:space="preserve"> -</w:t>
      </w:r>
      <w:r>
        <w:rPr>
          <w:lang w:eastAsia="zh-CN"/>
        </w:rPr>
        <w:t xml:space="preserve"> </w:t>
      </w:r>
      <w:r w:rsidR="004F6A11">
        <w:rPr>
          <w:lang w:eastAsia="zh-CN"/>
        </w:rPr>
        <w:t>‘</w:t>
      </w:r>
      <w:r w:rsidR="004F6A11" w:rsidRPr="004F6A11">
        <w:rPr>
          <w:lang w:eastAsia="zh-CN"/>
        </w:rPr>
        <w:t>us-west-2a</w:t>
      </w:r>
      <w:r w:rsidR="004F6A11">
        <w:rPr>
          <w:lang w:eastAsia="zh-CN"/>
        </w:rPr>
        <w:t xml:space="preserve">’, and </w:t>
      </w:r>
      <w:r w:rsidR="004F6A11">
        <w:rPr>
          <w:lang w:eastAsia="zh-CN"/>
        </w:rPr>
        <w:t>t2.small</w:t>
      </w:r>
      <w:r w:rsidR="004F6A11">
        <w:rPr>
          <w:lang w:eastAsia="zh-CN"/>
        </w:rPr>
        <w:t xml:space="preserve"> instance was created on ‘us-west-2c’. Could it means the performance of instance might be affect by the AWS zone it’s been hold? This might be tested to confirm in the future.</w:t>
      </w:r>
    </w:p>
    <w:p w:rsidR="009200D8" w:rsidRDefault="00EF07A7">
      <w:pPr>
        <w:rPr>
          <w:lang w:eastAsia="zh-CN"/>
        </w:rPr>
      </w:pPr>
      <w:r>
        <w:rPr>
          <w:lang w:eastAsia="zh-CN"/>
        </w:rPr>
        <w:t xml:space="preserve">Secondly, </w:t>
      </w:r>
      <w:r w:rsidR="009200D8">
        <w:rPr>
          <w:lang w:eastAsia="zh-CN"/>
        </w:rPr>
        <w:t xml:space="preserve">the boost from using SSD as storage device did not boost the performance </w:t>
      </w:r>
      <w:r>
        <w:rPr>
          <w:lang w:eastAsia="zh-CN"/>
        </w:rPr>
        <w:t xml:space="preserve">by huge amount as we expected. In fact, the performance </w:t>
      </w:r>
      <w:r w:rsidR="004F6A11">
        <w:rPr>
          <w:lang w:eastAsia="zh-CN"/>
        </w:rPr>
        <w:t xml:space="preserve">decreases by a huge amount compare with t2.larege instance, where the only difference between them are the type of desk (assuming 8 and 7.5 </w:t>
      </w:r>
      <w:proofErr w:type="spellStart"/>
      <w:r w:rsidR="004F6A11">
        <w:rPr>
          <w:lang w:eastAsia="zh-CN"/>
        </w:rPr>
        <w:t>GiB</w:t>
      </w:r>
      <w:proofErr w:type="spellEnd"/>
      <w:r w:rsidR="004F6A11">
        <w:rPr>
          <w:lang w:eastAsia="zh-CN"/>
        </w:rPr>
        <w:t xml:space="preserve"> of RAM are the same). This could be </w:t>
      </w:r>
      <w:r w:rsidR="002B0C86">
        <w:rPr>
          <w:lang w:eastAsia="zh-CN"/>
        </w:rPr>
        <w:t xml:space="preserve">caused by the fact that the SSD has only 32GB, which is too small to have a good performance, as we know the bigger the SSD is, the faster it can run. Besides, the AWS might use RAID as data storage, which is much faster if they choose RAID 0, 5 or 10. It is totally reasonable for AWS to do as it not only boost the date IO rate, but also make the clients’ data much more secure (as RAID data backup). </w:t>
      </w:r>
      <w:r w:rsidR="002B0C86">
        <w:rPr>
          <w:lang w:eastAsia="zh-CN"/>
        </w:rPr>
        <w:t xml:space="preserve">This might </w:t>
      </w:r>
      <w:r w:rsidR="002B0C86">
        <w:rPr>
          <w:lang w:eastAsia="zh-CN"/>
        </w:rPr>
        <w:t xml:space="preserve">also </w:t>
      </w:r>
      <w:r w:rsidR="002B0C86">
        <w:rPr>
          <w:lang w:eastAsia="zh-CN"/>
        </w:rPr>
        <w:t>be tested to confirm in the future.</w:t>
      </w:r>
      <w:bookmarkStart w:id="0" w:name="_GoBack"/>
      <w:bookmarkEnd w:id="0"/>
    </w:p>
    <w:p w:rsidR="00D64744" w:rsidRDefault="00D64744">
      <w:pPr>
        <w:rPr>
          <w:lang w:eastAsia="zh-CN"/>
        </w:rPr>
      </w:pPr>
    </w:p>
    <w:p w:rsidR="00D64744" w:rsidRDefault="00D64744">
      <w:pPr>
        <w:rPr>
          <w:rFonts w:hint="eastAsia"/>
          <w:lang w:eastAsia="zh-CN"/>
        </w:rPr>
      </w:pPr>
      <w:r>
        <w:rPr>
          <w:noProof/>
          <w:lang w:eastAsia="zh-CN"/>
        </w:rPr>
        <w:drawing>
          <wp:inline distT="0" distB="0" distL="0" distR="0" wp14:anchorId="4B6BE735" wp14:editId="4328BB33">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D6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881"/>
    <w:rsid w:val="00044CC8"/>
    <w:rsid w:val="000E4F15"/>
    <w:rsid w:val="0018731E"/>
    <w:rsid w:val="00215A67"/>
    <w:rsid w:val="002B0C86"/>
    <w:rsid w:val="003B2752"/>
    <w:rsid w:val="003E7186"/>
    <w:rsid w:val="004A5A35"/>
    <w:rsid w:val="004F6A11"/>
    <w:rsid w:val="00531881"/>
    <w:rsid w:val="00601620"/>
    <w:rsid w:val="008756B1"/>
    <w:rsid w:val="009200D8"/>
    <w:rsid w:val="0097353C"/>
    <w:rsid w:val="00A675ED"/>
    <w:rsid w:val="00B04CF1"/>
    <w:rsid w:val="00B07AE0"/>
    <w:rsid w:val="00C87F5C"/>
    <w:rsid w:val="00D64744"/>
    <w:rsid w:val="00DA1700"/>
    <w:rsid w:val="00EB6456"/>
    <w:rsid w:val="00EF07A7"/>
    <w:rsid w:val="00F7308F"/>
    <w:rsid w:val="00FD59F4"/>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F0133-47E8-439A-A80E-850E7B5F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6456"/>
    <w:rPr>
      <w:color w:val="808080"/>
    </w:rPr>
  </w:style>
  <w:style w:type="table" w:styleId="a4">
    <w:name w:val="Table Grid"/>
    <w:basedOn w:val="a1"/>
    <w:uiPriority w:val="39"/>
    <w:rsid w:val="00EB6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7561">
      <w:bodyDiv w:val="1"/>
      <w:marLeft w:val="0"/>
      <w:marRight w:val="0"/>
      <w:marTop w:val="0"/>
      <w:marBottom w:val="0"/>
      <w:divBdr>
        <w:top w:val="none" w:sz="0" w:space="0" w:color="auto"/>
        <w:left w:val="none" w:sz="0" w:space="0" w:color="auto"/>
        <w:bottom w:val="none" w:sz="0" w:space="0" w:color="auto"/>
        <w:right w:val="none" w:sz="0" w:space="0" w:color="auto"/>
      </w:divBdr>
    </w:div>
    <w:div w:id="318384957">
      <w:bodyDiv w:val="1"/>
      <w:marLeft w:val="0"/>
      <w:marRight w:val="0"/>
      <w:marTop w:val="0"/>
      <w:marBottom w:val="0"/>
      <w:divBdr>
        <w:top w:val="none" w:sz="0" w:space="0" w:color="auto"/>
        <w:left w:val="none" w:sz="0" w:space="0" w:color="auto"/>
        <w:bottom w:val="none" w:sz="0" w:space="0" w:color="auto"/>
        <w:right w:val="none" w:sz="0" w:space="0" w:color="auto"/>
      </w:divBdr>
    </w:div>
    <w:div w:id="4983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9969;\Google%20&#20113;&#31471;&#30828;&#30424;\CSE503\PE\CSE503P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9969;\Google%20&#20113;&#31471;&#30828;&#30424;\CSE503\PE\CSE503P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9969;\Google%20&#20113;&#31471;&#30828;&#30424;\CSE503\PE\CSE503P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Simple Insert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Sheet1!$S$3</c:f>
              <c:strCache>
                <c:ptCount val="1"/>
                <c:pt idx="0">
                  <c:v>1</c:v>
                </c:pt>
              </c:strCache>
            </c:strRef>
          </c:tx>
          <c:spPr>
            <a:solidFill>
              <a:schemeClr val="accent1"/>
            </a:solidFill>
            <a:ln>
              <a:noFill/>
            </a:ln>
            <a:effectLst/>
          </c:spPr>
          <c:invertIfNegative val="0"/>
          <c:cat>
            <c:strRef>
              <c:f>Sheet1!$T$2:$Y$2</c:f>
              <c:strCache>
                <c:ptCount val="6"/>
                <c:pt idx="0">
                  <c:v>t2.nano</c:v>
                </c:pt>
                <c:pt idx="1">
                  <c:v>t2.micro</c:v>
                </c:pt>
                <c:pt idx="2">
                  <c:v>t2.small</c:v>
                </c:pt>
                <c:pt idx="3">
                  <c:v>t2.mid</c:v>
                </c:pt>
                <c:pt idx="4">
                  <c:v>t2.large</c:v>
                </c:pt>
                <c:pt idx="5">
                  <c:v>m3.large</c:v>
                </c:pt>
              </c:strCache>
            </c:strRef>
          </c:cat>
          <c:val>
            <c:numRef>
              <c:f>Sheet1!$T$3:$Y$3</c:f>
              <c:numCache>
                <c:formatCode>General</c:formatCode>
                <c:ptCount val="6"/>
                <c:pt idx="0">
                  <c:v>15981.7817327752</c:v>
                </c:pt>
                <c:pt idx="1">
                  <c:v>14760.329140580699</c:v>
                </c:pt>
                <c:pt idx="2">
                  <c:v>11508.8680359929</c:v>
                </c:pt>
                <c:pt idx="3">
                  <c:v>10269.346869539</c:v>
                </c:pt>
                <c:pt idx="4">
                  <c:v>13442.4337812744</c:v>
                </c:pt>
                <c:pt idx="5">
                  <c:v>8570.7760475037394</c:v>
                </c:pt>
              </c:numCache>
            </c:numRef>
          </c:val>
        </c:ser>
        <c:ser>
          <c:idx val="1"/>
          <c:order val="1"/>
          <c:tx>
            <c:strRef>
              <c:f>Sheet1!$S$4</c:f>
              <c:strCache>
                <c:ptCount val="1"/>
                <c:pt idx="0">
                  <c:v>2</c:v>
                </c:pt>
              </c:strCache>
            </c:strRef>
          </c:tx>
          <c:spPr>
            <a:solidFill>
              <a:schemeClr val="accent2"/>
            </a:solidFill>
            <a:ln>
              <a:noFill/>
            </a:ln>
            <a:effectLst/>
          </c:spPr>
          <c:invertIfNegative val="0"/>
          <c:cat>
            <c:strRef>
              <c:f>Sheet1!$T$2:$Y$2</c:f>
              <c:strCache>
                <c:ptCount val="6"/>
                <c:pt idx="0">
                  <c:v>t2.nano</c:v>
                </c:pt>
                <c:pt idx="1">
                  <c:v>t2.micro</c:v>
                </c:pt>
                <c:pt idx="2">
                  <c:v>t2.small</c:v>
                </c:pt>
                <c:pt idx="3">
                  <c:v>t2.mid</c:v>
                </c:pt>
                <c:pt idx="4">
                  <c:v>t2.large</c:v>
                </c:pt>
                <c:pt idx="5">
                  <c:v>m3.large</c:v>
                </c:pt>
              </c:strCache>
            </c:strRef>
          </c:cat>
          <c:val>
            <c:numRef>
              <c:f>Sheet1!$T$4:$Y$4</c:f>
              <c:numCache>
                <c:formatCode>General</c:formatCode>
                <c:ptCount val="6"/>
                <c:pt idx="0">
                  <c:v>15886.481422041899</c:v>
                </c:pt>
                <c:pt idx="1">
                  <c:v>14756.007714576601</c:v>
                </c:pt>
                <c:pt idx="2">
                  <c:v>11364.3090263334</c:v>
                </c:pt>
                <c:pt idx="3">
                  <c:v>22018.505311887599</c:v>
                </c:pt>
                <c:pt idx="4">
                  <c:v>30299.333512257999</c:v>
                </c:pt>
                <c:pt idx="5">
                  <c:v>13333.9013035716</c:v>
                </c:pt>
              </c:numCache>
            </c:numRef>
          </c:val>
        </c:ser>
        <c:ser>
          <c:idx val="2"/>
          <c:order val="2"/>
          <c:tx>
            <c:strRef>
              <c:f>Sheet1!$S$5</c:f>
              <c:strCache>
                <c:ptCount val="1"/>
                <c:pt idx="0">
                  <c:v>4</c:v>
                </c:pt>
              </c:strCache>
            </c:strRef>
          </c:tx>
          <c:spPr>
            <a:solidFill>
              <a:schemeClr val="accent3"/>
            </a:solidFill>
            <a:ln>
              <a:noFill/>
            </a:ln>
            <a:effectLst/>
          </c:spPr>
          <c:invertIfNegative val="0"/>
          <c:cat>
            <c:strRef>
              <c:f>Sheet1!$T$2:$Y$2</c:f>
              <c:strCache>
                <c:ptCount val="6"/>
                <c:pt idx="0">
                  <c:v>t2.nano</c:v>
                </c:pt>
                <c:pt idx="1">
                  <c:v>t2.micro</c:v>
                </c:pt>
                <c:pt idx="2">
                  <c:v>t2.small</c:v>
                </c:pt>
                <c:pt idx="3">
                  <c:v>t2.mid</c:v>
                </c:pt>
                <c:pt idx="4">
                  <c:v>t2.large</c:v>
                </c:pt>
                <c:pt idx="5">
                  <c:v>m3.large</c:v>
                </c:pt>
              </c:strCache>
            </c:strRef>
          </c:cat>
          <c:val>
            <c:numRef>
              <c:f>Sheet1!$T$5:$Y$5</c:f>
              <c:numCache>
                <c:formatCode>General</c:formatCode>
                <c:ptCount val="6"/>
                <c:pt idx="0">
                  <c:v>15830.347849301599</c:v>
                </c:pt>
                <c:pt idx="1">
                  <c:v>14663.4327446403</c:v>
                </c:pt>
                <c:pt idx="2">
                  <c:v>11477.081032051399</c:v>
                </c:pt>
                <c:pt idx="3">
                  <c:v>23257.171962925899</c:v>
                </c:pt>
                <c:pt idx="4">
                  <c:v>29993.174642948601</c:v>
                </c:pt>
                <c:pt idx="5">
                  <c:v>15194.1645449229</c:v>
                </c:pt>
              </c:numCache>
            </c:numRef>
          </c:val>
        </c:ser>
        <c:ser>
          <c:idx val="3"/>
          <c:order val="3"/>
          <c:tx>
            <c:strRef>
              <c:f>Sheet1!$S$6</c:f>
              <c:strCache>
                <c:ptCount val="1"/>
                <c:pt idx="0">
                  <c:v>8</c:v>
                </c:pt>
              </c:strCache>
            </c:strRef>
          </c:tx>
          <c:spPr>
            <a:solidFill>
              <a:schemeClr val="accent4"/>
            </a:solidFill>
            <a:ln>
              <a:noFill/>
            </a:ln>
            <a:effectLst/>
          </c:spPr>
          <c:invertIfNegative val="0"/>
          <c:cat>
            <c:strRef>
              <c:f>Sheet1!$T$2:$Y$2</c:f>
              <c:strCache>
                <c:ptCount val="6"/>
                <c:pt idx="0">
                  <c:v>t2.nano</c:v>
                </c:pt>
                <c:pt idx="1">
                  <c:v>t2.micro</c:v>
                </c:pt>
                <c:pt idx="2">
                  <c:v>t2.small</c:v>
                </c:pt>
                <c:pt idx="3">
                  <c:v>t2.mid</c:v>
                </c:pt>
                <c:pt idx="4">
                  <c:v>t2.large</c:v>
                </c:pt>
                <c:pt idx="5">
                  <c:v>m3.large</c:v>
                </c:pt>
              </c:strCache>
            </c:strRef>
          </c:cat>
          <c:val>
            <c:numRef>
              <c:f>Sheet1!$T$6:$Y$6</c:f>
              <c:numCache>
                <c:formatCode>General</c:formatCode>
                <c:ptCount val="6"/>
                <c:pt idx="0">
                  <c:v>15970.5665707199</c:v>
                </c:pt>
                <c:pt idx="1">
                  <c:v>14893.246971332601</c:v>
                </c:pt>
                <c:pt idx="2">
                  <c:v>11361.8600195817</c:v>
                </c:pt>
                <c:pt idx="3">
                  <c:v>23145.196008622901</c:v>
                </c:pt>
                <c:pt idx="4">
                  <c:v>29801.384096329999</c:v>
                </c:pt>
                <c:pt idx="5">
                  <c:v>15244.668694783701</c:v>
                </c:pt>
              </c:numCache>
            </c:numRef>
          </c:val>
        </c:ser>
        <c:ser>
          <c:idx val="4"/>
          <c:order val="4"/>
          <c:tx>
            <c:strRef>
              <c:f>Sheet1!$S$7</c:f>
              <c:strCache>
                <c:ptCount val="1"/>
                <c:pt idx="0">
                  <c:v>16</c:v>
                </c:pt>
              </c:strCache>
            </c:strRef>
          </c:tx>
          <c:spPr>
            <a:solidFill>
              <a:schemeClr val="accent5"/>
            </a:solidFill>
            <a:ln>
              <a:noFill/>
            </a:ln>
            <a:effectLst/>
          </c:spPr>
          <c:invertIfNegative val="0"/>
          <c:cat>
            <c:strRef>
              <c:f>Sheet1!$T$2:$Y$2</c:f>
              <c:strCache>
                <c:ptCount val="6"/>
                <c:pt idx="0">
                  <c:v>t2.nano</c:v>
                </c:pt>
                <c:pt idx="1">
                  <c:v>t2.micro</c:v>
                </c:pt>
                <c:pt idx="2">
                  <c:v>t2.small</c:v>
                </c:pt>
                <c:pt idx="3">
                  <c:v>t2.mid</c:v>
                </c:pt>
                <c:pt idx="4">
                  <c:v>t2.large</c:v>
                </c:pt>
                <c:pt idx="5">
                  <c:v>m3.large</c:v>
                </c:pt>
              </c:strCache>
            </c:strRef>
          </c:cat>
          <c:val>
            <c:numRef>
              <c:f>Sheet1!$T$7:$Y$7</c:f>
              <c:numCache>
                <c:formatCode>General</c:formatCode>
                <c:ptCount val="6"/>
                <c:pt idx="0">
                  <c:v>15868.6762766457</c:v>
                </c:pt>
                <c:pt idx="1">
                  <c:v>14582.1197221025</c:v>
                </c:pt>
                <c:pt idx="2">
                  <c:v>11505.824363894801</c:v>
                </c:pt>
                <c:pt idx="3">
                  <c:v>22882.684485833699</c:v>
                </c:pt>
                <c:pt idx="4">
                  <c:v>29817.148808863301</c:v>
                </c:pt>
                <c:pt idx="5">
                  <c:v>15216.829933027801</c:v>
                </c:pt>
              </c:numCache>
            </c:numRef>
          </c:val>
        </c:ser>
        <c:dLbls>
          <c:showLegendKey val="0"/>
          <c:showVal val="0"/>
          <c:showCatName val="0"/>
          <c:showSerName val="0"/>
          <c:showPercent val="0"/>
          <c:showBubbleSize val="0"/>
        </c:dLbls>
        <c:gapWidth val="219"/>
        <c:overlap val="-27"/>
        <c:axId val="-540719392"/>
        <c:axId val="-540717760"/>
      </c:barChart>
      <c:catAx>
        <c:axId val="-54071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0717760"/>
        <c:crosses val="autoZero"/>
        <c:auto val="1"/>
        <c:lblAlgn val="ctr"/>
        <c:lblOffset val="100"/>
        <c:noMultiLvlLbl val="0"/>
      </c:catAx>
      <c:valAx>
        <c:axId val="-54071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071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Simple</a:t>
            </a:r>
            <a:r>
              <a:rPr lang="en-US" altLang="zh-CN" baseline="0"/>
              <a:t> Query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Sheet1!$S$10</c:f>
              <c:strCache>
                <c:ptCount val="1"/>
                <c:pt idx="0">
                  <c:v>1</c:v>
                </c:pt>
              </c:strCache>
            </c:strRef>
          </c:tx>
          <c:spPr>
            <a:solidFill>
              <a:schemeClr val="accent1"/>
            </a:solidFill>
            <a:ln>
              <a:noFill/>
            </a:ln>
            <a:effectLst/>
          </c:spPr>
          <c:invertIfNegative val="0"/>
          <c:cat>
            <c:strRef>
              <c:f>Sheet1!$T$9:$Y$9</c:f>
              <c:strCache>
                <c:ptCount val="6"/>
                <c:pt idx="0">
                  <c:v>t2.nano</c:v>
                </c:pt>
                <c:pt idx="1">
                  <c:v>t2.micro</c:v>
                </c:pt>
                <c:pt idx="2">
                  <c:v>t2.small</c:v>
                </c:pt>
                <c:pt idx="3">
                  <c:v>t2.mid</c:v>
                </c:pt>
                <c:pt idx="4">
                  <c:v>t2.large</c:v>
                </c:pt>
                <c:pt idx="5">
                  <c:v>m3.large</c:v>
                </c:pt>
              </c:strCache>
            </c:strRef>
          </c:cat>
          <c:val>
            <c:numRef>
              <c:f>Sheet1!$T$10:$Y$10</c:f>
              <c:numCache>
                <c:formatCode>General</c:formatCode>
                <c:ptCount val="6"/>
                <c:pt idx="0">
                  <c:v>15714.8111164819</c:v>
                </c:pt>
                <c:pt idx="1">
                  <c:v>15376.831158442001</c:v>
                </c:pt>
                <c:pt idx="2">
                  <c:v>11322.077651445799</c:v>
                </c:pt>
                <c:pt idx="3">
                  <c:v>9864.5469669907798</c:v>
                </c:pt>
                <c:pt idx="4">
                  <c:v>12317.2092351671</c:v>
                </c:pt>
                <c:pt idx="5">
                  <c:v>8595.9553033522407</c:v>
                </c:pt>
              </c:numCache>
            </c:numRef>
          </c:val>
        </c:ser>
        <c:ser>
          <c:idx val="1"/>
          <c:order val="1"/>
          <c:tx>
            <c:strRef>
              <c:f>Sheet1!$S$11</c:f>
              <c:strCache>
                <c:ptCount val="1"/>
                <c:pt idx="0">
                  <c:v>2</c:v>
                </c:pt>
              </c:strCache>
            </c:strRef>
          </c:tx>
          <c:spPr>
            <a:solidFill>
              <a:schemeClr val="accent2"/>
            </a:solidFill>
            <a:ln>
              <a:noFill/>
            </a:ln>
            <a:effectLst/>
          </c:spPr>
          <c:invertIfNegative val="0"/>
          <c:cat>
            <c:strRef>
              <c:f>Sheet1!$T$9:$Y$9</c:f>
              <c:strCache>
                <c:ptCount val="6"/>
                <c:pt idx="0">
                  <c:v>t2.nano</c:v>
                </c:pt>
                <c:pt idx="1">
                  <c:v>t2.micro</c:v>
                </c:pt>
                <c:pt idx="2">
                  <c:v>t2.small</c:v>
                </c:pt>
                <c:pt idx="3">
                  <c:v>t2.mid</c:v>
                </c:pt>
                <c:pt idx="4">
                  <c:v>t2.large</c:v>
                </c:pt>
                <c:pt idx="5">
                  <c:v>m3.large</c:v>
                </c:pt>
              </c:strCache>
            </c:strRef>
          </c:cat>
          <c:val>
            <c:numRef>
              <c:f>Sheet1!$T$11:$Y$11</c:f>
              <c:numCache>
                <c:formatCode>General</c:formatCode>
                <c:ptCount val="6"/>
                <c:pt idx="0">
                  <c:v>15454.234750699699</c:v>
                </c:pt>
                <c:pt idx="1">
                  <c:v>15291.459257139401</c:v>
                </c:pt>
                <c:pt idx="2">
                  <c:v>11536.522488799499</c:v>
                </c:pt>
                <c:pt idx="3">
                  <c:v>22601.4405006054</c:v>
                </c:pt>
                <c:pt idx="4">
                  <c:v>27047.323216152399</c:v>
                </c:pt>
                <c:pt idx="5">
                  <c:v>15078.6178363616</c:v>
                </c:pt>
              </c:numCache>
            </c:numRef>
          </c:val>
        </c:ser>
        <c:ser>
          <c:idx val="2"/>
          <c:order val="2"/>
          <c:tx>
            <c:strRef>
              <c:f>Sheet1!$S$12</c:f>
              <c:strCache>
                <c:ptCount val="1"/>
                <c:pt idx="0">
                  <c:v>4</c:v>
                </c:pt>
              </c:strCache>
            </c:strRef>
          </c:tx>
          <c:spPr>
            <a:solidFill>
              <a:schemeClr val="accent3"/>
            </a:solidFill>
            <a:ln>
              <a:noFill/>
            </a:ln>
            <a:effectLst/>
          </c:spPr>
          <c:invertIfNegative val="0"/>
          <c:cat>
            <c:strRef>
              <c:f>Sheet1!$T$9:$Y$9</c:f>
              <c:strCache>
                <c:ptCount val="6"/>
                <c:pt idx="0">
                  <c:v>t2.nano</c:v>
                </c:pt>
                <c:pt idx="1">
                  <c:v>t2.micro</c:v>
                </c:pt>
                <c:pt idx="2">
                  <c:v>t2.small</c:v>
                </c:pt>
                <c:pt idx="3">
                  <c:v>t2.mid</c:v>
                </c:pt>
                <c:pt idx="4">
                  <c:v>t2.large</c:v>
                </c:pt>
                <c:pt idx="5">
                  <c:v>m3.large</c:v>
                </c:pt>
              </c:strCache>
            </c:strRef>
          </c:cat>
          <c:val>
            <c:numRef>
              <c:f>Sheet1!$T$12:$Y$12</c:f>
              <c:numCache>
                <c:formatCode>General</c:formatCode>
                <c:ptCount val="6"/>
                <c:pt idx="0">
                  <c:v>15541.775483024599</c:v>
                </c:pt>
                <c:pt idx="1">
                  <c:v>15270.6437850975</c:v>
                </c:pt>
                <c:pt idx="2">
                  <c:v>11664.923643591401</c:v>
                </c:pt>
                <c:pt idx="3">
                  <c:v>22815.2675053069</c:v>
                </c:pt>
                <c:pt idx="4">
                  <c:v>28777.023016658899</c:v>
                </c:pt>
                <c:pt idx="5">
                  <c:v>17021.3531777811</c:v>
                </c:pt>
              </c:numCache>
            </c:numRef>
          </c:val>
        </c:ser>
        <c:ser>
          <c:idx val="3"/>
          <c:order val="3"/>
          <c:tx>
            <c:strRef>
              <c:f>Sheet1!$S$13</c:f>
              <c:strCache>
                <c:ptCount val="1"/>
                <c:pt idx="0">
                  <c:v>8</c:v>
                </c:pt>
              </c:strCache>
            </c:strRef>
          </c:tx>
          <c:spPr>
            <a:solidFill>
              <a:schemeClr val="accent4"/>
            </a:solidFill>
            <a:ln>
              <a:noFill/>
            </a:ln>
            <a:effectLst/>
          </c:spPr>
          <c:invertIfNegative val="0"/>
          <c:cat>
            <c:strRef>
              <c:f>Sheet1!$T$9:$Y$9</c:f>
              <c:strCache>
                <c:ptCount val="6"/>
                <c:pt idx="0">
                  <c:v>t2.nano</c:v>
                </c:pt>
                <c:pt idx="1">
                  <c:v>t2.micro</c:v>
                </c:pt>
                <c:pt idx="2">
                  <c:v>t2.small</c:v>
                </c:pt>
                <c:pt idx="3">
                  <c:v>t2.mid</c:v>
                </c:pt>
                <c:pt idx="4">
                  <c:v>t2.large</c:v>
                </c:pt>
                <c:pt idx="5">
                  <c:v>m3.large</c:v>
                </c:pt>
              </c:strCache>
            </c:strRef>
          </c:cat>
          <c:val>
            <c:numRef>
              <c:f>Sheet1!$T$13:$Y$13</c:f>
              <c:numCache>
                <c:formatCode>General</c:formatCode>
                <c:ptCount val="6"/>
                <c:pt idx="0">
                  <c:v>15600.910021431</c:v>
                </c:pt>
                <c:pt idx="1">
                  <c:v>15303.514370609701</c:v>
                </c:pt>
                <c:pt idx="2">
                  <c:v>11652.581125381301</c:v>
                </c:pt>
                <c:pt idx="3">
                  <c:v>22858.488841894901</c:v>
                </c:pt>
                <c:pt idx="4">
                  <c:v>29381.0115224867</c:v>
                </c:pt>
                <c:pt idx="5">
                  <c:v>16817.317554477198</c:v>
                </c:pt>
              </c:numCache>
            </c:numRef>
          </c:val>
        </c:ser>
        <c:ser>
          <c:idx val="4"/>
          <c:order val="4"/>
          <c:tx>
            <c:strRef>
              <c:f>Sheet1!$S$14</c:f>
              <c:strCache>
                <c:ptCount val="1"/>
                <c:pt idx="0">
                  <c:v>16</c:v>
                </c:pt>
              </c:strCache>
            </c:strRef>
          </c:tx>
          <c:spPr>
            <a:solidFill>
              <a:schemeClr val="accent5"/>
            </a:solidFill>
            <a:ln>
              <a:noFill/>
            </a:ln>
            <a:effectLst/>
          </c:spPr>
          <c:invertIfNegative val="0"/>
          <c:cat>
            <c:strRef>
              <c:f>Sheet1!$T$9:$Y$9</c:f>
              <c:strCache>
                <c:ptCount val="6"/>
                <c:pt idx="0">
                  <c:v>t2.nano</c:v>
                </c:pt>
                <c:pt idx="1">
                  <c:v>t2.micro</c:v>
                </c:pt>
                <c:pt idx="2">
                  <c:v>t2.small</c:v>
                </c:pt>
                <c:pt idx="3">
                  <c:v>t2.mid</c:v>
                </c:pt>
                <c:pt idx="4">
                  <c:v>t2.large</c:v>
                </c:pt>
                <c:pt idx="5">
                  <c:v>m3.large</c:v>
                </c:pt>
              </c:strCache>
            </c:strRef>
          </c:cat>
          <c:val>
            <c:numRef>
              <c:f>Sheet1!$T$14:$Y$14</c:f>
              <c:numCache>
                <c:formatCode>General</c:formatCode>
                <c:ptCount val="6"/>
                <c:pt idx="0">
                  <c:v>15498.718682258101</c:v>
                </c:pt>
                <c:pt idx="1">
                  <c:v>15150.8974549593</c:v>
                </c:pt>
                <c:pt idx="2">
                  <c:v>11671.5726170239</c:v>
                </c:pt>
                <c:pt idx="3">
                  <c:v>23260.997459045499</c:v>
                </c:pt>
                <c:pt idx="4">
                  <c:v>29675.0047028771</c:v>
                </c:pt>
                <c:pt idx="5">
                  <c:v>16943.0071594084</c:v>
                </c:pt>
              </c:numCache>
            </c:numRef>
          </c:val>
        </c:ser>
        <c:dLbls>
          <c:showLegendKey val="0"/>
          <c:showVal val="0"/>
          <c:showCatName val="0"/>
          <c:showSerName val="0"/>
          <c:showPercent val="0"/>
          <c:showBubbleSize val="0"/>
        </c:dLbls>
        <c:gapWidth val="219"/>
        <c:overlap val="-27"/>
        <c:axId val="-540721568"/>
        <c:axId val="-540716128"/>
      </c:barChart>
      <c:catAx>
        <c:axId val="-54072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0716128"/>
        <c:crosses val="autoZero"/>
        <c:auto val="1"/>
        <c:lblAlgn val="ctr"/>
        <c:lblOffset val="100"/>
        <c:noMultiLvlLbl val="0"/>
      </c:catAx>
      <c:valAx>
        <c:axId val="-54071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072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Requests per second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Sheet1!$B$39</c:f>
              <c:strCache>
                <c:ptCount val="1"/>
                <c:pt idx="0">
                  <c:v>10</c:v>
                </c:pt>
              </c:strCache>
            </c:strRef>
          </c:tx>
          <c:spPr>
            <a:solidFill>
              <a:schemeClr val="accent1"/>
            </a:solidFill>
            <a:ln>
              <a:noFill/>
            </a:ln>
            <a:effectLst/>
          </c:spPr>
          <c:invertIfNegative val="0"/>
          <c:cat>
            <c:strRef>
              <c:f>Sheet1!$C$38:$H$38</c:f>
              <c:strCache>
                <c:ptCount val="6"/>
                <c:pt idx="0">
                  <c:v>t2.nano</c:v>
                </c:pt>
                <c:pt idx="1">
                  <c:v>t2.micro</c:v>
                </c:pt>
                <c:pt idx="2">
                  <c:v>t2.small</c:v>
                </c:pt>
                <c:pt idx="3">
                  <c:v>t2.mid</c:v>
                </c:pt>
                <c:pt idx="4">
                  <c:v>t2.large</c:v>
                </c:pt>
                <c:pt idx="5">
                  <c:v>m3.large</c:v>
                </c:pt>
              </c:strCache>
            </c:strRef>
          </c:cat>
          <c:val>
            <c:numRef>
              <c:f>Sheet1!$C$39:$H$39</c:f>
              <c:numCache>
                <c:formatCode>General</c:formatCode>
                <c:ptCount val="6"/>
                <c:pt idx="0">
                  <c:v>1671.32</c:v>
                </c:pt>
                <c:pt idx="1">
                  <c:v>1461.95</c:v>
                </c:pt>
                <c:pt idx="2">
                  <c:v>1461.95</c:v>
                </c:pt>
                <c:pt idx="3">
                  <c:v>1445.6</c:v>
                </c:pt>
                <c:pt idx="4">
                  <c:v>3224.05</c:v>
                </c:pt>
                <c:pt idx="5">
                  <c:v>3249.64</c:v>
                </c:pt>
              </c:numCache>
            </c:numRef>
          </c:val>
        </c:ser>
        <c:ser>
          <c:idx val="1"/>
          <c:order val="1"/>
          <c:tx>
            <c:strRef>
              <c:f>Sheet1!$B$40</c:f>
              <c:strCache>
                <c:ptCount val="1"/>
                <c:pt idx="0">
                  <c:v>100</c:v>
                </c:pt>
              </c:strCache>
            </c:strRef>
          </c:tx>
          <c:spPr>
            <a:solidFill>
              <a:schemeClr val="accent2"/>
            </a:solidFill>
            <a:ln>
              <a:noFill/>
            </a:ln>
            <a:effectLst/>
          </c:spPr>
          <c:invertIfNegative val="0"/>
          <c:cat>
            <c:strRef>
              <c:f>Sheet1!$C$38:$H$38</c:f>
              <c:strCache>
                <c:ptCount val="6"/>
                <c:pt idx="0">
                  <c:v>t2.nano</c:v>
                </c:pt>
                <c:pt idx="1">
                  <c:v>t2.micro</c:v>
                </c:pt>
                <c:pt idx="2">
                  <c:v>t2.small</c:v>
                </c:pt>
                <c:pt idx="3">
                  <c:v>t2.mid</c:v>
                </c:pt>
                <c:pt idx="4">
                  <c:v>t2.large</c:v>
                </c:pt>
                <c:pt idx="5">
                  <c:v>m3.large</c:v>
                </c:pt>
              </c:strCache>
            </c:strRef>
          </c:cat>
          <c:val>
            <c:numRef>
              <c:f>Sheet1!$C$40:$H$40</c:f>
              <c:numCache>
                <c:formatCode>General</c:formatCode>
                <c:ptCount val="6"/>
                <c:pt idx="0">
                  <c:v>1657.55</c:v>
                </c:pt>
                <c:pt idx="1">
                  <c:v>1572.98</c:v>
                </c:pt>
                <c:pt idx="2">
                  <c:v>1572.98</c:v>
                </c:pt>
                <c:pt idx="3">
                  <c:v>1731.17</c:v>
                </c:pt>
                <c:pt idx="4">
                  <c:v>2982.08</c:v>
                </c:pt>
                <c:pt idx="5">
                  <c:v>3104.93</c:v>
                </c:pt>
              </c:numCache>
            </c:numRef>
          </c:val>
        </c:ser>
        <c:dLbls>
          <c:showLegendKey val="0"/>
          <c:showVal val="0"/>
          <c:showCatName val="0"/>
          <c:showSerName val="0"/>
          <c:showPercent val="0"/>
          <c:showBubbleSize val="0"/>
        </c:dLbls>
        <c:gapWidth val="219"/>
        <c:overlap val="-27"/>
        <c:axId val="-540718304"/>
        <c:axId val="-261061392"/>
      </c:barChart>
      <c:catAx>
        <c:axId val="-54071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061392"/>
        <c:crosses val="autoZero"/>
        <c:auto val="1"/>
        <c:lblAlgn val="ctr"/>
        <c:lblOffset val="100"/>
        <c:noMultiLvlLbl val="0"/>
      </c:catAx>
      <c:valAx>
        <c:axId val="-26106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071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Yitong Ding</dc:creator>
  <cp:keywords/>
  <dc:description/>
  <cp:lastModifiedBy>Yitong Ding</cp:lastModifiedBy>
  <cp:revision>12</cp:revision>
  <dcterms:created xsi:type="dcterms:W3CDTF">2016-04-29T03:40:00Z</dcterms:created>
  <dcterms:modified xsi:type="dcterms:W3CDTF">2016-04-30T00:03:00Z</dcterms:modified>
</cp:coreProperties>
</file>