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0"/>
          <w:szCs w:val="40"/>
        </w:rPr>
        <w:t xml:space="preserve">Zein-Caseinate NP Colloidal Stability</w:t>
      </w:r>
    </w:p>
    <w:p>
      <w:pPr>
        <w:spacing w:after="40"/>
      </w:pPr>
      <w:r>
        <w:rPr>
          <w:color w:val="555555"/>
          <w:sz w:val="26"/>
          <w:szCs w:val="26"/>
        </w:rPr>
        <w:t xml:space="preserve">DLVO Analysis of the 08/12/2026 DLS Dataset</w:t>
      </w:r>
    </w:p>
    <w:p>
      <w:pPr>
        <w:spacing w:after="300"/>
      </w:pPr>
      <w:r>
        <w:rPr>
          <w:i/>
          <w:iCs/>
          <w:color w:val="C0392B"/>
          <w:sz w:val="20"/>
          <w:szCs w:val="20"/>
        </w:rPr>
        <w:t xml:space="preserve">Preliminary -- single replicate per condition (n=1); no error bars available</w:t>
      </w:r>
    </w:p>
    <w:p>
      <w:pPr>
        <w:pStyle w:val="Heading1"/>
        <w:spacing w:after="150" w:before="300"/>
      </w:pPr>
      <w:r>
        <w:t xml:space="preserve">Summary</w:t>
      </w:r>
    </w:p>
    <w:p>
      <w:pPr>
        <w:spacing w:after="160"/>
        <w:jc w:val="both"/>
      </w:pPr>
      <w:r>
        <w:t xml:space="preserve">Zein-caseinate nanoparticles were characterized by DLS/ELS across a pH 3-7 x ionic strength 25-100 mM grid (12 conditions, one replicate each) and modeled with classical DLVO theory (electrostatic double-layer repulsion + van der Waals attraction) to predict colloidal stability. Under this dataset, every measured grid condition and all three food-relevant target conditions (whole milk, yogurt, bread-release) fall well below the 10 kT marginal-stability threshold -- the model predicts no meaningful energy barrier anywhere in the tested space, i.e. fast aggregation is expected across the board. The main driver is that measured zeta potentials are modest in magnitude (|zeta| &lt;= ~14 mV) compared to the ~30+ mV typically associated with well-stabilized protein colloids; because the electrostatic repulsion term scales with zeta-squared, even this relatively small reduction removes most of the stabilizing barrier.</w:t>
      </w:r>
    </w:p>
    <w:p>
      <w:pPr>
        <w:pStyle w:val="Heading1"/>
        <w:spacing w:after="150" w:before="300"/>
      </w:pPr>
      <w:r>
        <w:t xml:space="preserve">Key result: stability across all tested and target conditions</w:t>
      </w:r>
    </w:p>
    <w:p>
      <w:pPr>
        <w:spacing w:after="60" w:before="120"/>
        <w:jc w:val="center"/>
      </w:pPr>
      <w:r>
        <w:drawing>
          <wp:inline distT="0" distB="0" distL="0" distR="0">
            <wp:extent cx="59436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572125"/>
                    </a:xfrm>
                    <a:prstGeom prst="rect">
                      <a:avLst/>
                    </a:prstGeom>
                  </pic:spPr>
                </pic:pic>
              </a:graphicData>
            </a:graphic>
          </wp:inline>
        </w:drawing>
      </w:r>
    </w:p>
    <w:p>
      <w:pPr>
        <w:spacing w:after="240"/>
        <w:jc w:val="center"/>
      </w:pPr>
      <w:r>
        <w:rPr>
          <w:i/>
          <w:iCs/>
          <w:color w:val="555555"/>
          <w:sz w:val="18"/>
          <w:szCs w:val="18"/>
        </w:rPr>
        <w:t xml:space="preserve">Figure 1. DLVO energy barrier (V_max) for every measured (pH, ionic strength) condition (red) and the three food-relevant target conditions (blue), sorted low to high. Green/orange dashed lines mark the stable (15 kT) and marginal (10 kT) thresholds used throughout this analysis. The pH 4 / 100 mM bar is truncated at -4 kT (true value -32.1 kT) to keep the rest of the chart readable -- see note below.</w:t>
      </w:r>
    </w:p>
    <w:p>
      <w:pPr>
        <w:spacing w:after="160"/>
        <w:jc w:val="both"/>
      </w:pPr>
      <w:r>
        <w:t xml:space="preserve">No bar reaches even the marginal threshold, let alone the stable one. This is the single plot that answers the practical question directly: as currently formulated (no dialysis / ion removal, single replicate), zein-caseinate NPs are not predicted to be colloidally stable in any of the three tested food-relevant environments, nor across the pH/ionic-strength ranges tested in the lab grid.</w:t>
      </w:r>
    </w:p>
    <w:p>
      <w:pPr>
        <w:pStyle w:val="Heading1"/>
        <w:spacing w:after="150" w:before="300"/>
      </w:pPr>
      <w:r>
        <w:t xml:space="preserve">Measured grid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600"/>
        <w:gridCol w:w="1600"/>
        <w:gridCol w:w="1900"/>
        <w:gridCol w:w="1900"/>
      </w:tblGrid>
      <w:tr>
        <w:trPr>
          <w:tblHeader/>
        </w:trPr>
        <w:tc>
          <w:tcPr>
            <w:tcW w:type="dxa" w:w="1100"/>
            <w:shd w:fill="2C3E50" w:val="clear"/>
            <w:tcMar>
              <w:top w:type="dxa" w:w="60"/>
              <w:left w:type="dxa" w:w="100"/>
              <w:bottom w:type="dxa" w:w="60"/>
              <w:right w:type="dxa" w:w="100"/>
            </w:tcMar>
            <w:vAlign w:val="center"/>
          </w:tcPr>
          <w:p>
            <w:pPr>
              <w:jc w:val="center"/>
            </w:pPr>
            <w:r>
              <w:rPr>
                <w:b/>
                <w:bCs/>
                <w:color w:val="FFFFFF"/>
                <w:sz w:val="19"/>
                <w:szCs w:val="19"/>
              </w:rPr>
              <w:t xml:space="preserve">pH</w:t>
            </w:r>
          </w:p>
        </w:tc>
        <w:tc>
          <w:tcPr>
            <w:tcW w:type="dxa" w:w="1400"/>
            <w:shd w:fill="2C3E50" w:val="clear"/>
            <w:tcMar>
              <w:top w:type="dxa" w:w="60"/>
              <w:left w:type="dxa" w:w="100"/>
              <w:bottom w:type="dxa" w:w="60"/>
              <w:right w:type="dxa" w:w="100"/>
            </w:tcMar>
            <w:vAlign w:val="center"/>
          </w:tcPr>
          <w:p>
            <w:pPr>
              <w:jc w:val="center"/>
            </w:pPr>
            <w:r>
              <w:rPr>
                <w:b/>
                <w:bCs/>
                <w:color w:val="FFFFFF"/>
                <w:sz w:val="19"/>
                <w:szCs w:val="19"/>
              </w:rPr>
              <w:t xml:space="preserve">I (mM)</w:t>
            </w:r>
          </w:p>
        </w:tc>
        <w:tc>
          <w:tcPr>
            <w:tcW w:type="dxa" w:w="1600"/>
            <w:shd w:fill="2C3E50" w:val="clear"/>
            <w:tcMar>
              <w:top w:type="dxa" w:w="60"/>
              <w:left w:type="dxa" w:w="100"/>
              <w:bottom w:type="dxa" w:w="60"/>
              <w:right w:type="dxa" w:w="100"/>
            </w:tcMar>
            <w:vAlign w:val="center"/>
          </w:tcPr>
          <w:p>
            <w:pPr>
              <w:jc w:val="center"/>
            </w:pPr>
            <w:r>
              <w:rPr>
                <w:b/>
                <w:bCs/>
                <w:color w:val="FFFFFF"/>
                <w:sz w:val="19"/>
                <w:szCs w:val="19"/>
              </w:rPr>
              <w:t xml:space="preserve">zeta (mV)</w:t>
            </w:r>
          </w:p>
        </w:tc>
        <w:tc>
          <w:tcPr>
            <w:tcW w:type="dxa" w:w="1600"/>
            <w:shd w:fill="2C3E50" w:val="clear"/>
            <w:tcMar>
              <w:top w:type="dxa" w:w="60"/>
              <w:left w:type="dxa" w:w="100"/>
              <w:bottom w:type="dxa" w:w="60"/>
              <w:right w:type="dxa" w:w="100"/>
            </w:tcMar>
            <w:vAlign w:val="center"/>
          </w:tcPr>
          <w:p>
            <w:pPr>
              <w:jc w:val="center"/>
            </w:pPr>
            <w:r>
              <w:rPr>
                <w:b/>
                <w:bCs/>
                <w:color w:val="FFFFFF"/>
                <w:sz w:val="19"/>
                <w:szCs w:val="19"/>
              </w:rPr>
              <w:t xml:space="preserve">radius (nm)</w:t>
            </w:r>
          </w:p>
        </w:tc>
        <w:tc>
          <w:tcPr>
            <w:tcW w:type="dxa" w:w="1900"/>
            <w:shd w:fill="2C3E50" w:val="clear"/>
            <w:tcMar>
              <w:top w:type="dxa" w:w="60"/>
              <w:left w:type="dxa" w:w="100"/>
              <w:bottom w:type="dxa" w:w="60"/>
              <w:right w:type="dxa" w:w="100"/>
            </w:tcMar>
            <w:vAlign w:val="center"/>
          </w:tcPr>
          <w:p>
            <w:pPr>
              <w:jc w:val="center"/>
            </w:pPr>
            <w:r>
              <w:rPr>
                <w:b/>
                <w:bCs/>
                <w:color w:val="FFFFFF"/>
                <w:sz w:val="19"/>
                <w:szCs w:val="19"/>
              </w:rPr>
              <w:t xml:space="preserve">V_max (kT)</w:t>
            </w:r>
          </w:p>
        </w:tc>
        <w:tc>
          <w:tcPr>
            <w:tcW w:type="dxa" w:w="1900"/>
            <w:shd w:fill="2C3E50" w:val="clear"/>
            <w:tcMar>
              <w:top w:type="dxa" w:w="60"/>
              <w:left w:type="dxa" w:w="100"/>
              <w:bottom w:type="dxa" w:w="60"/>
              <w:right w:type="dxa" w:w="100"/>
            </w:tcMar>
            <w:vAlign w:val="center"/>
          </w:tcPr>
          <w:p>
            <w:pPr>
              <w:jc w:val="center"/>
            </w:pPr>
            <w:r>
              <w:rPr>
                <w:b/>
                <w:bCs/>
                <w:color w:val="FFFFFF"/>
                <w:sz w:val="19"/>
                <w:szCs w:val="19"/>
              </w:rPr>
              <w:t xml:space="preserve">Call</w:t>
            </w:r>
          </w:p>
        </w:tc>
      </w:tr>
      <w:tr>
        <w:tc>
          <w:tcPr>
            <w:tcW w:type="dxa" w:w="1100"/>
            <w:tcMar>
              <w:top w:type="dxa" w:w="60"/>
              <w:left w:type="dxa" w:w="100"/>
              <w:bottom w:type="dxa" w:w="60"/>
              <w:right w:type="dxa" w:w="100"/>
            </w:tcMar>
            <w:vAlign w:val="center"/>
          </w:tcPr>
          <w:p>
            <w:pPr>
              <w:jc w:val="center"/>
            </w:pPr>
            <w:r>
              <w:rPr>
                <w:b w:val="false"/>
                <w:bCs w:val="false"/>
                <w:sz w:val="19"/>
                <w:szCs w:val="19"/>
              </w:rPr>
              <w:t xml:space="preserve">3.0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25</w:t>
            </w:r>
          </w:p>
        </w:tc>
        <w:tc>
          <w:tcPr>
            <w:tcW w:type="dxa" w:w="1600"/>
            <w:tcMar>
              <w:top w:type="dxa" w:w="60"/>
              <w:left w:type="dxa" w:w="100"/>
              <w:bottom w:type="dxa" w:w="60"/>
              <w:right w:type="dxa" w:w="100"/>
            </w:tcMar>
            <w:vAlign w:val="center"/>
          </w:tcPr>
          <w:p>
            <w:pPr>
              <w:jc w:val="right"/>
            </w:pPr>
            <w:r>
              <w:rPr>
                <w:b w:val="false"/>
                <w:bCs w:val="false"/>
                <w:sz w:val="19"/>
                <w:szCs w:val="19"/>
              </w:rPr>
              <w:t xml:space="preserve">8.80</w:t>
            </w:r>
          </w:p>
        </w:tc>
        <w:tc>
          <w:tcPr>
            <w:tcW w:type="dxa" w:w="1600"/>
            <w:tcMar>
              <w:top w:type="dxa" w:w="60"/>
              <w:left w:type="dxa" w:w="100"/>
              <w:bottom w:type="dxa" w:w="60"/>
              <w:right w:type="dxa" w:w="100"/>
            </w:tcMar>
            <w:vAlign w:val="center"/>
          </w:tcPr>
          <w:p>
            <w:pPr>
              <w:jc w:val="right"/>
            </w:pPr>
            <w:r>
              <w:rPr>
                <w:b w:val="false"/>
                <w:bCs w:val="false"/>
                <w:sz w:val="19"/>
                <w:szCs w:val="19"/>
              </w:rPr>
              <w:t xml:space="preserve">83</w:t>
            </w:r>
          </w:p>
        </w:tc>
        <w:tc>
          <w:tcPr>
            <w:tcW w:type="dxa" w:w="1900"/>
            <w:tcMar>
              <w:top w:type="dxa" w:w="60"/>
              <w:left w:type="dxa" w:w="100"/>
              <w:bottom w:type="dxa" w:w="60"/>
              <w:right w:type="dxa" w:w="100"/>
            </w:tcMar>
            <w:vAlign w:val="center"/>
          </w:tcPr>
          <w:p>
            <w:pPr>
              <w:jc w:val="right"/>
            </w:pPr>
            <w:r>
              <w:rPr>
                <w:b w:val="false"/>
                <w:bCs w:val="false"/>
                <w:sz w:val="19"/>
                <w:szCs w:val="19"/>
              </w:rPr>
              <w:t xml:space="preserve">-0.05</w:t>
            </w:r>
          </w:p>
        </w:tc>
        <w:tc>
          <w:tcPr>
            <w:tcW w:type="dxa" w:w="1900"/>
            <w:tcMar>
              <w:top w:type="dxa" w:w="60"/>
              <w:left w:type="dxa" w:w="100"/>
              <w:bottom w:type="dxa" w:w="60"/>
              <w:right w:type="dxa" w:w="100"/>
            </w:tcMar>
            <w:vAlign w:val="center"/>
          </w:tcPr>
          <w:p>
            <w:pPr>
              <w:jc w:val="right"/>
            </w:pPr>
            <w:r>
              <w:rPr>
                <w:b w:val="false"/>
                <w:bCs w:val="false"/>
                <w:sz w:val="19"/>
                <w:szCs w:val="19"/>
              </w:rPr>
              <w:t xml:space="preserve">unstable</w:t>
            </w:r>
          </w:p>
        </w:tc>
      </w:tr>
      <w:tr>
        <w:tc>
          <w:tcPr>
            <w:tcW w:type="dxa" w:w="1100"/>
            <w:shd w:fill="F2F2F2" w:val="clear"/>
            <w:tcMar>
              <w:top w:type="dxa" w:w="60"/>
              <w:left w:type="dxa" w:w="100"/>
              <w:bottom w:type="dxa" w:w="60"/>
              <w:right w:type="dxa" w:w="100"/>
            </w:tcMar>
            <w:vAlign w:val="center"/>
          </w:tcPr>
          <w:p>
            <w:pPr>
              <w:jc w:val="center"/>
            </w:pPr>
            <w:r>
              <w:rPr>
                <w:b w:val="false"/>
                <w:bCs w:val="false"/>
                <w:sz w:val="19"/>
                <w:szCs w:val="19"/>
              </w:rPr>
              <w:t xml:space="preserve">3.0</w:t>
            </w:r>
          </w:p>
        </w:tc>
        <w:tc>
          <w:tcPr>
            <w:tcW w:type="dxa" w:w="1400"/>
            <w:shd w:fill="F2F2F2" w:val="clear"/>
            <w:tcMar>
              <w:top w:type="dxa" w:w="60"/>
              <w:left w:type="dxa" w:w="100"/>
              <w:bottom w:type="dxa" w:w="60"/>
              <w:right w:type="dxa" w:w="100"/>
            </w:tcMar>
            <w:vAlign w:val="center"/>
          </w:tcPr>
          <w:p>
            <w:pPr>
              <w:jc w:val="center"/>
            </w:pPr>
            <w:r>
              <w:rPr>
                <w:b w:val="false"/>
                <w:bCs w:val="false"/>
                <w:sz w:val="19"/>
                <w:szCs w:val="19"/>
              </w:rPr>
              <w:t xml:space="preserve">50</w:t>
            </w:r>
          </w:p>
        </w:tc>
        <w:tc>
          <w:tcPr>
            <w:tcW w:type="dxa" w:w="1600"/>
            <w:shd w:fill="F2F2F2" w:val="clear"/>
            <w:tcMar>
              <w:top w:type="dxa" w:w="60"/>
              <w:left w:type="dxa" w:w="100"/>
              <w:bottom w:type="dxa" w:w="60"/>
              <w:right w:type="dxa" w:w="100"/>
            </w:tcMar>
            <w:vAlign w:val="center"/>
          </w:tcPr>
          <w:p>
            <w:pPr>
              <w:jc w:val="right"/>
            </w:pPr>
            <w:r>
              <w:rPr>
                <w:b w:val="false"/>
                <w:bCs w:val="false"/>
                <w:sz w:val="19"/>
                <w:szCs w:val="19"/>
              </w:rPr>
              <w:t xml:space="preserve">12.35</w:t>
            </w:r>
          </w:p>
        </w:tc>
        <w:tc>
          <w:tcPr>
            <w:tcW w:type="dxa" w:w="1600"/>
            <w:shd w:fill="F2F2F2" w:val="clear"/>
            <w:tcMar>
              <w:top w:type="dxa" w:w="60"/>
              <w:left w:type="dxa" w:w="100"/>
              <w:bottom w:type="dxa" w:w="60"/>
              <w:right w:type="dxa" w:w="100"/>
            </w:tcMar>
            <w:vAlign w:val="center"/>
          </w:tcPr>
          <w:p>
            <w:pPr>
              <w:jc w:val="right"/>
            </w:pPr>
            <w:r>
              <w:rPr>
                <w:b w:val="false"/>
                <w:bCs w:val="false"/>
                <w:sz w:val="19"/>
                <w:szCs w:val="19"/>
              </w:rPr>
              <w:t xml:space="preserve">116</w:t>
            </w:r>
          </w:p>
        </w:tc>
        <w:tc>
          <w:tcPr>
            <w:tcW w:type="dxa" w:w="1900"/>
            <w:shd w:fill="F2F2F2" w:val="clear"/>
            <w:tcMar>
              <w:top w:type="dxa" w:w="60"/>
              <w:left w:type="dxa" w:w="100"/>
              <w:bottom w:type="dxa" w:w="60"/>
              <w:right w:type="dxa" w:w="100"/>
            </w:tcMar>
            <w:vAlign w:val="center"/>
          </w:tcPr>
          <w:p>
            <w:pPr>
              <w:jc w:val="right"/>
            </w:pPr>
            <w:r>
              <w:rPr>
                <w:b w:val="false"/>
                <w:bCs w:val="false"/>
                <w:sz w:val="19"/>
                <w:szCs w:val="19"/>
              </w:rPr>
              <w:t xml:space="preserve">-0.10</w:t>
            </w:r>
          </w:p>
        </w:tc>
        <w:tc>
          <w:tcPr>
            <w:tcW w:type="dxa" w:w="1900"/>
            <w:shd w:fill="F2F2F2" w:val="clear"/>
            <w:tcMar>
              <w:top w:type="dxa" w:w="60"/>
              <w:left w:type="dxa" w:w="100"/>
              <w:bottom w:type="dxa" w:w="60"/>
              <w:right w:type="dxa" w:w="100"/>
            </w:tcMar>
            <w:vAlign w:val="center"/>
          </w:tcPr>
          <w:p>
            <w:pPr>
              <w:jc w:val="right"/>
            </w:pPr>
            <w:r>
              <w:rPr>
                <w:b w:val="false"/>
                <w:bCs w:val="false"/>
                <w:sz w:val="19"/>
                <w:szCs w:val="19"/>
              </w:rPr>
              <w:t xml:space="preserve">unstable</w:t>
            </w:r>
          </w:p>
        </w:tc>
      </w:tr>
      <w:tr>
        <w:tc>
          <w:tcPr>
            <w:tcW w:type="dxa" w:w="1100"/>
            <w:tcMar>
              <w:top w:type="dxa" w:w="60"/>
              <w:left w:type="dxa" w:w="100"/>
              <w:bottom w:type="dxa" w:w="60"/>
              <w:right w:type="dxa" w:w="100"/>
            </w:tcMar>
            <w:vAlign w:val="center"/>
          </w:tcPr>
          <w:p>
            <w:pPr>
              <w:jc w:val="center"/>
            </w:pPr>
            <w:r>
              <w:rPr>
                <w:b w:val="false"/>
                <w:bCs w:val="false"/>
                <w:sz w:val="19"/>
                <w:szCs w:val="19"/>
              </w:rPr>
              <w:t xml:space="preserve">3.0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100</w:t>
            </w:r>
          </w:p>
        </w:tc>
        <w:tc>
          <w:tcPr>
            <w:tcW w:type="dxa" w:w="1600"/>
            <w:tcMar>
              <w:top w:type="dxa" w:w="60"/>
              <w:left w:type="dxa" w:w="100"/>
              <w:bottom w:type="dxa" w:w="60"/>
              <w:right w:type="dxa" w:w="100"/>
            </w:tcMar>
            <w:vAlign w:val="center"/>
          </w:tcPr>
          <w:p>
            <w:pPr>
              <w:jc w:val="right"/>
            </w:pPr>
            <w:r>
              <w:rPr>
                <w:b w:val="false"/>
                <w:bCs w:val="false"/>
                <w:sz w:val="19"/>
                <w:szCs w:val="19"/>
              </w:rPr>
              <w:t xml:space="preserve">13.35</w:t>
            </w:r>
          </w:p>
        </w:tc>
        <w:tc>
          <w:tcPr>
            <w:tcW w:type="dxa" w:w="1600"/>
            <w:tcMar>
              <w:top w:type="dxa" w:w="60"/>
              <w:left w:type="dxa" w:w="100"/>
              <w:bottom w:type="dxa" w:w="60"/>
              <w:right w:type="dxa" w:w="100"/>
            </w:tcMar>
            <w:vAlign w:val="center"/>
          </w:tcPr>
          <w:p>
            <w:pPr>
              <w:jc w:val="right"/>
            </w:pPr>
            <w:r>
              <w:rPr>
                <w:b w:val="false"/>
                <w:bCs w:val="false"/>
                <w:sz w:val="19"/>
                <w:szCs w:val="19"/>
              </w:rPr>
              <w:t xml:space="preserve">175</w:t>
            </w:r>
          </w:p>
        </w:tc>
        <w:tc>
          <w:tcPr>
            <w:tcW w:type="dxa" w:w="1900"/>
            <w:tcMar>
              <w:top w:type="dxa" w:w="60"/>
              <w:left w:type="dxa" w:w="100"/>
              <w:bottom w:type="dxa" w:w="60"/>
              <w:right w:type="dxa" w:w="100"/>
            </w:tcMar>
            <w:vAlign w:val="center"/>
          </w:tcPr>
          <w:p>
            <w:pPr>
              <w:jc w:val="right"/>
            </w:pPr>
            <w:r>
              <w:rPr>
                <w:b w:val="false"/>
                <w:bCs w:val="false"/>
                <w:sz w:val="19"/>
                <w:szCs w:val="19"/>
              </w:rPr>
              <w:t xml:space="preserve">-0.23</w:t>
            </w:r>
          </w:p>
        </w:tc>
        <w:tc>
          <w:tcPr>
            <w:tcW w:type="dxa" w:w="1900"/>
            <w:tcMar>
              <w:top w:type="dxa" w:w="60"/>
              <w:left w:type="dxa" w:w="100"/>
              <w:bottom w:type="dxa" w:w="60"/>
              <w:right w:type="dxa" w:w="100"/>
            </w:tcMar>
            <w:vAlign w:val="center"/>
          </w:tcPr>
          <w:p>
            <w:pPr>
              <w:jc w:val="right"/>
            </w:pPr>
            <w:r>
              <w:rPr>
                <w:b w:val="false"/>
                <w:bCs w:val="false"/>
                <w:sz w:val="19"/>
                <w:szCs w:val="19"/>
              </w:rPr>
              <w:t xml:space="preserve">unstable</w:t>
            </w:r>
          </w:p>
        </w:tc>
      </w:tr>
      <w:tr>
        <w:tc>
          <w:tcPr>
            <w:tcW w:type="dxa" w:w="1100"/>
            <w:shd w:fill="F2F2F2" w:val="clear"/>
            <w:tcMar>
              <w:top w:type="dxa" w:w="60"/>
              <w:left w:type="dxa" w:w="100"/>
              <w:bottom w:type="dxa" w:w="60"/>
              <w:right w:type="dxa" w:w="100"/>
            </w:tcMar>
            <w:vAlign w:val="center"/>
          </w:tcPr>
          <w:p>
            <w:pPr>
              <w:jc w:val="center"/>
            </w:pPr>
            <w:r>
              <w:rPr>
                <w:b w:val="false"/>
                <w:bCs w:val="false"/>
                <w:sz w:val="19"/>
                <w:szCs w:val="19"/>
              </w:rPr>
              <w:t xml:space="preserve">4.0</w:t>
            </w:r>
          </w:p>
        </w:tc>
        <w:tc>
          <w:tcPr>
            <w:tcW w:type="dxa" w:w="1400"/>
            <w:shd w:fill="F2F2F2" w:val="clear"/>
            <w:tcMar>
              <w:top w:type="dxa" w:w="60"/>
              <w:left w:type="dxa" w:w="100"/>
              <w:bottom w:type="dxa" w:w="60"/>
              <w:right w:type="dxa" w:w="100"/>
            </w:tcMar>
            <w:vAlign w:val="center"/>
          </w:tcPr>
          <w:p>
            <w:pPr>
              <w:jc w:val="center"/>
            </w:pPr>
            <w:r>
              <w:rPr>
                <w:b w:val="false"/>
                <w:bCs w:val="false"/>
                <w:sz w:val="19"/>
                <w:szCs w:val="19"/>
              </w:rPr>
              <w:t xml:space="preserve">25</w:t>
            </w:r>
          </w:p>
        </w:tc>
        <w:tc>
          <w:tcPr>
            <w:tcW w:type="dxa" w:w="1600"/>
            <w:shd w:fill="F2F2F2" w:val="clear"/>
            <w:tcMar>
              <w:top w:type="dxa" w:w="60"/>
              <w:left w:type="dxa" w:w="100"/>
              <w:bottom w:type="dxa" w:w="60"/>
              <w:right w:type="dxa" w:w="100"/>
            </w:tcMar>
            <w:vAlign w:val="center"/>
          </w:tcPr>
          <w:p>
            <w:pPr>
              <w:jc w:val="right"/>
            </w:pPr>
            <w:r>
              <w:rPr>
                <w:b w:val="false"/>
                <w:bCs w:val="false"/>
                <w:sz w:val="19"/>
                <w:szCs w:val="19"/>
              </w:rPr>
              <w:t xml:space="preserve">4.69</w:t>
            </w:r>
          </w:p>
        </w:tc>
        <w:tc>
          <w:tcPr>
            <w:tcW w:type="dxa" w:w="1600"/>
            <w:shd w:fill="F2F2F2" w:val="clear"/>
            <w:tcMar>
              <w:top w:type="dxa" w:w="60"/>
              <w:left w:type="dxa" w:w="100"/>
              <w:bottom w:type="dxa" w:w="60"/>
              <w:right w:type="dxa" w:w="100"/>
            </w:tcMar>
            <w:vAlign w:val="center"/>
          </w:tcPr>
          <w:p>
            <w:pPr>
              <w:jc w:val="right"/>
            </w:pPr>
            <w:r>
              <w:rPr>
                <w:b w:val="false"/>
                <w:bCs w:val="false"/>
                <w:sz w:val="19"/>
                <w:szCs w:val="19"/>
              </w:rPr>
              <w:t xml:space="preserve">246</w:t>
            </w:r>
          </w:p>
        </w:tc>
        <w:tc>
          <w:tcPr>
            <w:tcW w:type="dxa" w:w="1900"/>
            <w:shd w:fill="F2F2F2" w:val="clear"/>
            <w:tcMar>
              <w:top w:type="dxa" w:w="60"/>
              <w:left w:type="dxa" w:w="100"/>
              <w:bottom w:type="dxa" w:w="60"/>
              <w:right w:type="dxa" w:w="100"/>
            </w:tcMar>
            <w:vAlign w:val="center"/>
          </w:tcPr>
          <w:p>
            <w:pPr>
              <w:jc w:val="right"/>
            </w:pPr>
            <w:r>
              <w:rPr>
                <w:b w:val="false"/>
                <w:bCs w:val="false"/>
                <w:sz w:val="19"/>
                <w:szCs w:val="19"/>
              </w:rPr>
              <w:t xml:space="preserve">-0.41</w:t>
            </w:r>
          </w:p>
        </w:tc>
        <w:tc>
          <w:tcPr>
            <w:tcW w:type="dxa" w:w="1900"/>
            <w:shd w:fill="F2F2F2" w:val="clear"/>
            <w:tcMar>
              <w:top w:type="dxa" w:w="60"/>
              <w:left w:type="dxa" w:w="100"/>
              <w:bottom w:type="dxa" w:w="60"/>
              <w:right w:type="dxa" w:w="100"/>
            </w:tcMar>
            <w:vAlign w:val="center"/>
          </w:tcPr>
          <w:p>
            <w:pPr>
              <w:jc w:val="right"/>
            </w:pPr>
            <w:r>
              <w:rPr>
                <w:b w:val="false"/>
                <w:bCs w:val="false"/>
                <w:sz w:val="19"/>
                <w:szCs w:val="19"/>
              </w:rPr>
              <w:t xml:space="preserve">unstable</w:t>
            </w:r>
          </w:p>
        </w:tc>
      </w:tr>
      <w:tr>
        <w:tc>
          <w:tcPr>
            <w:tcW w:type="dxa" w:w="1100"/>
            <w:tcMar>
              <w:top w:type="dxa" w:w="60"/>
              <w:left w:type="dxa" w:w="100"/>
              <w:bottom w:type="dxa" w:w="60"/>
              <w:right w:type="dxa" w:w="100"/>
            </w:tcMar>
            <w:vAlign w:val="center"/>
          </w:tcPr>
          <w:p>
            <w:pPr>
              <w:jc w:val="center"/>
            </w:pPr>
            <w:r>
              <w:rPr>
                <w:b w:val="false"/>
                <w:bCs w:val="false"/>
                <w:sz w:val="19"/>
                <w:szCs w:val="19"/>
              </w:rPr>
              <w:t xml:space="preserve">4.0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50</w:t>
            </w:r>
          </w:p>
        </w:tc>
        <w:tc>
          <w:tcPr>
            <w:tcW w:type="dxa" w:w="1600"/>
            <w:tcMar>
              <w:top w:type="dxa" w:w="60"/>
              <w:left w:type="dxa" w:w="100"/>
              <w:bottom w:type="dxa" w:w="60"/>
              <w:right w:type="dxa" w:w="100"/>
            </w:tcMar>
            <w:vAlign w:val="center"/>
          </w:tcPr>
          <w:p>
            <w:pPr>
              <w:jc w:val="right"/>
            </w:pPr>
            <w:r>
              <w:rPr>
                <w:b w:val="false"/>
                <w:bCs w:val="false"/>
                <w:sz w:val="19"/>
                <w:szCs w:val="19"/>
              </w:rPr>
              <w:t xml:space="preserve">6.56</w:t>
            </w:r>
          </w:p>
        </w:tc>
        <w:tc>
          <w:tcPr>
            <w:tcW w:type="dxa" w:w="1600"/>
            <w:tcMar>
              <w:top w:type="dxa" w:w="60"/>
              <w:left w:type="dxa" w:w="100"/>
              <w:bottom w:type="dxa" w:w="60"/>
              <w:right w:type="dxa" w:w="100"/>
            </w:tcMar>
            <w:vAlign w:val="center"/>
          </w:tcPr>
          <w:p>
            <w:pPr>
              <w:jc w:val="right"/>
            </w:pPr>
            <w:r>
              <w:rPr>
                <w:b w:val="false"/>
                <w:bCs w:val="false"/>
                <w:sz w:val="19"/>
                <w:szCs w:val="19"/>
              </w:rPr>
              <w:t xml:space="preserve">441</w:t>
            </w:r>
          </w:p>
        </w:tc>
        <w:tc>
          <w:tcPr>
            <w:tcW w:type="dxa" w:w="1900"/>
            <w:tcMar>
              <w:top w:type="dxa" w:w="60"/>
              <w:left w:type="dxa" w:w="100"/>
              <w:bottom w:type="dxa" w:w="60"/>
              <w:right w:type="dxa" w:w="100"/>
            </w:tcMar>
            <w:vAlign w:val="center"/>
          </w:tcPr>
          <w:p>
            <w:pPr>
              <w:jc w:val="right"/>
            </w:pPr>
            <w:r>
              <w:rPr>
                <w:b w:val="false"/>
                <w:bCs w:val="false"/>
                <w:sz w:val="19"/>
                <w:szCs w:val="19"/>
              </w:rPr>
              <w:t xml:space="preserve">-1.00</w:t>
            </w:r>
          </w:p>
        </w:tc>
        <w:tc>
          <w:tcPr>
            <w:tcW w:type="dxa" w:w="1900"/>
            <w:tcMar>
              <w:top w:type="dxa" w:w="60"/>
              <w:left w:type="dxa" w:w="100"/>
              <w:bottom w:type="dxa" w:w="60"/>
              <w:right w:type="dxa" w:w="100"/>
            </w:tcMar>
            <w:vAlign w:val="center"/>
          </w:tcPr>
          <w:p>
            <w:pPr>
              <w:jc w:val="right"/>
            </w:pPr>
            <w:r>
              <w:rPr>
                <w:b w:val="false"/>
                <w:bCs w:val="false"/>
                <w:sz w:val="19"/>
                <w:szCs w:val="19"/>
              </w:rPr>
              <w:t xml:space="preserve">unstable</w:t>
            </w:r>
          </w:p>
        </w:tc>
      </w:tr>
      <w:tr>
        <w:tc>
          <w:tcPr>
            <w:tcW w:type="dxa" w:w="1100"/>
            <w:shd w:fill="F2F2F2" w:val="clear"/>
            <w:tcMar>
              <w:top w:type="dxa" w:w="60"/>
              <w:left w:type="dxa" w:w="100"/>
              <w:bottom w:type="dxa" w:w="60"/>
              <w:right w:type="dxa" w:w="100"/>
            </w:tcMar>
            <w:vAlign w:val="center"/>
          </w:tcPr>
          <w:p>
            <w:pPr>
              <w:jc w:val="center"/>
            </w:pPr>
            <w:r>
              <w:rPr>
                <w:b w:val="false"/>
                <w:bCs w:val="false"/>
                <w:sz w:val="19"/>
                <w:szCs w:val="19"/>
              </w:rPr>
              <w:t xml:space="preserve">4.0</w:t>
            </w:r>
          </w:p>
        </w:tc>
        <w:tc>
          <w:tcPr>
            <w:tcW w:type="dxa" w:w="1400"/>
            <w:shd w:fill="F2F2F2" w:val="clear"/>
            <w:tcMar>
              <w:top w:type="dxa" w:w="60"/>
              <w:left w:type="dxa" w:w="100"/>
              <w:bottom w:type="dxa" w:w="60"/>
              <w:right w:type="dxa" w:w="100"/>
            </w:tcMar>
            <w:vAlign w:val="center"/>
          </w:tcPr>
          <w:p>
            <w:pPr>
              <w:jc w:val="center"/>
            </w:pPr>
            <w:r>
              <w:rPr>
                <w:b w:val="false"/>
                <w:bCs w:val="false"/>
                <w:sz w:val="19"/>
                <w:szCs w:val="19"/>
              </w:rPr>
              <w:t xml:space="preserve">100</w:t>
            </w:r>
          </w:p>
        </w:tc>
        <w:tc>
          <w:tcPr>
            <w:tcW w:type="dxa" w:w="1600"/>
            <w:shd w:fill="F2F2F2" w:val="clear"/>
            <w:tcMar>
              <w:top w:type="dxa" w:w="60"/>
              <w:left w:type="dxa" w:w="100"/>
              <w:bottom w:type="dxa" w:w="60"/>
              <w:right w:type="dxa" w:w="100"/>
            </w:tcMar>
            <w:vAlign w:val="center"/>
          </w:tcPr>
          <w:p>
            <w:pPr>
              <w:jc w:val="right"/>
            </w:pPr>
            <w:r>
              <w:rPr>
                <w:b w:val="false"/>
                <w:bCs w:val="false"/>
                <w:sz w:val="19"/>
                <w:szCs w:val="19"/>
              </w:rPr>
              <w:t xml:space="preserve">9.05</w:t>
            </w:r>
          </w:p>
        </w:tc>
        <w:tc>
          <w:tcPr>
            <w:tcW w:type="dxa" w:w="1600"/>
            <w:shd w:fill="F2F2F2" w:val="clear"/>
            <w:tcMar>
              <w:top w:type="dxa" w:w="60"/>
              <w:left w:type="dxa" w:w="100"/>
              <w:bottom w:type="dxa" w:w="60"/>
              <w:right w:type="dxa" w:w="100"/>
            </w:tcMar>
            <w:vAlign w:val="center"/>
          </w:tcPr>
          <w:p>
            <w:pPr>
              <w:jc w:val="right"/>
            </w:pPr>
            <w:r>
              <w:rPr>
                <w:b w:val="false"/>
                <w:bCs w:val="false"/>
                <w:sz w:val="19"/>
                <w:szCs w:val="19"/>
              </w:rPr>
              <w:t xml:space="preserve">8404*</w:t>
            </w:r>
          </w:p>
        </w:tc>
        <w:tc>
          <w:tcPr>
            <w:tcW w:type="dxa" w:w="1900"/>
            <w:shd w:fill="F2F2F2" w:val="clear"/>
            <w:tcMar>
              <w:top w:type="dxa" w:w="60"/>
              <w:left w:type="dxa" w:w="100"/>
              <w:bottom w:type="dxa" w:w="60"/>
              <w:right w:type="dxa" w:w="100"/>
            </w:tcMar>
            <w:vAlign w:val="center"/>
          </w:tcPr>
          <w:p>
            <w:pPr>
              <w:jc w:val="right"/>
            </w:pPr>
            <w:r>
              <w:rPr>
                <w:b w:val="false"/>
                <w:bCs w:val="false"/>
                <w:sz w:val="19"/>
                <w:szCs w:val="19"/>
              </w:rPr>
              <w:t xml:space="preserve">-32.10</w:t>
            </w:r>
          </w:p>
        </w:tc>
        <w:tc>
          <w:tcPr>
            <w:tcW w:type="dxa" w:w="1900"/>
            <w:shd w:fill="F2F2F2" w:val="clear"/>
            <w:tcMar>
              <w:top w:type="dxa" w:w="60"/>
              <w:left w:type="dxa" w:w="100"/>
              <w:bottom w:type="dxa" w:w="60"/>
              <w:right w:type="dxa" w:w="100"/>
            </w:tcMar>
            <w:vAlign w:val="center"/>
          </w:tcPr>
          <w:p>
            <w:pPr>
              <w:jc w:val="right"/>
            </w:pPr>
            <w:r>
              <w:rPr>
                <w:b w:val="false"/>
                <w:bCs w:val="false"/>
                <w:sz w:val="19"/>
                <w:szCs w:val="19"/>
              </w:rPr>
              <w:t xml:space="preserve">unstable</w:t>
            </w:r>
          </w:p>
        </w:tc>
      </w:tr>
      <w:tr>
        <w:tc>
          <w:tcPr>
            <w:tcW w:type="dxa" w:w="1100"/>
            <w:tcMar>
              <w:top w:type="dxa" w:w="60"/>
              <w:left w:type="dxa" w:w="100"/>
              <w:bottom w:type="dxa" w:w="60"/>
              <w:right w:type="dxa" w:w="100"/>
            </w:tcMar>
            <w:vAlign w:val="center"/>
          </w:tcPr>
          <w:p>
            <w:pPr>
              <w:jc w:val="center"/>
            </w:pPr>
            <w:r>
              <w:rPr>
                <w:b w:val="false"/>
                <w:bCs w:val="false"/>
                <w:sz w:val="19"/>
                <w:szCs w:val="19"/>
              </w:rPr>
              <w:t xml:space="preserve">5.5</w:t>
            </w:r>
          </w:p>
        </w:tc>
        <w:tc>
          <w:tcPr>
            <w:tcW w:type="dxa" w:w="1400"/>
            <w:tcMar>
              <w:top w:type="dxa" w:w="60"/>
              <w:left w:type="dxa" w:w="100"/>
              <w:bottom w:type="dxa" w:w="60"/>
              <w:right w:type="dxa" w:w="100"/>
            </w:tcMar>
            <w:vAlign w:val="center"/>
          </w:tcPr>
          <w:p>
            <w:pPr>
              <w:jc w:val="center"/>
            </w:pPr>
            <w:r>
              <w:rPr>
                <w:b w:val="false"/>
                <w:bCs w:val="false"/>
                <w:sz w:val="19"/>
                <w:szCs w:val="19"/>
              </w:rPr>
              <w:t xml:space="preserve">25</w:t>
            </w:r>
          </w:p>
        </w:tc>
        <w:tc>
          <w:tcPr>
            <w:tcW w:type="dxa" w:w="1600"/>
            <w:tcMar>
              <w:top w:type="dxa" w:w="60"/>
              <w:left w:type="dxa" w:w="100"/>
              <w:bottom w:type="dxa" w:w="60"/>
              <w:right w:type="dxa" w:w="100"/>
            </w:tcMar>
            <w:vAlign w:val="center"/>
          </w:tcPr>
          <w:p>
            <w:pPr>
              <w:jc w:val="right"/>
            </w:pPr>
            <w:r>
              <w:rPr>
                <w:b w:val="false"/>
                <w:bCs w:val="false"/>
                <w:sz w:val="19"/>
                <w:szCs w:val="19"/>
              </w:rPr>
              <w:t xml:space="preserve">-14.16</w:t>
            </w:r>
          </w:p>
        </w:tc>
        <w:tc>
          <w:tcPr>
            <w:tcW w:type="dxa" w:w="1600"/>
            <w:tcMar>
              <w:top w:type="dxa" w:w="60"/>
              <w:left w:type="dxa" w:w="100"/>
              <w:bottom w:type="dxa" w:w="60"/>
              <w:right w:type="dxa" w:w="100"/>
            </w:tcMar>
            <w:vAlign w:val="center"/>
          </w:tcPr>
          <w:p>
            <w:pPr>
              <w:jc w:val="right"/>
            </w:pPr>
            <w:r>
              <w:rPr>
                <w:b w:val="false"/>
                <w:bCs w:val="false"/>
                <w:sz w:val="19"/>
                <w:szCs w:val="19"/>
              </w:rPr>
              <w:t xml:space="preserve">77</w:t>
            </w:r>
          </w:p>
        </w:tc>
        <w:tc>
          <w:tcPr>
            <w:tcW w:type="dxa" w:w="1900"/>
            <w:tcMar>
              <w:top w:type="dxa" w:w="60"/>
              <w:left w:type="dxa" w:w="100"/>
              <w:bottom w:type="dxa" w:w="60"/>
              <w:right w:type="dxa" w:w="100"/>
            </w:tcMar>
            <w:vAlign w:val="center"/>
          </w:tcPr>
          <w:p>
            <w:pPr>
              <w:jc w:val="right"/>
            </w:pPr>
            <w:r>
              <w:rPr>
                <w:b w:val="false"/>
                <w:bCs w:val="false"/>
                <w:sz w:val="19"/>
                <w:szCs w:val="19"/>
              </w:rPr>
              <w:t xml:space="preserve">-0.04</w:t>
            </w:r>
          </w:p>
        </w:tc>
        <w:tc>
          <w:tcPr>
            <w:tcW w:type="dxa" w:w="1900"/>
            <w:tcMar>
              <w:top w:type="dxa" w:w="60"/>
              <w:left w:type="dxa" w:w="100"/>
              <w:bottom w:type="dxa" w:w="60"/>
              <w:right w:type="dxa" w:w="100"/>
            </w:tcMar>
            <w:vAlign w:val="center"/>
          </w:tcPr>
          <w:p>
            <w:pPr>
              <w:jc w:val="right"/>
            </w:pPr>
            <w:r>
              <w:rPr>
                <w:b w:val="false"/>
                <w:bCs w:val="false"/>
                <w:sz w:val="19"/>
                <w:szCs w:val="19"/>
              </w:rPr>
              <w:t xml:space="preserve">unstable</w:t>
            </w:r>
          </w:p>
        </w:tc>
      </w:tr>
      <w:tr>
        <w:tc>
          <w:tcPr>
            <w:tcW w:type="dxa" w:w="1100"/>
            <w:shd w:fill="F2F2F2" w:val="clear"/>
            <w:tcMar>
              <w:top w:type="dxa" w:w="60"/>
              <w:left w:type="dxa" w:w="100"/>
              <w:bottom w:type="dxa" w:w="60"/>
              <w:right w:type="dxa" w:w="100"/>
            </w:tcMar>
            <w:vAlign w:val="center"/>
          </w:tcPr>
          <w:p>
            <w:pPr>
              <w:jc w:val="center"/>
            </w:pPr>
            <w:r>
              <w:rPr>
                <w:b w:val="false"/>
                <w:bCs w:val="false"/>
                <w:sz w:val="19"/>
                <w:szCs w:val="19"/>
              </w:rPr>
              <w:t xml:space="preserve">5.5</w:t>
            </w:r>
          </w:p>
        </w:tc>
        <w:tc>
          <w:tcPr>
            <w:tcW w:type="dxa" w:w="1400"/>
            <w:shd w:fill="F2F2F2" w:val="clear"/>
            <w:tcMar>
              <w:top w:type="dxa" w:w="60"/>
              <w:left w:type="dxa" w:w="100"/>
              <w:bottom w:type="dxa" w:w="60"/>
              <w:right w:type="dxa" w:w="100"/>
            </w:tcMar>
            <w:vAlign w:val="center"/>
          </w:tcPr>
          <w:p>
            <w:pPr>
              <w:jc w:val="center"/>
            </w:pPr>
            <w:r>
              <w:rPr>
                <w:b w:val="false"/>
                <w:bCs w:val="false"/>
                <w:sz w:val="19"/>
                <w:szCs w:val="19"/>
              </w:rPr>
              <w:t xml:space="preserve">50</w:t>
            </w:r>
          </w:p>
        </w:tc>
        <w:tc>
          <w:tcPr>
            <w:tcW w:type="dxa" w:w="1600"/>
            <w:shd w:fill="F2F2F2" w:val="clear"/>
            <w:tcMar>
              <w:top w:type="dxa" w:w="60"/>
              <w:left w:type="dxa" w:w="100"/>
              <w:bottom w:type="dxa" w:w="60"/>
              <w:right w:type="dxa" w:w="100"/>
            </w:tcMar>
            <w:vAlign w:val="center"/>
          </w:tcPr>
          <w:p>
            <w:pPr>
              <w:jc w:val="right"/>
            </w:pPr>
            <w:r>
              <w:rPr>
                <w:b w:val="false"/>
                <w:bCs w:val="false"/>
                <w:sz w:val="19"/>
                <w:szCs w:val="19"/>
              </w:rPr>
              <w:t xml:space="preserve">-12.71</w:t>
            </w:r>
          </w:p>
        </w:tc>
        <w:tc>
          <w:tcPr>
            <w:tcW w:type="dxa" w:w="1600"/>
            <w:shd w:fill="F2F2F2" w:val="clear"/>
            <w:tcMar>
              <w:top w:type="dxa" w:w="60"/>
              <w:left w:type="dxa" w:w="100"/>
              <w:bottom w:type="dxa" w:w="60"/>
              <w:right w:type="dxa" w:w="100"/>
            </w:tcMar>
            <w:vAlign w:val="center"/>
          </w:tcPr>
          <w:p>
            <w:pPr>
              <w:jc w:val="right"/>
            </w:pPr>
            <w:r>
              <w:rPr>
                <w:b w:val="false"/>
                <w:bCs w:val="false"/>
                <w:sz w:val="19"/>
                <w:szCs w:val="19"/>
              </w:rPr>
              <w:t xml:space="preserve">73</w:t>
            </w:r>
          </w:p>
        </w:tc>
        <w:tc>
          <w:tcPr>
            <w:tcW w:type="dxa" w:w="1900"/>
            <w:shd w:fill="F2F2F2" w:val="clear"/>
            <w:tcMar>
              <w:top w:type="dxa" w:w="60"/>
              <w:left w:type="dxa" w:w="100"/>
              <w:bottom w:type="dxa" w:w="60"/>
              <w:right w:type="dxa" w:w="100"/>
            </w:tcMar>
            <w:vAlign w:val="center"/>
          </w:tcPr>
          <w:p>
            <w:pPr>
              <w:jc w:val="right"/>
            </w:pPr>
            <w:r>
              <w:rPr>
                <w:b w:val="false"/>
                <w:bCs w:val="false"/>
                <w:sz w:val="19"/>
                <w:szCs w:val="19"/>
              </w:rPr>
              <w:t xml:space="preserve">-0.04</w:t>
            </w:r>
          </w:p>
        </w:tc>
        <w:tc>
          <w:tcPr>
            <w:tcW w:type="dxa" w:w="1900"/>
            <w:shd w:fill="F2F2F2" w:val="clear"/>
            <w:tcMar>
              <w:top w:type="dxa" w:w="60"/>
              <w:left w:type="dxa" w:w="100"/>
              <w:bottom w:type="dxa" w:w="60"/>
              <w:right w:type="dxa" w:w="100"/>
            </w:tcMar>
            <w:vAlign w:val="center"/>
          </w:tcPr>
          <w:p>
            <w:pPr>
              <w:jc w:val="right"/>
            </w:pPr>
            <w:r>
              <w:rPr>
                <w:b w:val="false"/>
                <w:bCs w:val="false"/>
                <w:sz w:val="19"/>
                <w:szCs w:val="19"/>
              </w:rPr>
              <w:t xml:space="preserve">unstable</w:t>
            </w:r>
          </w:p>
        </w:tc>
      </w:tr>
      <w:tr>
        <w:tc>
          <w:tcPr>
            <w:tcW w:type="dxa" w:w="1100"/>
            <w:tcMar>
              <w:top w:type="dxa" w:w="60"/>
              <w:left w:type="dxa" w:w="100"/>
              <w:bottom w:type="dxa" w:w="60"/>
              <w:right w:type="dxa" w:w="100"/>
            </w:tcMar>
            <w:vAlign w:val="center"/>
          </w:tcPr>
          <w:p>
            <w:pPr>
              <w:jc w:val="center"/>
            </w:pPr>
            <w:r>
              <w:rPr>
                <w:b w:val="false"/>
                <w:bCs w:val="false"/>
                <w:sz w:val="19"/>
                <w:szCs w:val="19"/>
              </w:rPr>
              <w:t xml:space="preserve">5.5</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100</w:t>
            </w:r>
          </w:p>
        </w:tc>
        <w:tc>
          <w:tcPr>
            <w:tcW w:type="dxa" w:w="1600"/>
            <w:tcMar>
              <w:top w:type="dxa" w:w="60"/>
              <w:left w:type="dxa" w:w="100"/>
              <w:bottom w:type="dxa" w:w="60"/>
              <w:right w:type="dxa" w:w="100"/>
            </w:tcMar>
            <w:vAlign w:val="center"/>
          </w:tcPr>
          <w:p>
            <w:pPr>
              <w:jc w:val="right"/>
            </w:pPr>
            <w:r>
              <w:rPr>
                <w:b w:val="false"/>
                <w:bCs w:val="false"/>
                <w:sz w:val="19"/>
                <w:szCs w:val="19"/>
              </w:rPr>
              <w:t xml:space="preserve">-11.40</w:t>
            </w:r>
          </w:p>
        </w:tc>
        <w:tc>
          <w:tcPr>
            <w:tcW w:type="dxa" w:w="1600"/>
            <w:tcMar>
              <w:top w:type="dxa" w:w="60"/>
              <w:left w:type="dxa" w:w="100"/>
              <w:bottom w:type="dxa" w:w="60"/>
              <w:right w:type="dxa" w:w="100"/>
            </w:tcMar>
            <w:vAlign w:val="center"/>
          </w:tcPr>
          <w:p>
            <w:pPr>
              <w:jc w:val="right"/>
            </w:pPr>
            <w:r>
              <w:rPr>
                <w:b w:val="false"/>
                <w:bCs w:val="false"/>
                <w:sz w:val="19"/>
                <w:szCs w:val="19"/>
              </w:rPr>
              <w:t xml:space="preserve">68</w:t>
            </w:r>
          </w:p>
        </w:tc>
        <w:tc>
          <w:tcPr>
            <w:tcW w:type="dxa" w:w="1900"/>
            <w:tcMar>
              <w:top w:type="dxa" w:w="60"/>
              <w:left w:type="dxa" w:w="100"/>
              <w:bottom w:type="dxa" w:w="60"/>
              <w:right w:type="dxa" w:w="100"/>
            </w:tcMar>
            <w:vAlign w:val="center"/>
          </w:tcPr>
          <w:p>
            <w:pPr>
              <w:jc w:val="right"/>
            </w:pPr>
            <w:r>
              <w:rPr>
                <w:b w:val="false"/>
                <w:bCs w:val="false"/>
                <w:sz w:val="19"/>
                <w:szCs w:val="19"/>
              </w:rPr>
              <w:t xml:space="preserve">-0.03</w:t>
            </w:r>
          </w:p>
        </w:tc>
        <w:tc>
          <w:tcPr>
            <w:tcW w:type="dxa" w:w="1900"/>
            <w:tcMar>
              <w:top w:type="dxa" w:w="60"/>
              <w:left w:type="dxa" w:w="100"/>
              <w:bottom w:type="dxa" w:w="60"/>
              <w:right w:type="dxa" w:w="100"/>
            </w:tcMar>
            <w:vAlign w:val="center"/>
          </w:tcPr>
          <w:p>
            <w:pPr>
              <w:jc w:val="right"/>
            </w:pPr>
            <w:r>
              <w:rPr>
                <w:b w:val="false"/>
                <w:bCs w:val="false"/>
                <w:sz w:val="19"/>
                <w:szCs w:val="19"/>
              </w:rPr>
              <w:t xml:space="preserve">unstable</w:t>
            </w:r>
          </w:p>
        </w:tc>
      </w:tr>
      <w:tr>
        <w:tc>
          <w:tcPr>
            <w:tcW w:type="dxa" w:w="1100"/>
            <w:shd w:fill="F2F2F2" w:val="clear"/>
            <w:tcMar>
              <w:top w:type="dxa" w:w="60"/>
              <w:left w:type="dxa" w:w="100"/>
              <w:bottom w:type="dxa" w:w="60"/>
              <w:right w:type="dxa" w:w="100"/>
            </w:tcMar>
            <w:vAlign w:val="center"/>
          </w:tcPr>
          <w:p>
            <w:pPr>
              <w:jc w:val="center"/>
            </w:pPr>
            <w:r>
              <w:rPr>
                <w:b w:val="false"/>
                <w:bCs w:val="false"/>
                <w:sz w:val="19"/>
                <w:szCs w:val="19"/>
              </w:rPr>
              <w:t xml:space="preserve">7.0</w:t>
            </w:r>
          </w:p>
        </w:tc>
        <w:tc>
          <w:tcPr>
            <w:tcW w:type="dxa" w:w="1400"/>
            <w:shd w:fill="F2F2F2" w:val="clear"/>
            <w:tcMar>
              <w:top w:type="dxa" w:w="60"/>
              <w:left w:type="dxa" w:w="100"/>
              <w:bottom w:type="dxa" w:w="60"/>
              <w:right w:type="dxa" w:w="100"/>
            </w:tcMar>
            <w:vAlign w:val="center"/>
          </w:tcPr>
          <w:p>
            <w:pPr>
              <w:jc w:val="center"/>
            </w:pPr>
            <w:r>
              <w:rPr>
                <w:b w:val="false"/>
                <w:bCs w:val="false"/>
                <w:sz w:val="19"/>
                <w:szCs w:val="19"/>
              </w:rPr>
              <w:t xml:space="preserve">25</w:t>
            </w:r>
          </w:p>
        </w:tc>
        <w:tc>
          <w:tcPr>
            <w:tcW w:type="dxa" w:w="1600"/>
            <w:shd w:fill="F2F2F2" w:val="clear"/>
            <w:tcMar>
              <w:top w:type="dxa" w:w="60"/>
              <w:left w:type="dxa" w:w="100"/>
              <w:bottom w:type="dxa" w:w="60"/>
              <w:right w:type="dxa" w:w="100"/>
            </w:tcMar>
            <w:vAlign w:val="center"/>
          </w:tcPr>
          <w:p>
            <w:pPr>
              <w:jc w:val="right"/>
            </w:pPr>
            <w:r>
              <w:rPr>
                <w:b w:val="false"/>
                <w:bCs w:val="false"/>
                <w:sz w:val="19"/>
                <w:szCs w:val="19"/>
              </w:rPr>
              <w:t xml:space="preserve">-11.08</w:t>
            </w:r>
          </w:p>
        </w:tc>
        <w:tc>
          <w:tcPr>
            <w:tcW w:type="dxa" w:w="1600"/>
            <w:shd w:fill="F2F2F2" w:val="clear"/>
            <w:tcMar>
              <w:top w:type="dxa" w:w="60"/>
              <w:left w:type="dxa" w:w="100"/>
              <w:bottom w:type="dxa" w:w="60"/>
              <w:right w:type="dxa" w:w="100"/>
            </w:tcMar>
            <w:vAlign w:val="center"/>
          </w:tcPr>
          <w:p>
            <w:pPr>
              <w:jc w:val="right"/>
            </w:pPr>
            <w:r>
              <w:rPr>
                <w:b w:val="false"/>
                <w:bCs w:val="false"/>
                <w:sz w:val="19"/>
                <w:szCs w:val="19"/>
              </w:rPr>
              <w:t xml:space="preserve">60</w:t>
            </w:r>
          </w:p>
        </w:tc>
        <w:tc>
          <w:tcPr>
            <w:tcW w:type="dxa" w:w="1900"/>
            <w:shd w:fill="F2F2F2" w:val="clear"/>
            <w:tcMar>
              <w:top w:type="dxa" w:w="60"/>
              <w:left w:type="dxa" w:w="100"/>
              <w:bottom w:type="dxa" w:w="60"/>
              <w:right w:type="dxa" w:w="100"/>
            </w:tcMar>
            <w:vAlign w:val="center"/>
          </w:tcPr>
          <w:p>
            <w:pPr>
              <w:jc w:val="right"/>
            </w:pPr>
            <w:r>
              <w:rPr>
                <w:b w:val="false"/>
                <w:bCs w:val="false"/>
                <w:sz w:val="19"/>
                <w:szCs w:val="19"/>
              </w:rPr>
              <w:t xml:space="preserve">-0.02</w:t>
            </w:r>
          </w:p>
        </w:tc>
        <w:tc>
          <w:tcPr>
            <w:tcW w:type="dxa" w:w="1900"/>
            <w:shd w:fill="F2F2F2" w:val="clear"/>
            <w:tcMar>
              <w:top w:type="dxa" w:w="60"/>
              <w:left w:type="dxa" w:w="100"/>
              <w:bottom w:type="dxa" w:w="60"/>
              <w:right w:type="dxa" w:w="100"/>
            </w:tcMar>
            <w:vAlign w:val="center"/>
          </w:tcPr>
          <w:p>
            <w:pPr>
              <w:jc w:val="right"/>
            </w:pPr>
            <w:r>
              <w:rPr>
                <w:b w:val="false"/>
                <w:bCs w:val="false"/>
                <w:sz w:val="19"/>
                <w:szCs w:val="19"/>
              </w:rPr>
              <w:t xml:space="preserve">unstable</w:t>
            </w:r>
          </w:p>
        </w:tc>
      </w:tr>
      <w:tr>
        <w:tc>
          <w:tcPr>
            <w:tcW w:type="dxa" w:w="1100"/>
            <w:tcMar>
              <w:top w:type="dxa" w:w="60"/>
              <w:left w:type="dxa" w:w="100"/>
              <w:bottom w:type="dxa" w:w="60"/>
              <w:right w:type="dxa" w:w="100"/>
            </w:tcMar>
            <w:vAlign w:val="center"/>
          </w:tcPr>
          <w:p>
            <w:pPr>
              <w:jc w:val="center"/>
            </w:pPr>
            <w:r>
              <w:rPr>
                <w:b w:val="false"/>
                <w:bCs w:val="false"/>
                <w:sz w:val="19"/>
                <w:szCs w:val="19"/>
              </w:rPr>
              <w:t xml:space="preserve">7.0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50</w:t>
            </w:r>
          </w:p>
        </w:tc>
        <w:tc>
          <w:tcPr>
            <w:tcW w:type="dxa" w:w="1600"/>
            <w:tcMar>
              <w:top w:type="dxa" w:w="60"/>
              <w:left w:type="dxa" w:w="100"/>
              <w:bottom w:type="dxa" w:w="60"/>
              <w:right w:type="dxa" w:w="100"/>
            </w:tcMar>
            <w:vAlign w:val="center"/>
          </w:tcPr>
          <w:p>
            <w:pPr>
              <w:jc w:val="right"/>
            </w:pPr>
            <w:r>
              <w:rPr>
                <w:b w:val="false"/>
                <w:bCs w:val="false"/>
                <w:sz w:val="19"/>
                <w:szCs w:val="19"/>
              </w:rPr>
              <w:t xml:space="preserve">-10.83</w:t>
            </w:r>
          </w:p>
        </w:tc>
        <w:tc>
          <w:tcPr>
            <w:tcW w:type="dxa" w:w="1600"/>
            <w:tcMar>
              <w:top w:type="dxa" w:w="60"/>
              <w:left w:type="dxa" w:w="100"/>
              <w:bottom w:type="dxa" w:w="60"/>
              <w:right w:type="dxa" w:w="100"/>
            </w:tcMar>
            <w:vAlign w:val="center"/>
          </w:tcPr>
          <w:p>
            <w:pPr>
              <w:jc w:val="right"/>
            </w:pPr>
            <w:r>
              <w:rPr>
                <w:b w:val="false"/>
                <w:bCs w:val="false"/>
                <w:sz w:val="19"/>
                <w:szCs w:val="19"/>
              </w:rPr>
              <w:t xml:space="preserve">65</w:t>
            </w:r>
          </w:p>
        </w:tc>
        <w:tc>
          <w:tcPr>
            <w:tcW w:type="dxa" w:w="1900"/>
            <w:tcMar>
              <w:top w:type="dxa" w:w="60"/>
              <w:left w:type="dxa" w:w="100"/>
              <w:bottom w:type="dxa" w:w="60"/>
              <w:right w:type="dxa" w:w="100"/>
            </w:tcMar>
            <w:vAlign w:val="center"/>
          </w:tcPr>
          <w:p>
            <w:pPr>
              <w:jc w:val="right"/>
            </w:pPr>
            <w:r>
              <w:rPr>
                <w:b w:val="false"/>
                <w:bCs w:val="false"/>
                <w:sz w:val="19"/>
                <w:szCs w:val="19"/>
              </w:rPr>
              <w:t xml:space="preserve">-0.03</w:t>
            </w:r>
          </w:p>
        </w:tc>
        <w:tc>
          <w:tcPr>
            <w:tcW w:type="dxa" w:w="1900"/>
            <w:tcMar>
              <w:top w:type="dxa" w:w="60"/>
              <w:left w:type="dxa" w:w="100"/>
              <w:bottom w:type="dxa" w:w="60"/>
              <w:right w:type="dxa" w:w="100"/>
            </w:tcMar>
            <w:vAlign w:val="center"/>
          </w:tcPr>
          <w:p>
            <w:pPr>
              <w:jc w:val="right"/>
            </w:pPr>
            <w:r>
              <w:rPr>
                <w:b w:val="false"/>
                <w:bCs w:val="false"/>
                <w:sz w:val="19"/>
                <w:szCs w:val="19"/>
              </w:rPr>
              <w:t xml:space="preserve">unstable</w:t>
            </w:r>
          </w:p>
        </w:tc>
      </w:tr>
      <w:tr>
        <w:tc>
          <w:tcPr>
            <w:tcW w:type="dxa" w:w="1100"/>
            <w:shd w:fill="F2F2F2" w:val="clear"/>
            <w:tcMar>
              <w:top w:type="dxa" w:w="60"/>
              <w:left w:type="dxa" w:w="100"/>
              <w:bottom w:type="dxa" w:w="60"/>
              <w:right w:type="dxa" w:w="100"/>
            </w:tcMar>
            <w:vAlign w:val="center"/>
          </w:tcPr>
          <w:p>
            <w:pPr>
              <w:jc w:val="center"/>
            </w:pPr>
            <w:r>
              <w:rPr>
                <w:b w:val="false"/>
                <w:bCs w:val="false"/>
                <w:sz w:val="19"/>
                <w:szCs w:val="19"/>
              </w:rPr>
              <w:t xml:space="preserve">7.0</w:t>
            </w:r>
          </w:p>
        </w:tc>
        <w:tc>
          <w:tcPr>
            <w:tcW w:type="dxa" w:w="1400"/>
            <w:shd w:fill="F2F2F2" w:val="clear"/>
            <w:tcMar>
              <w:top w:type="dxa" w:w="60"/>
              <w:left w:type="dxa" w:w="100"/>
              <w:bottom w:type="dxa" w:w="60"/>
              <w:right w:type="dxa" w:w="100"/>
            </w:tcMar>
            <w:vAlign w:val="center"/>
          </w:tcPr>
          <w:p>
            <w:pPr>
              <w:jc w:val="center"/>
            </w:pPr>
            <w:r>
              <w:rPr>
                <w:b w:val="false"/>
                <w:bCs w:val="false"/>
                <w:sz w:val="19"/>
                <w:szCs w:val="19"/>
              </w:rPr>
              <w:t xml:space="preserve">100</w:t>
            </w:r>
          </w:p>
        </w:tc>
        <w:tc>
          <w:tcPr>
            <w:tcW w:type="dxa" w:w="1600"/>
            <w:shd w:fill="F2F2F2" w:val="clear"/>
            <w:tcMar>
              <w:top w:type="dxa" w:w="60"/>
              <w:left w:type="dxa" w:w="100"/>
              <w:bottom w:type="dxa" w:w="60"/>
              <w:right w:type="dxa" w:w="100"/>
            </w:tcMar>
            <w:vAlign w:val="center"/>
          </w:tcPr>
          <w:p>
            <w:pPr>
              <w:jc w:val="right"/>
            </w:pPr>
            <w:r>
              <w:rPr>
                <w:b w:val="false"/>
                <w:bCs w:val="false"/>
                <w:sz w:val="19"/>
                <w:szCs w:val="19"/>
              </w:rPr>
              <w:t xml:space="preserve">-12.47</w:t>
            </w:r>
          </w:p>
        </w:tc>
        <w:tc>
          <w:tcPr>
            <w:tcW w:type="dxa" w:w="1600"/>
            <w:shd w:fill="F2F2F2" w:val="clear"/>
            <w:tcMar>
              <w:top w:type="dxa" w:w="60"/>
              <w:left w:type="dxa" w:w="100"/>
              <w:bottom w:type="dxa" w:w="60"/>
              <w:right w:type="dxa" w:w="100"/>
            </w:tcMar>
            <w:vAlign w:val="center"/>
          </w:tcPr>
          <w:p>
            <w:pPr>
              <w:jc w:val="right"/>
            </w:pPr>
            <w:r>
              <w:rPr>
                <w:b w:val="false"/>
                <w:bCs w:val="false"/>
                <w:sz w:val="19"/>
                <w:szCs w:val="19"/>
              </w:rPr>
              <w:t xml:space="preserve">65</w:t>
            </w:r>
          </w:p>
        </w:tc>
        <w:tc>
          <w:tcPr>
            <w:tcW w:type="dxa" w:w="1900"/>
            <w:shd w:fill="F2F2F2" w:val="clear"/>
            <w:tcMar>
              <w:top w:type="dxa" w:w="60"/>
              <w:left w:type="dxa" w:w="100"/>
              <w:bottom w:type="dxa" w:w="60"/>
              <w:right w:type="dxa" w:w="100"/>
            </w:tcMar>
            <w:vAlign w:val="center"/>
          </w:tcPr>
          <w:p>
            <w:pPr>
              <w:jc w:val="right"/>
            </w:pPr>
            <w:r>
              <w:rPr>
                <w:b w:val="false"/>
                <w:bCs w:val="false"/>
                <w:sz w:val="19"/>
                <w:szCs w:val="19"/>
              </w:rPr>
              <w:t xml:space="preserve">-0.03</w:t>
            </w:r>
          </w:p>
        </w:tc>
        <w:tc>
          <w:tcPr>
            <w:tcW w:type="dxa" w:w="1900"/>
            <w:shd w:fill="F2F2F2" w:val="clear"/>
            <w:tcMar>
              <w:top w:type="dxa" w:w="60"/>
              <w:left w:type="dxa" w:w="100"/>
              <w:bottom w:type="dxa" w:w="60"/>
              <w:right w:type="dxa" w:w="100"/>
            </w:tcMar>
            <w:vAlign w:val="center"/>
          </w:tcPr>
          <w:p>
            <w:pPr>
              <w:jc w:val="right"/>
            </w:pPr>
            <w:r>
              <w:rPr>
                <w:b w:val="false"/>
                <w:bCs w:val="false"/>
                <w:sz w:val="19"/>
                <w:szCs w:val="19"/>
              </w:rPr>
              <w:t xml:space="preserve">unstable</w:t>
            </w:r>
          </w:p>
        </w:tc>
      </w:tr>
    </w:tbl>
    <w:p>
      <w:pPr>
        <w:spacing w:after="240" w:before="100"/>
      </w:pPr>
      <w:r>
        <w:rPr>
          <w:i/>
          <w:iCs/>
          <w:color w:val="555555"/>
          <w:sz w:val="18"/>
          <w:szCs w:val="18"/>
        </w:rPr>
        <w:t xml:space="preserve">* pH 4 / 100 mM: DLS z-average radius (8404 nm) is far outside the range of every other condition (60-480 nm) and is most likely a real signature of large aggregates forming near the critical coagulation concentration (CCC) for pH 4, not an instrument artifact (zeta was still measurable at 9.05 mV). Excluded from the representative radius used in the continuous sweep; retained here with its own (real) barrier calculation.</w:t>
      </w:r>
    </w:p>
    <w:p>
      <w:pPr>
        <w:pStyle w:val="Heading1"/>
        <w:spacing w:after="150" w:before="300"/>
      </w:pPr>
      <w:r>
        <w:t xml:space="preserve">Food-relevant target condition predictions</w:t>
      </w:r>
    </w:p>
    <w:p>
      <w:pPr>
        <w:spacing w:after="160"/>
        <w:jc w:val="both"/>
      </w:pPr>
      <w:r>
        <w:t xml:space="preserve">Using the fitted zeta(pH, I) interpolation model, DLVO was evaluated at three food-relevant conditions from the broader project (whole milk, yogurt, bread-release):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300"/>
        <w:gridCol w:w="1900"/>
        <w:gridCol w:w="1900"/>
        <w:gridCol w:w="1600"/>
      </w:tblGrid>
      <w:tr>
        <w:trPr>
          <w:tblHeader/>
        </w:trPr>
        <w:tc>
          <w:tcPr>
            <w:tcW w:type="dxa" w:w="2200"/>
            <w:shd w:fill="1F618D" w:val="clear"/>
            <w:tcMar>
              <w:top w:type="dxa" w:w="60"/>
              <w:left w:type="dxa" w:w="100"/>
              <w:bottom w:type="dxa" w:w="60"/>
              <w:right w:type="dxa" w:w="100"/>
            </w:tcMar>
            <w:vAlign w:val="center"/>
          </w:tcPr>
          <w:p>
            <w:pPr>
              <w:jc w:val="center"/>
            </w:pPr>
            <w:r>
              <w:rPr>
                <w:b/>
                <w:bCs/>
                <w:color w:val="FFFFFF"/>
                <w:sz w:val="19"/>
                <w:szCs w:val="19"/>
              </w:rPr>
              <w:t xml:space="preserve">Food condition</w:t>
            </w:r>
          </w:p>
        </w:tc>
        <w:tc>
          <w:tcPr>
            <w:tcW w:type="dxa" w:w="1000"/>
            <w:shd w:fill="1F618D" w:val="clear"/>
            <w:tcMar>
              <w:top w:type="dxa" w:w="60"/>
              <w:left w:type="dxa" w:w="100"/>
              <w:bottom w:type="dxa" w:w="60"/>
              <w:right w:type="dxa" w:w="100"/>
            </w:tcMar>
            <w:vAlign w:val="center"/>
          </w:tcPr>
          <w:p>
            <w:pPr>
              <w:jc w:val="center"/>
            </w:pPr>
            <w:r>
              <w:rPr>
                <w:b/>
                <w:bCs/>
                <w:color w:val="FFFFFF"/>
                <w:sz w:val="19"/>
                <w:szCs w:val="19"/>
              </w:rPr>
              <w:t xml:space="preserve">pH</w:t>
            </w:r>
          </w:p>
        </w:tc>
        <w:tc>
          <w:tcPr>
            <w:tcW w:type="dxa" w:w="1300"/>
            <w:shd w:fill="1F618D" w:val="clear"/>
            <w:tcMar>
              <w:top w:type="dxa" w:w="60"/>
              <w:left w:type="dxa" w:w="100"/>
              <w:bottom w:type="dxa" w:w="60"/>
              <w:right w:type="dxa" w:w="100"/>
            </w:tcMar>
            <w:vAlign w:val="center"/>
          </w:tcPr>
          <w:p>
            <w:pPr>
              <w:jc w:val="center"/>
            </w:pPr>
            <w:r>
              <w:rPr>
                <w:b/>
                <w:bCs/>
                <w:color w:val="FFFFFF"/>
                <w:sz w:val="19"/>
                <w:szCs w:val="19"/>
              </w:rPr>
              <w:t xml:space="preserve">I (mM)</w:t>
            </w:r>
          </w:p>
        </w:tc>
        <w:tc>
          <w:tcPr>
            <w:tcW w:type="dxa" w:w="1900"/>
            <w:shd w:fill="1F618D" w:val="clear"/>
            <w:tcMar>
              <w:top w:type="dxa" w:w="60"/>
              <w:left w:type="dxa" w:w="100"/>
              <w:bottom w:type="dxa" w:w="60"/>
              <w:right w:type="dxa" w:w="100"/>
            </w:tcMar>
            <w:vAlign w:val="center"/>
          </w:tcPr>
          <w:p>
            <w:pPr>
              <w:jc w:val="center"/>
            </w:pPr>
            <w:r>
              <w:rPr>
                <w:b/>
                <w:bCs/>
                <w:color w:val="FFFFFF"/>
                <w:sz w:val="19"/>
                <w:szCs w:val="19"/>
              </w:rPr>
              <w:t xml:space="preserve">zeta predicted (mV)</w:t>
            </w:r>
          </w:p>
        </w:tc>
        <w:tc>
          <w:tcPr>
            <w:tcW w:type="dxa" w:w="1900"/>
            <w:shd w:fill="1F618D" w:val="clear"/>
            <w:tcMar>
              <w:top w:type="dxa" w:w="60"/>
              <w:left w:type="dxa" w:w="100"/>
              <w:bottom w:type="dxa" w:w="60"/>
              <w:right w:type="dxa" w:w="100"/>
            </w:tcMar>
            <w:vAlign w:val="center"/>
          </w:tcPr>
          <w:p>
            <w:pPr>
              <w:jc w:val="center"/>
            </w:pPr>
            <w:r>
              <w:rPr>
                <w:b/>
                <w:bCs/>
                <w:color w:val="FFFFFF"/>
                <w:sz w:val="19"/>
                <w:szCs w:val="19"/>
              </w:rPr>
              <w:t xml:space="preserve">V_max (kT)</w:t>
            </w:r>
          </w:p>
        </w:tc>
        <w:tc>
          <w:tcPr>
            <w:tcW w:type="dxa" w:w="1600"/>
            <w:shd w:fill="1F618D" w:val="clear"/>
            <w:tcMar>
              <w:top w:type="dxa" w:w="60"/>
              <w:left w:type="dxa" w:w="100"/>
              <w:bottom w:type="dxa" w:w="60"/>
              <w:right w:type="dxa" w:w="100"/>
            </w:tcMar>
            <w:vAlign w:val="center"/>
          </w:tcPr>
          <w:p>
            <w:pPr>
              <w:jc w:val="center"/>
            </w:pPr>
            <w:r>
              <w:rPr>
                <w:b/>
                <w:bCs/>
                <w:color w:val="FFFFFF"/>
                <w:sz w:val="19"/>
                <w:szCs w:val="19"/>
              </w:rPr>
              <w:t xml:space="preserve">Call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Whole milk</w:t>
            </w:r>
          </w:p>
        </w:tc>
        <w:tc>
          <w:tcPr>
            <w:tcW w:type="dxa" w:w="1000"/>
            <w:tcMar>
              <w:top w:type="dxa" w:w="60"/>
              <w:left w:type="dxa" w:w="100"/>
              <w:bottom w:type="dxa" w:w="60"/>
              <w:right w:type="dxa" w:w="100"/>
            </w:tcMar>
            <w:vAlign w:val="center"/>
          </w:tcPr>
          <w:p>
            <w:pPr>
              <w:jc w:val="center"/>
            </w:pPr>
            <w:r>
              <w:rPr>
                <w:b w:val="false"/>
                <w:bCs w:val="false"/>
                <w:sz w:val="19"/>
                <w:szCs w:val="19"/>
              </w:rPr>
              <w:t xml:space="preserve">6.6</w:t>
            </w:r>
          </w:p>
        </w:tc>
        <w:tc>
          <w:tcPr>
            <w:tcW w:type="dxa" w:w="1300"/>
            <w:tcMar>
              <w:top w:type="dxa" w:w="60"/>
              <w:left w:type="dxa" w:w="100"/>
              <w:bottom w:type="dxa" w:w="60"/>
              <w:right w:type="dxa" w:w="100"/>
            </w:tcMar>
            <w:vAlign w:val="center"/>
          </w:tcPr>
          <w:p>
            <w:pPr>
              <w:jc w:val="center"/>
            </w:pPr>
            <w:r>
              <w:rPr>
                <w:b w:val="false"/>
                <w:bCs w:val="false"/>
                <w:sz w:val="19"/>
                <w:szCs w:val="19"/>
              </w:rPr>
              <w:t xml:space="preserve">80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-11.87</w:t>
            </w:r>
          </w:p>
        </w:tc>
        <w:tc>
          <w:tcPr>
            <w:tcW w:type="dxa" w:w="1900"/>
            <w:tcMar>
              <w:top w:type="dxa" w:w="60"/>
              <w:left w:type="dxa" w:w="100"/>
              <w:bottom w:type="dxa" w:w="60"/>
              <w:right w:type="dxa" w:w="100"/>
            </w:tcMar>
            <w:vAlign w:val="center"/>
          </w:tcPr>
          <w:p>
            <w:pPr>
              <w:jc w:val="center"/>
            </w:pPr>
            <w:r>
              <w:rPr>
                <w:b w:val="false"/>
                <w:bCs w:val="false"/>
                <w:sz w:val="19"/>
                <w:szCs w:val="19"/>
              </w:rPr>
              <w:t xml:space="preserve">-0.14</w:t>
            </w:r>
          </w:p>
        </w:tc>
        <w:tc>
          <w:tcPr>
            <w:tcW w:type="dxa" w:w="1600"/>
            <w:tcMar>
              <w:top w:type="dxa" w:w="60"/>
              <w:left w:type="dxa" w:w="100"/>
              <w:bottom w:type="dxa" w:w="60"/>
              <w:right w:type="dxa" w:w="100"/>
            </w:tcMar>
            <w:vAlign w:val="center"/>
          </w:tcPr>
          <w:p>
            <w:pPr>
              <w:jc w:val="center"/>
            </w:pPr>
            <w:r>
              <w:rPr>
                <w:b w:val="false"/>
                <w:bCs w:val="false"/>
                <w:sz w:val="19"/>
                <w:szCs w:val="19"/>
              </w:rPr>
              <w:t xml:space="preserve">Unstable</w:t>
            </w:r>
          </w:p>
        </w:tc>
      </w:tr>
      <w:tr>
        <w:tc>
          <w:tcPr>
            <w:tcW w:type="dxa" w:w="2200"/>
            <w:shd w:fill="F2F2F2" w:val="clear"/>
            <w:tcMar>
              <w:top w:type="dxa" w:w="60"/>
              <w:left w:type="dxa" w:w="100"/>
              <w:bottom w:type="dxa" w:w="60"/>
              <w:right w:type="dxa" w:w="100"/>
            </w:tcMar>
            <w:vAlign w:val="center"/>
          </w:tcPr>
          <w:p>
            <w:pPr>
              <w:jc w:val="left"/>
            </w:pPr>
            <w:r>
              <w:rPr>
                <w:b w:val="false"/>
                <w:bCs w:val="false"/>
                <w:sz w:val="19"/>
                <w:szCs w:val="19"/>
              </w:rPr>
              <w:t xml:space="preserve">Yogurt</w:t>
            </w:r>
          </w:p>
        </w:tc>
        <w:tc>
          <w:tcPr>
            <w:tcW w:type="dxa" w:w="1000"/>
            <w:shd w:fill="F2F2F2" w:val="clear"/>
            <w:tcMar>
              <w:top w:type="dxa" w:w="60"/>
              <w:left w:type="dxa" w:w="100"/>
              <w:bottom w:type="dxa" w:w="60"/>
              <w:right w:type="dxa" w:w="100"/>
            </w:tcMar>
            <w:vAlign w:val="center"/>
          </w:tcPr>
          <w:p>
            <w:pPr>
              <w:jc w:val="center"/>
            </w:pPr>
            <w:r>
              <w:rPr>
                <w:b w:val="false"/>
                <w:bCs w:val="false"/>
                <w:sz w:val="19"/>
                <w:szCs w:val="19"/>
              </w:rPr>
              <w:t xml:space="preserve">4.5</w:t>
            </w:r>
          </w:p>
        </w:tc>
        <w:tc>
          <w:tcPr>
            <w:tcW w:type="dxa" w:w="1300"/>
            <w:shd w:fill="F2F2F2" w:val="clear"/>
            <w:tcMar>
              <w:top w:type="dxa" w:w="60"/>
              <w:left w:type="dxa" w:w="100"/>
              <w:bottom w:type="dxa" w:w="60"/>
              <w:right w:type="dxa" w:w="100"/>
            </w:tcMar>
            <w:vAlign w:val="center"/>
          </w:tcPr>
          <w:p>
            <w:pPr>
              <w:jc w:val="center"/>
            </w:pPr>
            <w:r>
              <w:rPr>
                <w:b w:val="false"/>
                <w:bCs w:val="false"/>
                <w:sz w:val="19"/>
                <w:szCs w:val="19"/>
              </w:rPr>
              <w:t xml:space="preserve">20</w:t>
            </w:r>
          </w:p>
        </w:tc>
        <w:tc>
          <w:tcPr>
            <w:tcW w:type="dxa" w:w="1900"/>
            <w:shd w:fill="F2F2F2" w:val="clear"/>
            <w:tcMar>
              <w:top w:type="dxa" w:w="60"/>
              <w:left w:type="dxa" w:w="100"/>
              <w:bottom w:type="dxa" w:w="60"/>
              <w:right w:type="dxa" w:w="100"/>
            </w:tcMar>
            <w:vAlign w:val="center"/>
          </w:tcPr>
          <w:p>
            <w:pPr>
              <w:jc w:val="center"/>
            </w:pPr>
            <w:r>
              <w:rPr>
                <w:b w:val="false"/>
                <w:bCs w:val="false"/>
                <w:sz w:val="19"/>
                <w:szCs w:val="19"/>
              </w:rPr>
              <w:t xml:space="preserve">-12.61</w:t>
            </w:r>
          </w:p>
        </w:tc>
        <w:tc>
          <w:tcPr>
            <w:tcW w:type="dxa" w:w="1900"/>
            <w:shd w:fill="F2F2F2" w:val="clear"/>
            <w:tcMar>
              <w:top w:type="dxa" w:w="60"/>
              <w:left w:type="dxa" w:w="100"/>
              <w:bottom w:type="dxa" w:w="60"/>
              <w:right w:type="dxa" w:w="100"/>
            </w:tcMar>
            <w:vAlign w:val="center"/>
          </w:tcPr>
          <w:p>
            <w:pPr>
              <w:jc w:val="center"/>
            </w:pPr>
            <w:r>
              <w:rPr>
                <w:b w:val="false"/>
                <w:bCs w:val="false"/>
                <w:sz w:val="19"/>
                <w:szCs w:val="19"/>
              </w:rPr>
              <w:t xml:space="preserve">-0.14</w:t>
            </w:r>
          </w:p>
        </w:tc>
        <w:tc>
          <w:tcPr>
            <w:tcW w:type="dxa" w:w="1600"/>
            <w:shd w:fill="F2F2F2" w:val="clear"/>
            <w:tcMar>
              <w:top w:type="dxa" w:w="60"/>
              <w:left w:type="dxa" w:w="100"/>
              <w:bottom w:type="dxa" w:w="60"/>
              <w:right w:type="dxa" w:w="100"/>
            </w:tcMar>
            <w:vAlign w:val="center"/>
          </w:tcPr>
          <w:p>
            <w:pPr>
              <w:jc w:val="center"/>
            </w:pPr>
            <w:r>
              <w:rPr>
                <w:b w:val="false"/>
                <w:bCs w:val="false"/>
                <w:sz w:val="19"/>
                <w:szCs w:val="19"/>
              </w:rPr>
              <w:t xml:space="preserve">Unstable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Bread-release</w:t>
            </w:r>
          </w:p>
        </w:tc>
        <w:tc>
          <w:tcPr>
            <w:tcW w:type="dxa" w:w="1000"/>
            <w:tcMar>
              <w:top w:type="dxa" w:w="60"/>
              <w:left w:type="dxa" w:w="100"/>
              <w:bottom w:type="dxa" w:w="60"/>
              <w:right w:type="dxa" w:w="100"/>
            </w:tcMar>
            <w:vAlign w:val="center"/>
          </w:tcPr>
          <w:p>
            <w:pPr>
              <w:jc w:val="center"/>
            </w:pPr>
            <w:r>
              <w:rPr>
                <w:b w:val="false"/>
                <w:bCs w:val="false"/>
                <w:sz w:val="19"/>
                <w:szCs w:val="19"/>
              </w:rPr>
              <w:t xml:space="preserve">5.3</w:t>
            </w:r>
          </w:p>
        </w:tc>
        <w:tc>
          <w:tcPr>
            <w:tcW w:type="dxa" w:w="1300"/>
            <w:tcMar>
              <w:top w:type="dxa" w:w="60"/>
              <w:left w:type="dxa" w:w="100"/>
              <w:bottom w:type="dxa" w:w="60"/>
              <w:right w:type="dxa" w:w="100"/>
            </w:tcMar>
            <w:vAlign w:val="center"/>
          </w:tcPr>
          <w:p>
            <w:pPr>
              <w:jc w:val="center"/>
            </w:pPr>
            <w:r>
              <w:rPr>
                <w:b w:val="false"/>
                <w:bCs w:val="false"/>
                <w:sz w:val="19"/>
                <w:szCs w:val="19"/>
              </w:rPr>
              <w:t xml:space="preserve">50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-11.83</w:t>
            </w:r>
          </w:p>
        </w:tc>
        <w:tc>
          <w:tcPr>
            <w:tcW w:type="dxa" w:w="1900"/>
            <w:tcMar>
              <w:top w:type="dxa" w:w="60"/>
              <w:left w:type="dxa" w:w="100"/>
              <w:bottom w:type="dxa" w:w="60"/>
              <w:right w:type="dxa" w:w="100"/>
            </w:tcMar>
            <w:vAlign w:val="center"/>
          </w:tcPr>
          <w:p>
            <w:pPr>
              <w:jc w:val="center"/>
            </w:pPr>
            <w:r>
              <w:rPr>
                <w:b w:val="false"/>
                <w:bCs w:val="false"/>
                <w:sz w:val="19"/>
                <w:szCs w:val="19"/>
              </w:rPr>
              <w:t xml:space="preserve">-0.14</w:t>
            </w:r>
          </w:p>
        </w:tc>
        <w:tc>
          <w:tcPr>
            <w:tcW w:type="dxa" w:w="1600"/>
            <w:tcMar>
              <w:top w:type="dxa" w:w="60"/>
              <w:left w:type="dxa" w:w="100"/>
              <w:bottom w:type="dxa" w:w="60"/>
              <w:right w:type="dxa" w:w="100"/>
            </w:tcMar>
            <w:vAlign w:val="center"/>
          </w:tcPr>
          <w:p>
            <w:pPr>
              <w:jc w:val="center"/>
            </w:pPr>
            <w:r>
              <w:rPr>
                <w:b w:val="false"/>
                <w:bCs w:val="false"/>
                <w:sz w:val="19"/>
                <w:szCs w:val="19"/>
              </w:rPr>
              <w:t xml:space="preserve">Unstable</w:t>
            </w:r>
          </w:p>
        </w:tc>
      </w:tr>
    </w:tbl>
    <w:p>
      <w:pPr>
        <w:spacing w:after="200"/>
      </w:pPr>
    </w:p>
    <w:p>
      <w:pPr>
        <w:spacing w:after="160"/>
        <w:jc w:val="both"/>
      </w:pPr>
      <w:r>
        <w:t xml:space="preserve">All three fall in the same range as the general grid (V_max approx -0.14 kT) -- effectively no barrier. None of the three food environments is predicted to be a stable environment for these NPs under this formulation.</w:t>
      </w:r>
    </w:p>
    <w:p>
      <w:pPr>
        <w:pStyle w:val="Heading1"/>
        <w:spacing w:after="150" w:before="300"/>
      </w:pPr>
      <w:r>
        <w:t xml:space="preserve">Supporting figures</w:t>
      </w:r>
    </w:p>
    <w:p>
      <w:pPr>
        <w:pStyle w:val="Heading2"/>
        <w:spacing w:after="120" w:before="240"/>
      </w:pPr>
      <w:r>
        <w:t xml:space="preserve">Energy profiles, all measured conditions</w:t>
      </w:r>
    </w:p>
    <w:p>
      <w:pPr>
        <w:spacing w:after="60" w:before="120"/>
        <w:jc w:val="center"/>
      </w:pPr>
      <w:r>
        <w:drawing>
          <wp:inline distT="0" distB="0" distL="0" distR="0">
            <wp:extent cx="504825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3705225"/>
                    </a:xfrm>
                    <a:prstGeom prst="rect">
                      <a:avLst/>
                    </a:prstGeom>
                  </pic:spPr>
                </pic:pic>
              </a:graphicData>
            </a:graphic>
          </wp:inline>
        </w:drawing>
      </w:r>
    </w:p>
    <w:p>
      <w:pPr>
        <w:spacing w:after="240"/>
        <w:jc w:val="center"/>
      </w:pPr>
      <w:r>
        <w:rPr>
          <w:i/>
          <w:iCs/>
          <w:color w:val="555555"/>
          <w:sz w:val="18"/>
          <w:szCs w:val="18"/>
        </w:rPr>
        <w:t xml:space="preserve">Figure 2. V(D) interaction energy curves for every measured condition. None crosses the marginal (orange) or stable (green) threshold lines.</w:t>
      </w:r>
    </w:p>
    <w:p>
      <w:pPr>
        <w:pStyle w:val="Heading2"/>
        <w:spacing w:after="120" w:before="240"/>
      </w:pPr>
      <w:r>
        <w:t xml:space="preserve">Continuous pH x ionic-strength stability map</w:t>
      </w:r>
    </w:p>
    <w:p>
      <w:pPr>
        <w:spacing w:after="60" w:before="120"/>
        <w:jc w:val="center"/>
      </w:pPr>
      <w:r>
        <w:drawing>
          <wp:inline distT="0" distB="0" distL="0" distR="0">
            <wp:extent cx="504825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3467100"/>
                    </a:xfrm>
                    <a:prstGeom prst="rect">
                      <a:avLst/>
                    </a:prstGeom>
                  </pic:spPr>
                </pic:pic>
              </a:graphicData>
            </a:graphic>
          </wp:inline>
        </w:drawing>
      </w:r>
    </w:p>
    <w:p>
      <w:pPr>
        <w:spacing w:after="240"/>
        <w:jc w:val="center"/>
      </w:pPr>
      <w:r>
        <w:rPr>
          <w:i/>
          <w:iCs/>
          <w:color w:val="555555"/>
          <w:sz w:val="18"/>
          <w:szCs w:val="18"/>
        </w:rPr>
        <w:t xml:space="preserve">Figure 3. Interpolated stability map across the measured pH/ionic-strength envelope. The map is uniformly in the unstable (red/orange) range with no contour reaching the 10 kT marginal line -- included for completeness, but Figure 1 is the more direct/decision-relevant view of this same result.</w:t>
      </w:r>
    </w:p>
    <w:p>
      <w:pPr>
        <w:pStyle w:val="Heading1"/>
        <w:spacing w:after="150" w:before="300"/>
      </w:pPr>
      <w:r>
        <w:t xml:space="preserve">Notable findings beyond stability</w:t>
      </w:r>
    </w:p>
    <w:p>
      <w:pPr>
        <w:pStyle w:val="ListParagraph"/>
        <w:numPr>
          <w:ilvl w:val="0"/>
          <w:numId w:val="1"/>
        </w:numPr>
        <w:spacing w:after="80"/>
      </w:pPr>
      <w:r>
        <w:t xml:space="preserve">Isoelectric point located: with the addition of pH 3 data, the fitted sigmoid places the true isoelectric point at pH ~4.06 -- markedly lower than the ~5.8 reported in the literature for bare zein, consistent with the caseinate coating changing the particle's intrinsic surface chemistry rather than simply screening bare-zein charge.</w:t>
      </w:r>
    </w:p>
    <w:p>
      <w:pPr>
        <w:pStyle w:val="ListParagraph"/>
        <w:numPr>
          <w:ilvl w:val="0"/>
          <w:numId w:val="1"/>
        </w:numPr>
        <w:spacing w:after="80"/>
      </w:pPr>
      <w:r>
        <w:t xml:space="preserve">CCC signature at pH 4: particle size grew sharply with ionic strength at pH 4 specifically (246 -&gt; 441 -&gt; 8404 nm across 25/50/100 mM), pointing to a critical coagulation concentration somewhere in the 50-100 mM window at this pH -- a useful target for a finer follow-up ionic-strength scan.</w:t>
      </w:r>
    </w:p>
    <w:p>
      <w:pPr>
        <w:pStyle w:val="ListParagraph"/>
        <w:numPr>
          <w:ilvl w:val="0"/>
          <w:numId w:val="1"/>
        </w:numPr>
        <w:spacing w:after="80"/>
      </w:pPr>
      <w:r>
        <w:t xml:space="preserve">Zeta magnitudes are lower than typically reported for well-stabilized protein colloids; whether this reflects residual, non-dialyzed sodium (from sodium caseinate) screening the double layer, or an intrinsic property of the zein-caseinate surface, is unresolved with the current data (see Recommendations).</w:t>
      </w:r>
    </w:p>
    <w:p>
      <w:pPr>
        <w:pStyle w:val="Heading1"/>
        <w:spacing w:after="150" w:before="300"/>
      </w:pPr>
      <w:r>
        <w:t xml:space="preserve">Limitations</w:t>
      </w:r>
    </w:p>
    <w:p>
      <w:pPr>
        <w:pStyle w:val="ListParagraph"/>
        <w:numPr>
          <w:ilvl w:val="0"/>
          <w:numId w:val="1"/>
        </w:numPr>
        <w:spacing w:after="80"/>
      </w:pPr>
      <w:r>
        <w:t xml:space="preserve">Single replicate (n=1) for every condition -- none of the numbers above have error bars, and single noisy points cannot yet be distinguished from real trends.</w:t>
      </w:r>
    </w:p>
    <w:p>
      <w:pPr>
        <w:pStyle w:val="ListParagraph"/>
        <w:numPr>
          <w:ilvl w:val="0"/>
          <w:numId w:val="1"/>
        </w:numPr>
        <w:spacing w:after="80"/>
      </w:pPr>
      <w:r>
        <w:t xml:space="preserve">The pH 4 / 100 mM radius (8404 nm) is a single DLS z-average reading of what is likely a broad/bimodal aggregate population; treat as qualitative evidence of aggregation rather than a precise size.</w:t>
      </w:r>
    </w:p>
    <w:p>
      <w:pPr>
        <w:pStyle w:val="ListParagraph"/>
        <w:numPr>
          <w:ilvl w:val="0"/>
          <w:numId w:val="1"/>
        </w:numPr>
        <w:spacing w:after="80"/>
      </w:pPr>
      <w:r>
        <w:t xml:space="preserve">Hamaker constant (1.0e-20 J) is taken from literature (bare zein, Su et al. 2024), not fit to this system; results are the single largest source of unquantified uncertainty in the absolute kT values (though the qualitative "no barrier anywhere" conclusion is robust to this choice, since the required increase in zeta to reach 10-15 kT is large).</w:t>
      </w:r>
    </w:p>
    <w:p>
      <w:pPr>
        <w:pStyle w:val="Heading1"/>
        <w:spacing w:after="150" w:before="300"/>
      </w:pPr>
      <w:r>
        <w:t xml:space="preserve">Recommendations</w:t>
      </w:r>
    </w:p>
    <w:p>
      <w:pPr>
        <w:pStyle w:val="ListParagraph"/>
        <w:numPr>
          <w:ilvl w:val="0"/>
          <w:numId w:val="1"/>
        </w:numPr>
        <w:spacing w:after="80"/>
      </w:pPr>
      <w:r>
        <w:t xml:space="preserve">Prioritize replicates (n&gt;=3) at pH 4, 25/50/100 mM first -- this is where both the isoelectric point and the CCC estimate live, and where the single-point data is most decision-critical.</w:t>
      </w:r>
    </w:p>
    <w:p>
      <w:pPr>
        <w:pStyle w:val="ListParagraph"/>
        <w:numPr>
          <w:ilvl w:val="0"/>
          <w:numId w:val="1"/>
        </w:numPr>
        <w:spacing w:after="80"/>
      </w:pPr>
      <w:r>
        <w:t xml:space="preserve">Run a quick conductivity check on the current (non-dialyzed) NP suspension against a DI water blank; if conductivity is well above the DI water baseline, that supports the residual-sodium hypothesis and motivates a dialysis trial before committing to a full repeat of the DLVO grid.</w:t>
      </w:r>
    </w:p>
    <w:p>
      <w:pPr>
        <w:pStyle w:val="ListParagraph"/>
        <w:numPr>
          <w:ilvl w:val="0"/>
          <w:numId w:val="1"/>
        </w:numPr>
        <w:spacing w:after="80"/>
      </w:pPr>
      <w:r>
        <w:t xml:space="preserve">If conductivity confirms excess background ions, run one dialyzed vs. non-dialyzed zeta comparison at a single representative condition before repeating the full matrix -- this isolates whether higher zeta (and therefore a real stability barrier) is achievable with the current zein:caseinate formulation, or whether the formulation itself needs to change.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Zein-Caseinate NP DLVO Summary -- 08/12/2026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e2a6aa3abad677ad7b6cde582eda33714f8cc06.png"/><Relationship Id="rId10" Type="http://schemas.openxmlformats.org/officeDocument/2006/relationships/image" Target="media/a6ffbe5c32d53848ab02e02e6d9e3021c9467159.png"/><Relationship Id="rId11" Type="http://schemas.openxmlformats.org/officeDocument/2006/relationships/image" Target="media/be813b0001f2ff10dc3fd4a9d648093154f9a80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2026-08-13T01:46:14.944Z</dcterms:created>
  <dcterms:modified xsi:type="dcterms:W3CDTF">2026-08-13T01:46:14.944Z</dcterms:modified>
</cp:coreProperties>
</file>

<file path=docProps/custom.xml><?xml version="1.0" encoding="utf-8"?>
<Properties xmlns="http://schemas.openxmlformats.org/officeDocument/2006/custom-properties" xmlns:vt="http://schemas.openxmlformats.org/officeDocument/2006/docPropsVTypes"/>
</file>