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10" w:rsidRDefault="00891B60">
      <w:pPr>
        <w:rPr>
          <w:rFonts w:hint="eastAsia"/>
        </w:rPr>
      </w:pPr>
      <w:r>
        <w:rPr>
          <w:rFonts w:hint="eastAsia"/>
        </w:rPr>
        <w:t>DB special report (US fixed income weekly, 2020-4-17)</w:t>
      </w:r>
    </w:p>
    <w:p w:rsidR="00891B60" w:rsidRDefault="00891B60">
      <w:pPr>
        <w:rPr>
          <w:rFonts w:hint="eastAsia"/>
        </w:rPr>
      </w:pPr>
      <w:r>
        <w:rPr>
          <w:rFonts w:hint="eastAsia"/>
        </w:rPr>
        <w:t>1. potential for the fed's purchases of coupon securities in 2020 to top 3 trillion, about 220% of net issuing including T-bills.</w:t>
      </w:r>
    </w:p>
    <w:p w:rsidR="00891B60" w:rsidRDefault="00891B60">
      <w:pPr>
        <w:rPr>
          <w:rFonts w:hint="eastAsia"/>
        </w:rPr>
      </w:pPr>
      <w:r>
        <w:rPr>
          <w:rFonts w:hint="eastAsia"/>
        </w:rPr>
        <w:t>2. Fed daily purchases 20bn-15bn-10bn</w:t>
      </w:r>
    </w:p>
    <w:p w:rsidR="00891B60" w:rsidRDefault="00891B60">
      <w:pPr>
        <w:rPr>
          <w:rFonts w:hint="eastAsia"/>
        </w:rPr>
      </w:pPr>
      <w:r>
        <w:rPr>
          <w:rFonts w:hint="eastAsia"/>
        </w:rPr>
        <w:t>3. Fed has every reason to maintain financial conditions eased. Reasonable to set up front-end yield curve control</w:t>
      </w:r>
    </w:p>
    <w:p w:rsidR="00891B60" w:rsidRDefault="00891B60">
      <w:pPr>
        <w:rPr>
          <w:rFonts w:hint="eastAsia"/>
        </w:rPr>
      </w:pPr>
      <w:r>
        <w:rPr>
          <w:rFonts w:hint="eastAsia"/>
        </w:rPr>
        <w:t>4. YCC control in the front end likely to paired with longer term QE, as more relevant</w:t>
      </w:r>
    </w:p>
    <w:p w:rsidR="00891B60" w:rsidRDefault="00891B60">
      <w:pPr>
        <w:rPr>
          <w:rFonts w:hint="eastAsia"/>
        </w:rPr>
      </w:pPr>
      <w:r>
        <w:rPr>
          <w:rFonts w:hint="eastAsia"/>
        </w:rPr>
        <w:t xml:space="preserve">5. Expect fed to buy 100 </w:t>
      </w: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 xml:space="preserve"> per month in coupon Treasuries in H2, focusing on 7-30 year maturity sector. </w:t>
      </w:r>
    </w:p>
    <w:p w:rsidR="00891B60" w:rsidRDefault="00891B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09570" cy="1121410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B60" w:rsidRDefault="00891B60" w:rsidP="007661E8">
      <w:pPr>
        <w:rPr>
          <w:rFonts w:hint="eastAsia"/>
        </w:rPr>
      </w:pPr>
      <w:r>
        <w:rPr>
          <w:rFonts w:hint="eastAsia"/>
        </w:rPr>
        <w:t xml:space="preserve">6. </w:t>
      </w:r>
      <w:r w:rsidR="007661E8">
        <w:t>Treasury liquidity has recovered 80-85%</w:t>
      </w:r>
      <w:r w:rsidR="00CE7415">
        <w:rPr>
          <w:rFonts w:hint="eastAsia"/>
        </w:rPr>
        <w:t xml:space="preserve"> </w:t>
      </w:r>
      <w:r w:rsidR="007661E8">
        <w:t>in notes and about 65% in bonds relative to their pre-pandemic levels</w:t>
      </w:r>
      <w:r w:rsidR="007E1D73">
        <w:rPr>
          <w:rFonts w:hint="eastAsia"/>
        </w:rPr>
        <w:t xml:space="preserve">. </w:t>
      </w:r>
    </w:p>
    <w:p w:rsidR="007E1D73" w:rsidRDefault="007E1D73" w:rsidP="007661E8">
      <w:pPr>
        <w:rPr>
          <w:rFonts w:hint="eastAsia"/>
        </w:rPr>
      </w:pPr>
      <w:r>
        <w:rPr>
          <w:rFonts w:hint="eastAsia"/>
        </w:rPr>
        <w:t>notes: 2-10 years</w:t>
      </w:r>
    </w:p>
    <w:p w:rsidR="007E1D73" w:rsidRDefault="007E1D73" w:rsidP="007661E8">
      <w:pPr>
        <w:rPr>
          <w:rFonts w:hint="eastAsia"/>
        </w:rPr>
      </w:pPr>
      <w:r>
        <w:rPr>
          <w:rFonts w:hint="eastAsia"/>
        </w:rPr>
        <w:t>bills: less than a year</w:t>
      </w:r>
    </w:p>
    <w:p w:rsidR="007E1D73" w:rsidRDefault="007E1D73" w:rsidP="007661E8">
      <w:pPr>
        <w:rPr>
          <w:rFonts w:hint="eastAsia"/>
        </w:rPr>
      </w:pPr>
      <w:r>
        <w:rPr>
          <w:rFonts w:hint="eastAsia"/>
        </w:rPr>
        <w:t>bonds: 10 to 30 years</w:t>
      </w:r>
    </w:p>
    <w:p w:rsidR="007E1D73" w:rsidRDefault="00D42493" w:rsidP="007661E8">
      <w:pPr>
        <w:rPr>
          <w:rFonts w:hint="eastAsia"/>
        </w:rPr>
      </w:pPr>
      <w:r>
        <w:rPr>
          <w:rFonts w:hint="eastAsia"/>
        </w:rPr>
        <w:t xml:space="preserve">7. </w:t>
      </w:r>
      <w:r w:rsidR="0009055F">
        <w:rPr>
          <w:rFonts w:hint="eastAsia"/>
          <w:noProof/>
        </w:rPr>
        <w:drawing>
          <wp:inline distT="0" distB="0" distL="0" distR="0">
            <wp:extent cx="3845584" cy="1252363"/>
            <wp:effectExtent l="19050" t="0" r="2516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059" cy="1252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7C7" w:rsidRDefault="00E217C7" w:rsidP="007661E8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  <w:noProof/>
        </w:rPr>
        <w:drawing>
          <wp:inline distT="0" distB="0" distL="0" distR="0">
            <wp:extent cx="2732777" cy="1959039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691" cy="1958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7C7" w:rsidRDefault="00E217C7" w:rsidP="007661E8">
      <w:pPr>
        <w:rPr>
          <w:rFonts w:hint="eastAsia"/>
        </w:rPr>
      </w:pPr>
      <w:r>
        <w:rPr>
          <w:rFonts w:hint="eastAsia"/>
        </w:rPr>
        <w:t xml:space="preserve">9. </w:t>
      </w:r>
      <w:r w:rsidR="00176E89">
        <w:rPr>
          <w:rFonts w:hint="eastAsia"/>
          <w:noProof/>
        </w:rPr>
        <w:drawing>
          <wp:inline distT="0" distB="0" distL="0" distR="0">
            <wp:extent cx="3578165" cy="1190851"/>
            <wp:effectExtent l="19050" t="0" r="32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77" cy="1191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E89" w:rsidRDefault="00176E89" w:rsidP="007661E8">
      <w:pPr>
        <w:rPr>
          <w:rFonts w:hint="eastAsia"/>
        </w:rPr>
      </w:pPr>
      <w:r>
        <w:rPr>
          <w:rFonts w:hint="eastAsia"/>
        </w:rPr>
        <w:lastRenderedPageBreak/>
        <w:t xml:space="preserve">10. </w:t>
      </w:r>
      <w:r w:rsidR="00EF7D12">
        <w:rPr>
          <w:rFonts w:hint="eastAsia"/>
        </w:rPr>
        <w:t xml:space="preserve">In 2008: policy transmitted through rates: crowding out UST and supplying convexity to the rest of the market, fed made credit as an attractive alternative through higher yield and positive carry. </w:t>
      </w:r>
    </w:p>
    <w:p w:rsidR="00C6470B" w:rsidRDefault="00C6470B" w:rsidP="007661E8"/>
    <w:sectPr w:rsidR="00C6470B" w:rsidSect="00EF0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1B60"/>
    <w:rsid w:val="0009055F"/>
    <w:rsid w:val="00176E89"/>
    <w:rsid w:val="007661E8"/>
    <w:rsid w:val="007E1D73"/>
    <w:rsid w:val="00891B60"/>
    <w:rsid w:val="00B05775"/>
    <w:rsid w:val="00C6470B"/>
    <w:rsid w:val="00CE7415"/>
    <w:rsid w:val="00D42493"/>
    <w:rsid w:val="00E217C7"/>
    <w:rsid w:val="00EF0010"/>
    <w:rsid w:val="00EF7D12"/>
    <w:rsid w:val="00F77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0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1B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1B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2020-04-21T08:39:00Z</dcterms:created>
  <dcterms:modified xsi:type="dcterms:W3CDTF">2020-04-23T17:08:00Z</dcterms:modified>
</cp:coreProperties>
</file>