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E24E3">
      <w:pPr>
        <w:keepNext w:val="0"/>
        <w:keepLines w:val="0"/>
        <w:pageBreakBefore w:val="0"/>
        <w:widowControl w:val="0"/>
        <w:kinsoku/>
        <w:wordWrap/>
        <w:overflowPunct/>
        <w:topLinePunct w:val="0"/>
        <w:autoSpaceDE/>
        <w:autoSpaceDN/>
        <w:bidi w:val="0"/>
        <w:adjustRightInd/>
        <w:snapToGrid/>
        <w:ind w:firstLine="422" w:firstLineChars="200"/>
        <w:jc w:val="both"/>
        <w:textAlignment w:val="auto"/>
        <w:rPr>
          <w:rFonts w:hint="default" w:ascii="Times New Roman" w:hAnsi="Times New Roman" w:cs="Times New Roman"/>
          <w:b/>
          <w:bCs w:val="0"/>
          <w:sz w:val="21"/>
          <w:szCs w:val="21"/>
          <w:lang w:val="en-US" w:eastAsia="zh-CN"/>
        </w:rPr>
      </w:pPr>
      <w:r>
        <w:rPr>
          <w:rFonts w:hint="default" w:ascii="Times New Roman" w:hAnsi="Times New Roman" w:cs="Times New Roman"/>
          <w:b/>
          <w:bCs w:val="0"/>
          <w:sz w:val="21"/>
          <w:szCs w:val="21"/>
          <w:lang w:val="en-US" w:eastAsia="zh-CN"/>
        </w:rPr>
        <w:t>Experimental Notes for Reproducibility</w:t>
      </w:r>
    </w:p>
    <w:p w14:paraId="17D49AD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To facilitate the accurate reproduction of the experimental procedures described in our article, "MOF-Derived Zr-Ce Solid Solutions with Engineered Oxygen Vacancies for Efficient Direct Synthesis of Dimethyl Carbonate from CO</w:t>
      </w:r>
      <w:r>
        <w:rPr>
          <w:rFonts w:hint="eastAsia" w:cs="Times New Roman"/>
          <w:sz w:val="21"/>
          <w:szCs w:val="21"/>
          <w:vertAlign w:val="subscript"/>
          <w:lang w:val="en-US" w:eastAsia="zh-CN"/>
        </w:rPr>
        <w:t>2</w:t>
      </w:r>
      <w:r>
        <w:rPr>
          <w:rFonts w:hint="default" w:ascii="Times New Roman" w:hAnsi="Times New Roman" w:cs="Times New Roman"/>
          <w:sz w:val="21"/>
          <w:szCs w:val="21"/>
          <w:lang w:val="en-US" w:eastAsia="zh-CN"/>
        </w:rPr>
        <w:t>," we provide the following practical insights based on our firsthand laboratory experience. These notes address critical variables that may affect experimental outcomes but are often overlooked in standard methodological descriptions.</w:t>
      </w:r>
    </w:p>
    <w:p w14:paraId="34CF3AA7">
      <w:pPr>
        <w:keepNext w:val="0"/>
        <w:keepLines w:val="0"/>
        <w:pageBreakBefore w:val="0"/>
        <w:widowControl w:val="0"/>
        <w:kinsoku/>
        <w:wordWrap/>
        <w:overflowPunct/>
        <w:topLinePunct w:val="0"/>
        <w:autoSpaceDE/>
        <w:autoSpaceDN/>
        <w:bidi w:val="0"/>
        <w:adjustRightInd/>
        <w:snapToGrid/>
        <w:ind w:firstLine="422" w:firstLineChars="200"/>
        <w:jc w:val="both"/>
        <w:textAlignment w:val="auto"/>
        <w:rPr>
          <w:rFonts w:hint="default" w:ascii="Times New Roman" w:hAnsi="Times New Roman" w:cs="Times New Roman"/>
          <w:b/>
          <w:bCs w:val="0"/>
          <w:sz w:val="21"/>
          <w:szCs w:val="21"/>
          <w:lang w:val="en-US" w:eastAsia="zh-CN"/>
        </w:rPr>
      </w:pPr>
      <w:r>
        <w:rPr>
          <w:rFonts w:hint="default" w:ascii="Times New Roman" w:hAnsi="Times New Roman" w:cs="Times New Roman"/>
          <w:b/>
          <w:bCs w:val="0"/>
          <w:sz w:val="21"/>
          <w:szCs w:val="21"/>
          <w:lang w:val="en-US" w:eastAsia="zh-CN"/>
        </w:rPr>
        <w:t>1. Catalyst Preparation: Batch-to-Batch Consistency</w:t>
      </w:r>
    </w:p>
    <w:p w14:paraId="231C3E04">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The Ce-Zr composite oxide catalysts were synthesized via the calcination of Ce-Zr-MOF-808 precursors. We strongly recommend preparing and calcining multiple batches of precursors simultaneously rather than processing single batches sequentially. While minor batch-to-batch variations are inherent and widely accepted in materials synthesis, co-calcination effectively minimizes such discrepancies and ensures data reproducibility. According to our protocol, each batch yields approximately 1.1 g of precursor, which produces 0.5–0.6 g of catalyst after calcination—sufficient for only two catalytic runs. Therefore, parallel processing of multiple batches is essential to secure adequate material for systematic testing and validation.</w:t>
      </w:r>
    </w:p>
    <w:p w14:paraId="1C3C8B6F">
      <w:pPr>
        <w:keepNext w:val="0"/>
        <w:keepLines w:val="0"/>
        <w:pageBreakBefore w:val="0"/>
        <w:widowControl w:val="0"/>
        <w:kinsoku/>
        <w:wordWrap/>
        <w:overflowPunct/>
        <w:topLinePunct w:val="0"/>
        <w:autoSpaceDE/>
        <w:autoSpaceDN/>
        <w:bidi w:val="0"/>
        <w:adjustRightInd/>
        <w:snapToGrid/>
        <w:ind w:firstLine="422" w:firstLineChars="200"/>
        <w:jc w:val="both"/>
        <w:textAlignment w:val="auto"/>
        <w:rPr>
          <w:rFonts w:hint="default" w:ascii="Times New Roman" w:hAnsi="Times New Roman" w:cs="Times New Roman"/>
          <w:b/>
          <w:bCs w:val="0"/>
          <w:sz w:val="21"/>
          <w:szCs w:val="21"/>
          <w:lang w:val="en-US" w:eastAsia="zh-CN"/>
        </w:rPr>
      </w:pPr>
      <w:r>
        <w:rPr>
          <w:rFonts w:hint="default" w:ascii="Times New Roman" w:hAnsi="Times New Roman" w:cs="Times New Roman"/>
          <w:b/>
          <w:bCs w:val="0"/>
          <w:sz w:val="21"/>
          <w:szCs w:val="21"/>
          <w:lang w:val="en-US" w:eastAsia="zh-CN"/>
        </w:rPr>
        <w:t>2. Reaction Protocol: Heating Ramp and Activity Threshold</w:t>
      </w:r>
    </w:p>
    <w:p w14:paraId="316278D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All reactions were conducted in a conventional high-pressure autoclave. It is important to note that the reaction times reported in the manuscript refer exclusively to the isothermal holding period and do not include the heating ramp, which typically requires 70–80 min in our setup. Although some reaction inevitably occurs during this ramping phase, control experiments in which the reactor was immediately cooled upon reaching the target temperature yielded negligible DMC production. This confirms that significant catalytic activity emerges only above ~125 °C under our conditions. Researchers attempting to reproduce these results should account for this thermal threshold when designing kinetic studies or comparing turnover frequencies.</w:t>
      </w:r>
    </w:p>
    <w:p w14:paraId="5D774AB6">
      <w:pPr>
        <w:keepNext w:val="0"/>
        <w:keepLines w:val="0"/>
        <w:pageBreakBefore w:val="0"/>
        <w:widowControl w:val="0"/>
        <w:kinsoku/>
        <w:wordWrap/>
        <w:overflowPunct/>
        <w:topLinePunct w:val="0"/>
        <w:autoSpaceDE/>
        <w:autoSpaceDN/>
        <w:bidi w:val="0"/>
        <w:adjustRightInd/>
        <w:snapToGrid/>
        <w:ind w:firstLine="422" w:firstLineChars="200"/>
        <w:jc w:val="both"/>
        <w:textAlignment w:val="auto"/>
        <w:rPr>
          <w:rFonts w:hint="default" w:ascii="Times New Roman" w:hAnsi="Times New Roman" w:cs="Times New Roman"/>
          <w:b/>
          <w:bCs w:val="0"/>
          <w:sz w:val="21"/>
          <w:szCs w:val="21"/>
          <w:lang w:val="en-US" w:eastAsia="zh-CN"/>
        </w:rPr>
      </w:pPr>
      <w:r>
        <w:rPr>
          <w:rFonts w:hint="default" w:ascii="Times New Roman" w:hAnsi="Times New Roman" w:cs="Times New Roman"/>
          <w:b/>
          <w:bCs w:val="0"/>
          <w:sz w:val="21"/>
          <w:szCs w:val="21"/>
          <w:lang w:val="en-US" w:eastAsia="zh-CN"/>
        </w:rPr>
        <w:t>3. Dehydrating Agent Quality: Critical Impact on Performance</w:t>
      </w:r>
    </w:p>
    <w:p w14:paraId="1C4218E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cs="Times New Roman"/>
          <w:vertAlign w:val="baseline"/>
          <w:lang w:val="en-US" w:eastAsia="zh-CN"/>
        </w:rPr>
      </w:pPr>
      <w:r>
        <w:rPr>
          <w:rFonts w:hint="default" w:ascii="Times New Roman" w:hAnsi="Times New Roman" w:cs="Times New Roman"/>
          <w:sz w:val="21"/>
          <w:szCs w:val="21"/>
          <w:lang w:val="en-US" w:eastAsia="zh-CN"/>
        </w:rPr>
        <w:t>The quality of the dehydrating agent (2-cyanopyridine) exerts a profound influence on catalytic performance, even among reagents labeled with identical nominal purity (≥99%). As illustrated in the figure below, the left vial contains a discolored (yellowish) batch, whereas the right vial shows a fresh, colorless batch (Adamas, LOT-P3513913-10454B). When tested over the same Zr</w:t>
      </w:r>
      <w:r>
        <w:rPr>
          <w:rFonts w:hint="eastAsia" w:cs="Times New Roman"/>
          <w:sz w:val="21"/>
          <w:szCs w:val="21"/>
          <w:vertAlign w:val="subscript"/>
          <w:lang w:val="en-US" w:eastAsia="zh-CN"/>
        </w:rPr>
        <w:t>0.05</w:t>
      </w:r>
      <w:r>
        <w:rPr>
          <w:rFonts w:hint="default" w:ascii="Times New Roman" w:hAnsi="Times New Roman" w:cs="Times New Roman"/>
          <w:sz w:val="21"/>
          <w:szCs w:val="21"/>
          <w:lang w:val="en-US" w:eastAsia="zh-CN"/>
        </w:rPr>
        <w:t>Ce</w:t>
      </w:r>
      <w:r>
        <w:rPr>
          <w:rFonts w:hint="eastAsia" w:cs="Times New Roman"/>
          <w:sz w:val="21"/>
          <w:szCs w:val="21"/>
          <w:vertAlign w:val="subscript"/>
          <w:lang w:val="en-US" w:eastAsia="zh-CN"/>
        </w:rPr>
        <w:t>0.95</w:t>
      </w:r>
      <w:r>
        <w:rPr>
          <w:rFonts w:hint="default" w:ascii="Times New Roman" w:hAnsi="Times New Roman" w:cs="Times New Roman"/>
          <w:sz w:val="21"/>
          <w:szCs w:val="21"/>
          <w:lang w:val="en-US" w:eastAsia="zh-CN"/>
        </w:rPr>
        <w:t>O</w:t>
      </w:r>
      <w:r>
        <w:rPr>
          <w:rFonts w:hint="eastAsia" w:cs="Times New Roman"/>
          <w:sz w:val="21"/>
          <w:szCs w:val="21"/>
          <w:vertAlign w:val="subscript"/>
          <w:lang w:val="en-US" w:eastAsia="zh-CN"/>
        </w:rPr>
        <w:t>x</w:t>
      </w:r>
      <w:r>
        <w:rPr>
          <w:rFonts w:hint="default" w:ascii="Times New Roman" w:hAnsi="Times New Roman" w:cs="Times New Roman"/>
          <w:sz w:val="21"/>
          <w:szCs w:val="21"/>
          <w:lang w:val="en-US" w:eastAsia="zh-CN"/>
        </w:rPr>
        <w:t>-700 catalyst, these two batches produced markedly different results:</w:t>
      </w:r>
    </w:p>
    <w:tbl>
      <w:tblPr>
        <w:tblStyle w:val="3"/>
        <w:tblW w:w="4904" w:type="pct"/>
        <w:tblInd w:w="1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25"/>
        <w:gridCol w:w="1371"/>
        <w:gridCol w:w="1371"/>
        <w:gridCol w:w="1731"/>
        <w:gridCol w:w="1860"/>
      </w:tblGrid>
      <w:tr w14:paraId="183C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trPr>
        <w:tc>
          <w:tcPr>
            <w:tcW w:w="989" w:type="pct"/>
            <w:tcBorders>
              <w:top w:val="single" w:color="auto" w:sz="12" w:space="0"/>
              <w:left w:val="nil"/>
              <w:bottom w:val="single" w:color="auto" w:sz="4" w:space="0"/>
              <w:right w:val="nil"/>
            </w:tcBorders>
            <w:shd w:val="clear" w:color="auto" w:fill="auto"/>
            <w:vAlign w:val="center"/>
          </w:tcPr>
          <w:p w14:paraId="71839E84">
            <w:pPr>
              <w:keepNext w:val="0"/>
              <w:keepLines w:val="0"/>
              <w:widowControl/>
              <w:suppressLineNumbers w:val="0"/>
              <w:adjustRightInd w:val="0"/>
              <w:snapToGrid w:val="0"/>
              <w:spacing w:before="0" w:beforeAutospacing="0" w:after="0" w:afterAutospacing="0"/>
              <w:ind w:left="0" w:right="0"/>
              <w:jc w:val="center"/>
              <w:rPr>
                <w:rFonts w:hint="default" w:cs="Times New Roman"/>
                <w:color w:val="000000"/>
                <w:sz w:val="21"/>
                <w:szCs w:val="21"/>
                <w:lang w:val="en-US" w:bidi="ar"/>
              </w:rPr>
            </w:pPr>
            <w:r>
              <w:rPr>
                <w:rFonts w:hint="default" w:ascii="Times New Roman" w:hAnsi="Times New Roman" w:eastAsia="宋体" w:cs="Times New Roman"/>
                <w:bCs/>
                <w:kern w:val="0"/>
                <w:sz w:val="21"/>
                <w:szCs w:val="21"/>
                <w:lang w:val="en-US" w:eastAsia="zh-CN" w:bidi="ar"/>
              </w:rPr>
              <w:t>catalysts</w:t>
            </w:r>
          </w:p>
        </w:tc>
        <w:tc>
          <w:tcPr>
            <w:tcW w:w="852" w:type="pct"/>
            <w:tcBorders>
              <w:top w:val="single" w:color="auto" w:sz="12" w:space="0"/>
              <w:left w:val="nil"/>
              <w:bottom w:val="single" w:color="auto" w:sz="4" w:space="0"/>
              <w:right w:val="nil"/>
            </w:tcBorders>
            <w:shd w:val="clear" w:color="auto" w:fill="auto"/>
            <w:vAlign w:val="center"/>
          </w:tcPr>
          <w:p w14:paraId="2960B914">
            <w:pPr>
              <w:keepNext w:val="0"/>
              <w:keepLines w:val="0"/>
              <w:widowControl/>
              <w:suppressLineNumbers w:val="0"/>
              <w:adjustRightInd w:val="0"/>
              <w:snapToGrid w:val="0"/>
              <w:spacing w:before="0" w:beforeAutospacing="0" w:after="0" w:afterAutospacing="0"/>
              <w:ind w:left="0" w:right="0"/>
              <w:jc w:val="center"/>
              <w:rPr>
                <w:rFonts w:hint="default" w:cs="Times New Roman"/>
                <w:color w:val="000000"/>
                <w:sz w:val="21"/>
                <w:szCs w:val="21"/>
                <w:lang w:val="en-US" w:bidi="ar"/>
              </w:rPr>
            </w:pPr>
            <w:r>
              <w:rPr>
                <w:rFonts w:hint="default" w:ascii="Times New Roman" w:hAnsi="Times New Roman" w:eastAsia="宋体" w:cs="Times New Roman"/>
                <w:bCs/>
                <w:color w:val="000000"/>
                <w:kern w:val="0"/>
                <w:sz w:val="21"/>
                <w:szCs w:val="21"/>
                <w:lang w:val="en-US" w:eastAsia="zh-CN" w:bidi="ar"/>
              </w:rPr>
              <w:t>Conv.</w:t>
            </w:r>
          </w:p>
          <w:p w14:paraId="0A93916B">
            <w:pPr>
              <w:keepNext w:val="0"/>
              <w:keepLines w:val="0"/>
              <w:widowControl/>
              <w:suppressLineNumbers w:val="0"/>
              <w:adjustRightInd w:val="0"/>
              <w:snapToGrid w:val="0"/>
              <w:spacing w:before="0" w:beforeAutospacing="0" w:after="0" w:afterAutospacing="0"/>
              <w:ind w:left="0" w:right="0"/>
              <w:jc w:val="center"/>
              <w:rPr>
                <w:rFonts w:hint="default" w:cs="Times New Roman"/>
                <w:color w:val="000000"/>
                <w:sz w:val="21"/>
                <w:szCs w:val="21"/>
                <w:lang w:val="en-US" w:bidi="ar"/>
              </w:rPr>
            </w:pPr>
            <w:r>
              <w:rPr>
                <w:rFonts w:hint="default" w:ascii="Times New Roman" w:hAnsi="Times New Roman" w:eastAsia="宋体" w:cs="Times New Roman"/>
                <w:bCs/>
                <w:color w:val="000000"/>
                <w:kern w:val="0"/>
                <w:sz w:val="21"/>
                <w:szCs w:val="21"/>
                <w:lang w:val="en-US" w:eastAsia="zh-CN" w:bidi="ar"/>
              </w:rPr>
              <w:t>(%)</w:t>
            </w:r>
          </w:p>
        </w:tc>
        <w:tc>
          <w:tcPr>
            <w:tcW w:w="713" w:type="pct"/>
            <w:tcBorders>
              <w:top w:val="single" w:color="auto" w:sz="12" w:space="0"/>
              <w:left w:val="nil"/>
              <w:bottom w:val="single" w:color="auto" w:sz="4" w:space="0"/>
              <w:right w:val="nil"/>
            </w:tcBorders>
            <w:shd w:val="clear" w:color="auto" w:fill="auto"/>
            <w:vAlign w:val="center"/>
          </w:tcPr>
          <w:p w14:paraId="77DEF562">
            <w:pPr>
              <w:keepNext w:val="0"/>
              <w:keepLines w:val="0"/>
              <w:widowControl/>
              <w:suppressLineNumbers w:val="0"/>
              <w:adjustRightInd w:val="0"/>
              <w:snapToGrid w:val="0"/>
              <w:spacing w:before="0" w:beforeAutospacing="0" w:after="0" w:afterAutospacing="0"/>
              <w:ind w:left="0" w:right="0"/>
              <w:jc w:val="center"/>
              <w:rPr>
                <w:rFonts w:hint="default" w:cs="Times New Roman"/>
                <w:color w:val="000000"/>
                <w:sz w:val="21"/>
                <w:szCs w:val="21"/>
                <w:lang w:val="en-US" w:bidi="ar"/>
              </w:rPr>
            </w:pPr>
            <w:r>
              <w:rPr>
                <w:rFonts w:hint="default" w:ascii="Times New Roman" w:hAnsi="Times New Roman" w:eastAsia="宋体" w:cs="Times New Roman"/>
                <w:bCs/>
                <w:color w:val="000000"/>
                <w:kern w:val="0"/>
                <w:sz w:val="21"/>
                <w:szCs w:val="21"/>
                <w:lang w:val="en-US" w:eastAsia="zh-CN" w:bidi="ar"/>
              </w:rPr>
              <w:t>Yield</w:t>
            </w:r>
          </w:p>
          <w:p w14:paraId="2C9915DE">
            <w:pPr>
              <w:keepNext w:val="0"/>
              <w:keepLines w:val="0"/>
              <w:widowControl/>
              <w:suppressLineNumbers w:val="0"/>
              <w:adjustRightInd w:val="0"/>
              <w:snapToGrid w:val="0"/>
              <w:spacing w:before="0" w:beforeAutospacing="0" w:after="0" w:afterAutospacing="0"/>
              <w:ind w:left="0" w:right="0"/>
              <w:jc w:val="center"/>
              <w:rPr>
                <w:rFonts w:hint="default" w:cs="Times New Roman"/>
                <w:color w:val="000000"/>
                <w:sz w:val="21"/>
                <w:szCs w:val="21"/>
                <w:lang w:val="en-US" w:bidi="ar"/>
              </w:rPr>
            </w:pPr>
            <w:r>
              <w:rPr>
                <w:rFonts w:hint="default" w:ascii="Times New Roman" w:hAnsi="Times New Roman" w:eastAsia="宋体" w:cs="Times New Roman"/>
                <w:bCs/>
                <w:color w:val="000000"/>
                <w:kern w:val="0"/>
                <w:sz w:val="21"/>
                <w:szCs w:val="21"/>
                <w:lang w:val="en-US" w:eastAsia="zh-CN" w:bidi="ar"/>
              </w:rPr>
              <w:t>(%)</w:t>
            </w:r>
          </w:p>
        </w:tc>
        <w:tc>
          <w:tcPr>
            <w:tcW w:w="1221" w:type="pct"/>
            <w:tcBorders>
              <w:top w:val="single" w:color="auto" w:sz="12" w:space="0"/>
              <w:left w:val="nil"/>
              <w:bottom w:val="single" w:color="auto" w:sz="4" w:space="0"/>
              <w:right w:val="nil"/>
            </w:tcBorders>
            <w:shd w:val="clear" w:color="auto" w:fill="auto"/>
            <w:vAlign w:val="center"/>
          </w:tcPr>
          <w:p w14:paraId="4C1A775F">
            <w:pPr>
              <w:keepNext w:val="0"/>
              <w:keepLines w:val="0"/>
              <w:widowControl/>
              <w:suppressLineNumbers w:val="0"/>
              <w:adjustRightInd w:val="0"/>
              <w:snapToGrid w:val="0"/>
              <w:spacing w:before="0" w:beforeAutospacing="0" w:after="0" w:afterAutospacing="0"/>
              <w:ind w:left="0" w:right="0"/>
              <w:jc w:val="center"/>
              <w:rPr>
                <w:rFonts w:hint="default" w:cs="Times New Roman" w:eastAsiaTheme="minorEastAsia"/>
                <w:color w:val="000000"/>
                <w:sz w:val="21"/>
                <w:szCs w:val="21"/>
                <w:lang w:val="en-US" w:eastAsia="zh-CN" w:bidi="ar"/>
              </w:rPr>
            </w:pPr>
            <w:r>
              <w:rPr>
                <w:rFonts w:hint="eastAsia" w:cs="Times New Roman"/>
                <w:color w:val="000000"/>
                <w:sz w:val="21"/>
                <w:szCs w:val="21"/>
                <w:lang w:val="en-US" w:eastAsia="zh-CN" w:bidi="ar"/>
              </w:rPr>
              <w:t>Select(%)</w:t>
            </w:r>
          </w:p>
        </w:tc>
        <w:tc>
          <w:tcPr>
            <w:tcW w:w="1221" w:type="pct"/>
            <w:tcBorders>
              <w:top w:val="single" w:color="auto" w:sz="12" w:space="0"/>
              <w:left w:val="nil"/>
              <w:bottom w:val="single" w:color="auto" w:sz="4" w:space="0"/>
              <w:right w:val="nil"/>
            </w:tcBorders>
            <w:shd w:val="clear" w:color="auto" w:fill="auto"/>
            <w:vAlign w:val="center"/>
          </w:tcPr>
          <w:p w14:paraId="37E19A34">
            <w:pPr>
              <w:keepNext w:val="0"/>
              <w:keepLines w:val="0"/>
              <w:widowControl/>
              <w:suppressLineNumbers w:val="0"/>
              <w:adjustRightInd w:val="0"/>
              <w:snapToGrid w:val="0"/>
              <w:spacing w:before="0" w:beforeAutospacing="0" w:after="0" w:afterAutospacing="0"/>
              <w:ind w:left="0" w:right="0"/>
              <w:jc w:val="center"/>
              <w:rPr>
                <w:rFonts w:hint="eastAsia" w:cs="Times New Roman"/>
                <w:color w:val="000000"/>
                <w:sz w:val="21"/>
                <w:szCs w:val="21"/>
                <w:lang w:val="en-US" w:eastAsia="zh-CN" w:bidi="ar"/>
              </w:rPr>
            </w:pPr>
            <w:r>
              <w:rPr>
                <w:rFonts w:hint="eastAsia" w:cs="Times New Roman"/>
                <w:color w:val="000000"/>
                <w:sz w:val="21"/>
                <w:szCs w:val="21"/>
                <w:lang w:val="en-US" w:eastAsia="zh-CN" w:bidi="ar"/>
              </w:rPr>
              <w:t>Dehydrating Agent</w:t>
            </w:r>
          </w:p>
        </w:tc>
      </w:tr>
      <w:tr w14:paraId="678B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 w:hRule="atLeast"/>
        </w:trPr>
        <w:tc>
          <w:tcPr>
            <w:tcW w:w="989" w:type="pct"/>
            <w:tcBorders>
              <w:top w:val="nil"/>
              <w:left w:val="nil"/>
              <w:bottom w:val="nil"/>
              <w:right w:val="nil"/>
            </w:tcBorders>
            <w:shd w:val="clear" w:color="auto" w:fill="auto"/>
            <w:vAlign w:val="center"/>
          </w:tcPr>
          <w:p w14:paraId="6141B051">
            <w:pPr>
              <w:keepNext w:val="0"/>
              <w:keepLines w:val="0"/>
              <w:widowControl/>
              <w:suppressLineNumbers w:val="0"/>
              <w:adjustRightInd w:val="0"/>
              <w:snapToGrid w:val="0"/>
              <w:spacing w:before="0" w:beforeAutospacing="0" w:after="0" w:afterAutospacing="0"/>
              <w:ind w:left="0" w:right="0"/>
              <w:jc w:val="center"/>
              <w:rPr>
                <w:rFonts w:hint="default" w:cs="Times New Roman"/>
                <w:color w:val="000000"/>
                <w:sz w:val="21"/>
                <w:szCs w:val="21"/>
                <w:lang w:val="en-US"/>
              </w:rPr>
            </w:pPr>
            <w:r>
              <w:rPr>
                <w:rFonts w:hint="default" w:ascii="Times New Roman" w:hAnsi="Times New Roman" w:eastAsia="宋体" w:cs="Times New Roman"/>
                <w:bCs/>
                <w:kern w:val="0"/>
                <w:sz w:val="21"/>
                <w:szCs w:val="21"/>
                <w:lang w:val="en-US" w:eastAsia="zh-CN" w:bidi="ar"/>
              </w:rPr>
              <w:t>Zr0.05Ce0.95Ox</w:t>
            </w:r>
            <w:r>
              <w:rPr>
                <w:rFonts w:hint="eastAsia" w:eastAsia="宋体" w:cs="Times New Roman"/>
                <w:bCs/>
                <w:kern w:val="0"/>
                <w:sz w:val="21"/>
                <w:szCs w:val="21"/>
                <w:lang w:val="en-US" w:eastAsia="zh-CN" w:bidi="ar"/>
              </w:rPr>
              <w:t>-700</w:t>
            </w:r>
          </w:p>
        </w:tc>
        <w:tc>
          <w:tcPr>
            <w:tcW w:w="852" w:type="pct"/>
            <w:tcBorders>
              <w:top w:val="nil"/>
              <w:left w:val="nil"/>
              <w:bottom w:val="nil"/>
              <w:right w:val="nil"/>
            </w:tcBorders>
            <w:shd w:val="clear" w:color="auto" w:fill="auto"/>
            <w:vAlign w:val="center"/>
          </w:tcPr>
          <w:p w14:paraId="49701A1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Cs/>
                <w:i w:val="0"/>
                <w:iCs w:val="0"/>
                <w:color w:val="000000"/>
                <w:kern w:val="0"/>
                <w:sz w:val="22"/>
                <w:szCs w:val="22"/>
                <w:u w:val="none"/>
                <w:lang w:val="en-US" w:eastAsia="zh-CN" w:bidi="ar-SA"/>
              </w:rPr>
            </w:pPr>
            <w:r>
              <w:rPr>
                <w:rFonts w:hint="default" w:ascii="Times New Roman" w:hAnsi="Times New Roman" w:eastAsia="宋体" w:cs="Times New Roman"/>
                <w:bCs/>
                <w:i w:val="0"/>
                <w:iCs w:val="0"/>
                <w:color w:val="000000"/>
                <w:kern w:val="0"/>
                <w:sz w:val="22"/>
                <w:szCs w:val="22"/>
                <w:u w:val="none"/>
                <w:lang w:val="en-US" w:eastAsia="zh-CN" w:bidi="ar"/>
              </w:rPr>
              <w:t>55.65197942</w:t>
            </w:r>
          </w:p>
        </w:tc>
        <w:tc>
          <w:tcPr>
            <w:tcW w:w="713" w:type="pct"/>
            <w:tcBorders>
              <w:top w:val="nil"/>
              <w:left w:val="nil"/>
              <w:bottom w:val="nil"/>
              <w:right w:val="nil"/>
            </w:tcBorders>
            <w:shd w:val="clear" w:color="auto" w:fill="auto"/>
            <w:vAlign w:val="center"/>
          </w:tcPr>
          <w:p w14:paraId="45DD8CB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Cs/>
                <w:i w:val="0"/>
                <w:iCs w:val="0"/>
                <w:color w:val="000000"/>
                <w:kern w:val="0"/>
                <w:sz w:val="22"/>
                <w:szCs w:val="22"/>
                <w:u w:val="none"/>
                <w:lang w:val="en-US" w:eastAsia="zh-CN" w:bidi="ar-SA"/>
              </w:rPr>
            </w:pPr>
            <w:r>
              <w:rPr>
                <w:rFonts w:hint="default" w:ascii="Times New Roman" w:hAnsi="Times New Roman" w:eastAsia="宋体" w:cs="Times New Roman"/>
                <w:bCs/>
                <w:i w:val="0"/>
                <w:iCs w:val="0"/>
                <w:color w:val="000000"/>
                <w:kern w:val="0"/>
                <w:sz w:val="22"/>
                <w:szCs w:val="22"/>
                <w:u w:val="none"/>
                <w:lang w:val="en-US" w:eastAsia="zh-CN" w:bidi="ar"/>
              </w:rPr>
              <w:t>50.41399642</w:t>
            </w:r>
          </w:p>
        </w:tc>
        <w:tc>
          <w:tcPr>
            <w:tcW w:w="1221" w:type="pct"/>
            <w:tcBorders>
              <w:top w:val="nil"/>
              <w:left w:val="nil"/>
              <w:bottom w:val="nil"/>
              <w:right w:val="nil"/>
            </w:tcBorders>
            <w:shd w:val="clear" w:color="auto" w:fill="auto"/>
            <w:vAlign w:val="center"/>
          </w:tcPr>
          <w:p w14:paraId="0954BE13">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Cs/>
                <w:i w:val="0"/>
                <w:iCs w:val="0"/>
                <w:color w:val="000000"/>
                <w:kern w:val="0"/>
                <w:sz w:val="22"/>
                <w:szCs w:val="22"/>
                <w:u w:val="none"/>
                <w:lang w:val="en-US" w:eastAsia="zh-CN" w:bidi="ar-SA"/>
              </w:rPr>
            </w:pPr>
            <w:r>
              <w:rPr>
                <w:rFonts w:hint="default" w:ascii="Times New Roman" w:hAnsi="Times New Roman" w:eastAsia="宋体" w:cs="Times New Roman"/>
                <w:bCs/>
                <w:i w:val="0"/>
                <w:iCs w:val="0"/>
                <w:color w:val="000000"/>
                <w:kern w:val="0"/>
                <w:sz w:val="22"/>
                <w:szCs w:val="22"/>
                <w:u w:val="none"/>
                <w:lang w:val="en-US" w:eastAsia="zh-CN" w:bidi="ar"/>
              </w:rPr>
              <w:t>90.58796642</w:t>
            </w:r>
          </w:p>
        </w:tc>
        <w:tc>
          <w:tcPr>
            <w:tcW w:w="1221" w:type="pct"/>
            <w:tcBorders>
              <w:top w:val="nil"/>
              <w:left w:val="nil"/>
              <w:bottom w:val="nil"/>
              <w:right w:val="nil"/>
            </w:tcBorders>
            <w:shd w:val="clear" w:color="auto" w:fill="auto"/>
            <w:vAlign w:val="center"/>
          </w:tcPr>
          <w:p w14:paraId="4D9E258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Cs/>
                <w:i w:val="0"/>
                <w:iCs w:val="0"/>
                <w:color w:val="000000"/>
                <w:kern w:val="0"/>
                <w:sz w:val="22"/>
                <w:szCs w:val="22"/>
                <w:u w:val="none"/>
                <w:lang w:val="en-US" w:eastAsia="zh-CN" w:bidi="ar"/>
              </w:rPr>
            </w:pPr>
            <w:r>
              <w:rPr>
                <w:rFonts w:hint="eastAsia" w:eastAsia="宋体" w:cs="Times New Roman"/>
                <w:bCs/>
                <w:i w:val="0"/>
                <w:iCs w:val="0"/>
                <w:color w:val="000000"/>
                <w:kern w:val="0"/>
                <w:sz w:val="22"/>
                <w:szCs w:val="22"/>
                <w:u w:val="none"/>
                <w:lang w:val="en-US" w:eastAsia="zh-CN" w:bidi="ar"/>
              </w:rPr>
              <w:t>left</w:t>
            </w:r>
          </w:p>
        </w:tc>
      </w:tr>
      <w:tr w14:paraId="77DE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7" w:hRule="atLeast"/>
        </w:trPr>
        <w:tc>
          <w:tcPr>
            <w:tcW w:w="989" w:type="pct"/>
            <w:tcBorders>
              <w:top w:val="nil"/>
              <w:left w:val="nil"/>
              <w:bottom w:val="nil"/>
              <w:right w:val="nil"/>
            </w:tcBorders>
            <w:shd w:val="clear" w:color="auto" w:fill="auto"/>
            <w:vAlign w:val="center"/>
          </w:tcPr>
          <w:p w14:paraId="2AEC6E53">
            <w:pPr>
              <w:keepNext w:val="0"/>
              <w:keepLines w:val="0"/>
              <w:widowControl/>
              <w:suppressLineNumbers w:val="0"/>
              <w:adjustRightInd w:val="0"/>
              <w:snapToGrid w:val="0"/>
              <w:spacing w:before="0" w:beforeAutospacing="0" w:after="0" w:afterAutospacing="0"/>
              <w:ind w:left="0" w:right="0"/>
              <w:jc w:val="center"/>
              <w:rPr>
                <w:rFonts w:hint="default" w:eastAsia="宋体" w:cs="Times New Roman"/>
                <w:color w:val="000000"/>
                <w:sz w:val="21"/>
                <w:szCs w:val="21"/>
                <w:lang w:val="en-US" w:bidi="ar"/>
              </w:rPr>
            </w:pPr>
            <w:r>
              <w:rPr>
                <w:rFonts w:hint="default" w:ascii="Times New Roman" w:hAnsi="Times New Roman" w:eastAsia="宋体" w:cs="Times New Roman"/>
                <w:bCs/>
                <w:kern w:val="0"/>
                <w:sz w:val="21"/>
                <w:szCs w:val="21"/>
                <w:lang w:val="en-US" w:eastAsia="zh-CN" w:bidi="ar"/>
              </w:rPr>
              <w:t>Zr0.05Ce0.95Ox</w:t>
            </w:r>
            <w:r>
              <w:rPr>
                <w:rFonts w:hint="eastAsia" w:eastAsia="宋体" w:cs="Times New Roman"/>
                <w:bCs/>
                <w:kern w:val="0"/>
                <w:sz w:val="21"/>
                <w:szCs w:val="21"/>
                <w:lang w:val="en-US" w:eastAsia="zh-CN" w:bidi="ar"/>
              </w:rPr>
              <w:t>-700</w:t>
            </w:r>
          </w:p>
        </w:tc>
        <w:tc>
          <w:tcPr>
            <w:tcW w:w="852" w:type="pct"/>
            <w:tcBorders>
              <w:top w:val="nil"/>
              <w:left w:val="nil"/>
              <w:bottom w:val="nil"/>
              <w:right w:val="nil"/>
            </w:tcBorders>
            <w:shd w:val="clear" w:color="auto" w:fill="auto"/>
            <w:vAlign w:val="center"/>
          </w:tcPr>
          <w:p w14:paraId="1D94045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Cs/>
                <w:i w:val="0"/>
                <w:iCs w:val="0"/>
                <w:color w:val="000000"/>
                <w:kern w:val="0"/>
                <w:sz w:val="22"/>
                <w:szCs w:val="22"/>
                <w:u w:val="none"/>
                <w:lang w:val="en-US" w:eastAsia="zh-CN" w:bidi="ar-SA"/>
              </w:rPr>
            </w:pPr>
            <w:r>
              <w:rPr>
                <w:rFonts w:hint="default" w:ascii="Times New Roman" w:hAnsi="Times New Roman" w:eastAsia="宋体" w:cs="Times New Roman"/>
                <w:bCs/>
                <w:i w:val="0"/>
                <w:iCs w:val="0"/>
                <w:color w:val="000000"/>
                <w:kern w:val="0"/>
                <w:sz w:val="22"/>
                <w:szCs w:val="22"/>
                <w:u w:val="none"/>
                <w:lang w:val="en-US" w:eastAsia="zh-CN" w:bidi="ar"/>
              </w:rPr>
              <w:t>65.5461279</w:t>
            </w:r>
          </w:p>
        </w:tc>
        <w:tc>
          <w:tcPr>
            <w:tcW w:w="713" w:type="pct"/>
            <w:tcBorders>
              <w:top w:val="nil"/>
              <w:left w:val="nil"/>
              <w:bottom w:val="nil"/>
              <w:right w:val="nil"/>
            </w:tcBorders>
            <w:shd w:val="clear" w:color="auto" w:fill="auto"/>
            <w:vAlign w:val="center"/>
          </w:tcPr>
          <w:p w14:paraId="72599BA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Cs/>
                <w:i w:val="0"/>
                <w:iCs w:val="0"/>
                <w:color w:val="000000"/>
                <w:kern w:val="0"/>
                <w:sz w:val="22"/>
                <w:szCs w:val="22"/>
                <w:u w:val="none"/>
                <w:lang w:val="en-US" w:eastAsia="zh-CN" w:bidi="ar-SA"/>
              </w:rPr>
            </w:pPr>
            <w:r>
              <w:rPr>
                <w:rFonts w:hint="default" w:ascii="Times New Roman" w:hAnsi="Times New Roman" w:eastAsia="宋体" w:cs="Times New Roman"/>
                <w:bCs/>
                <w:i w:val="0"/>
                <w:iCs w:val="0"/>
                <w:color w:val="000000"/>
                <w:kern w:val="0"/>
                <w:sz w:val="22"/>
                <w:szCs w:val="22"/>
                <w:u w:val="none"/>
                <w:lang w:val="en-US" w:eastAsia="zh-CN" w:bidi="ar"/>
              </w:rPr>
              <w:t>64.04371015</w:t>
            </w:r>
          </w:p>
        </w:tc>
        <w:tc>
          <w:tcPr>
            <w:tcW w:w="1221" w:type="pct"/>
            <w:tcBorders>
              <w:top w:val="nil"/>
              <w:left w:val="nil"/>
              <w:bottom w:val="nil"/>
              <w:right w:val="nil"/>
            </w:tcBorders>
            <w:shd w:val="clear" w:color="auto" w:fill="auto"/>
            <w:vAlign w:val="center"/>
          </w:tcPr>
          <w:p w14:paraId="43E6B75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Cs/>
                <w:i w:val="0"/>
                <w:iCs w:val="0"/>
                <w:color w:val="000000"/>
                <w:kern w:val="0"/>
                <w:sz w:val="22"/>
                <w:szCs w:val="22"/>
                <w:u w:val="none"/>
                <w:lang w:val="en-US" w:eastAsia="zh-CN" w:bidi="ar-SA"/>
              </w:rPr>
            </w:pPr>
            <w:r>
              <w:rPr>
                <w:rFonts w:hint="default" w:ascii="Times New Roman" w:hAnsi="Times New Roman" w:eastAsia="宋体" w:cs="Times New Roman"/>
                <w:bCs/>
                <w:i w:val="0"/>
                <w:iCs w:val="0"/>
                <w:color w:val="000000"/>
                <w:kern w:val="0"/>
                <w:sz w:val="22"/>
                <w:szCs w:val="22"/>
                <w:u w:val="none"/>
                <w:lang w:val="en-US" w:eastAsia="zh-CN" w:bidi="ar"/>
              </w:rPr>
              <w:t>97.70784668</w:t>
            </w:r>
            <w:bookmarkStart w:id="0" w:name="_GoBack"/>
            <w:bookmarkEnd w:id="0"/>
          </w:p>
        </w:tc>
        <w:tc>
          <w:tcPr>
            <w:tcW w:w="1221" w:type="pct"/>
            <w:tcBorders>
              <w:top w:val="nil"/>
              <w:left w:val="nil"/>
              <w:bottom w:val="nil"/>
              <w:right w:val="nil"/>
            </w:tcBorders>
            <w:shd w:val="clear" w:color="auto" w:fill="auto"/>
            <w:vAlign w:val="center"/>
          </w:tcPr>
          <w:p w14:paraId="7B80E9F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Cs/>
                <w:i w:val="0"/>
                <w:iCs w:val="0"/>
                <w:color w:val="000000"/>
                <w:kern w:val="0"/>
                <w:sz w:val="22"/>
                <w:szCs w:val="22"/>
                <w:u w:val="none"/>
                <w:lang w:val="en-US" w:eastAsia="zh-CN" w:bidi="ar"/>
              </w:rPr>
            </w:pPr>
            <w:r>
              <w:rPr>
                <w:rFonts w:hint="eastAsia" w:eastAsia="宋体" w:cs="Times New Roman"/>
                <w:bCs/>
                <w:i w:val="0"/>
                <w:iCs w:val="0"/>
                <w:color w:val="000000"/>
                <w:kern w:val="0"/>
                <w:sz w:val="22"/>
                <w:szCs w:val="22"/>
                <w:u w:val="none"/>
                <w:lang w:val="en-US" w:eastAsia="zh-CN" w:bidi="ar"/>
              </w:rPr>
              <w:t>right</w:t>
            </w:r>
          </w:p>
        </w:tc>
      </w:tr>
      <w:tr w14:paraId="5D25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9" w:type="pct"/>
            <w:tcBorders>
              <w:top w:val="nil"/>
              <w:left w:val="nil"/>
              <w:bottom w:val="single" w:color="auto" w:sz="12" w:space="0"/>
              <w:right w:val="nil"/>
            </w:tcBorders>
            <w:shd w:val="clear" w:color="auto" w:fill="auto"/>
            <w:vAlign w:val="center"/>
          </w:tcPr>
          <w:p w14:paraId="2FF0B3E5">
            <w:pPr>
              <w:keepNext w:val="0"/>
              <w:keepLines w:val="0"/>
              <w:widowControl/>
              <w:suppressLineNumbers w:val="0"/>
              <w:adjustRightInd w:val="0"/>
              <w:snapToGrid w:val="0"/>
              <w:spacing w:before="0" w:beforeAutospacing="0" w:after="0" w:afterAutospacing="0"/>
              <w:ind w:left="0" w:right="0"/>
              <w:jc w:val="center"/>
              <w:rPr>
                <w:rFonts w:hint="default" w:eastAsia="宋体" w:cs="Times New Roman"/>
                <w:color w:val="000000"/>
                <w:sz w:val="21"/>
                <w:szCs w:val="21"/>
                <w:lang w:val="en-US"/>
              </w:rPr>
            </w:pPr>
            <w:r>
              <w:rPr>
                <w:rFonts w:hint="default" w:ascii="Times New Roman" w:hAnsi="Times New Roman" w:eastAsia="宋体" w:cs="Times New Roman"/>
                <w:bCs/>
                <w:kern w:val="0"/>
                <w:sz w:val="21"/>
                <w:szCs w:val="21"/>
                <w:lang w:val="en-US" w:eastAsia="zh-CN" w:bidi="ar"/>
              </w:rPr>
              <w:t>Zr0.05Ce0.95Ox</w:t>
            </w:r>
            <w:r>
              <w:rPr>
                <w:rFonts w:hint="eastAsia" w:eastAsia="宋体" w:cs="Times New Roman"/>
                <w:bCs/>
                <w:kern w:val="0"/>
                <w:sz w:val="21"/>
                <w:szCs w:val="21"/>
                <w:lang w:val="en-US" w:eastAsia="zh-CN" w:bidi="ar"/>
              </w:rPr>
              <w:t>-700</w:t>
            </w:r>
          </w:p>
        </w:tc>
        <w:tc>
          <w:tcPr>
            <w:tcW w:w="852" w:type="pct"/>
            <w:tcBorders>
              <w:top w:val="nil"/>
              <w:left w:val="nil"/>
              <w:bottom w:val="single" w:color="auto" w:sz="12" w:space="0"/>
              <w:right w:val="nil"/>
            </w:tcBorders>
            <w:shd w:val="clear" w:color="auto" w:fill="auto"/>
            <w:vAlign w:val="center"/>
          </w:tcPr>
          <w:p w14:paraId="0732051D">
            <w:pPr>
              <w:keepNext w:val="0"/>
              <w:keepLines w:val="0"/>
              <w:widowControl/>
              <w:suppressLineNumbers w:val="0"/>
              <w:spacing w:before="0" w:beforeAutospacing="0" w:after="0" w:afterAutospacing="0"/>
              <w:ind w:left="0" w:right="0"/>
              <w:jc w:val="center"/>
              <w:textAlignment w:val="center"/>
              <w:rPr>
                <w:rFonts w:hint="default" w:eastAsia="宋体" w:cs="Times New Roman"/>
                <w:color w:val="000000"/>
                <w:sz w:val="21"/>
                <w:szCs w:val="21"/>
                <w:lang w:val="en-US" w:bidi="ar"/>
              </w:rPr>
            </w:pPr>
            <w:r>
              <w:rPr>
                <w:rFonts w:hint="default" w:ascii="Times New Roman" w:hAnsi="Times New Roman" w:eastAsia="宋体" w:cs="Times New Roman"/>
                <w:bCs/>
                <w:color w:val="000000"/>
                <w:kern w:val="0"/>
                <w:sz w:val="22"/>
                <w:szCs w:val="22"/>
                <w:lang w:val="en-US" w:eastAsia="zh-CN" w:bidi="ar"/>
              </w:rPr>
              <w:t>66.64541804</w:t>
            </w:r>
          </w:p>
        </w:tc>
        <w:tc>
          <w:tcPr>
            <w:tcW w:w="713" w:type="pct"/>
            <w:tcBorders>
              <w:top w:val="nil"/>
              <w:left w:val="nil"/>
              <w:bottom w:val="single" w:color="auto" w:sz="12" w:space="0"/>
              <w:right w:val="nil"/>
            </w:tcBorders>
            <w:shd w:val="clear" w:color="auto" w:fill="auto"/>
            <w:vAlign w:val="center"/>
          </w:tcPr>
          <w:p w14:paraId="2F672A6C">
            <w:pPr>
              <w:keepNext w:val="0"/>
              <w:keepLines w:val="0"/>
              <w:widowControl/>
              <w:suppressLineNumbers w:val="0"/>
              <w:spacing w:before="0" w:beforeAutospacing="0" w:after="0" w:afterAutospacing="0"/>
              <w:ind w:left="0" w:right="0"/>
              <w:jc w:val="center"/>
              <w:textAlignment w:val="center"/>
              <w:rPr>
                <w:rFonts w:hint="default" w:eastAsia="宋体" w:cs="Times New Roman"/>
                <w:color w:val="000000"/>
                <w:sz w:val="21"/>
                <w:szCs w:val="21"/>
                <w:lang w:val="en-US" w:bidi="ar"/>
              </w:rPr>
            </w:pPr>
            <w:r>
              <w:rPr>
                <w:rFonts w:hint="default" w:ascii="Times New Roman" w:hAnsi="Times New Roman" w:eastAsia="宋体" w:cs="Times New Roman"/>
                <w:bCs/>
                <w:color w:val="000000"/>
                <w:kern w:val="0"/>
                <w:sz w:val="22"/>
                <w:szCs w:val="22"/>
                <w:lang w:val="en-US" w:eastAsia="zh-CN" w:bidi="ar"/>
              </w:rPr>
              <w:t>65.19153077</w:t>
            </w:r>
          </w:p>
        </w:tc>
        <w:tc>
          <w:tcPr>
            <w:tcW w:w="1221" w:type="pct"/>
            <w:tcBorders>
              <w:top w:val="nil"/>
              <w:left w:val="nil"/>
              <w:bottom w:val="single" w:color="auto" w:sz="12" w:space="0"/>
              <w:right w:val="nil"/>
            </w:tcBorders>
            <w:shd w:val="clear" w:color="auto" w:fill="auto"/>
            <w:vAlign w:val="center"/>
          </w:tcPr>
          <w:p w14:paraId="0CFBB179">
            <w:pPr>
              <w:keepNext w:val="0"/>
              <w:keepLines w:val="0"/>
              <w:widowControl/>
              <w:suppressLineNumbers w:val="0"/>
              <w:spacing w:before="0" w:beforeAutospacing="0" w:after="0" w:afterAutospacing="0"/>
              <w:ind w:left="0" w:right="0"/>
              <w:jc w:val="center"/>
              <w:textAlignment w:val="center"/>
              <w:rPr>
                <w:rFonts w:hint="default" w:eastAsia="宋体" w:cs="Times New Roman"/>
                <w:color w:val="000000"/>
                <w:sz w:val="22"/>
                <w:szCs w:val="22"/>
                <w:lang w:val="en-US"/>
              </w:rPr>
            </w:pPr>
            <w:r>
              <w:rPr>
                <w:rFonts w:hint="default" w:ascii="Times New Roman" w:hAnsi="Times New Roman" w:eastAsia="宋体" w:cs="Times New Roman"/>
                <w:bCs/>
                <w:color w:val="000000"/>
                <w:kern w:val="0"/>
                <w:sz w:val="22"/>
                <w:szCs w:val="22"/>
                <w:lang w:val="en-US" w:eastAsia="zh-CN" w:bidi="ar"/>
              </w:rPr>
              <w:t>97.81847378</w:t>
            </w:r>
          </w:p>
        </w:tc>
        <w:tc>
          <w:tcPr>
            <w:tcW w:w="1221" w:type="pct"/>
            <w:tcBorders>
              <w:top w:val="nil"/>
              <w:left w:val="nil"/>
              <w:bottom w:val="single" w:color="auto" w:sz="12" w:space="0"/>
              <w:right w:val="nil"/>
            </w:tcBorders>
            <w:shd w:val="clear" w:color="auto" w:fill="auto"/>
            <w:vAlign w:val="center"/>
          </w:tcPr>
          <w:p w14:paraId="23B1B45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Cs/>
                <w:color w:val="000000"/>
                <w:kern w:val="0"/>
                <w:sz w:val="22"/>
                <w:szCs w:val="22"/>
                <w:lang w:val="en-US" w:eastAsia="zh-CN" w:bidi="ar"/>
              </w:rPr>
            </w:pPr>
            <w:r>
              <w:rPr>
                <w:rFonts w:hint="eastAsia" w:eastAsia="宋体" w:cs="Times New Roman"/>
                <w:bCs/>
                <w:color w:val="000000"/>
                <w:kern w:val="0"/>
                <w:sz w:val="22"/>
                <w:szCs w:val="22"/>
                <w:lang w:val="en-US" w:eastAsia="zh-CN" w:bidi="ar"/>
              </w:rPr>
              <w:t>right</w:t>
            </w:r>
          </w:p>
        </w:tc>
      </w:tr>
    </w:tbl>
    <w:p w14:paraId="24DF7459">
      <w:pPr>
        <w:keepNext w:val="0"/>
        <w:keepLines w:val="0"/>
        <w:pageBreakBefore w:val="0"/>
        <w:widowControl w:val="0"/>
        <w:kinsoku/>
        <w:wordWrap/>
        <w:overflowPunct/>
        <w:topLinePunct w:val="0"/>
        <w:autoSpaceDE/>
        <w:autoSpaceDN/>
        <w:bidi w:val="0"/>
        <w:adjustRightInd/>
        <w:snapToGrid/>
        <w:jc w:val="both"/>
        <w:textAlignment w:val="auto"/>
        <w:rPr>
          <w:rFonts w:hint="eastAsia" w:cs="Times New Roman"/>
          <w:vertAlign w:val="baseline"/>
          <w:lang w:val="en-US" w:eastAsia="zh-CN"/>
        </w:rPr>
      </w:pPr>
    </w:p>
    <w:p w14:paraId="446298A4">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cs="Times New Roman"/>
          <w:sz w:val="21"/>
          <w:szCs w:val="21"/>
          <w:vertAlign w:val="baseline"/>
          <w:lang w:val="en-US" w:eastAsia="zh-CN"/>
        </w:rPr>
      </w:pPr>
      <w:r>
        <w:rPr>
          <w:rFonts w:hint="default" w:cs="Times New Roman"/>
          <w:sz w:val="21"/>
          <w:szCs w:val="21"/>
          <w:vertAlign w:val="baseline"/>
          <w:lang w:val="en-US" w:eastAsia="zh-CN"/>
        </w:rPr>
        <w:t>The discolored batch consistently delivered inferior conversion, yield, and selectivity. We therefore urge readers to inspect the physical appearance of 2-cyanopyridine prior to use and to document the supplier lot number in their experimental records. Discoloration likely indicates partial hydrolysis or oxidation during storage, which introduces impurities that competitively adsorb on active sites or alter the reaction medium. Sourcing fresh, colorless reagent from verified lots is essential for achieving the performance metrics reported herein.</w:t>
      </w:r>
    </w:p>
    <w:p w14:paraId="3393E15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cs="Times New Roman"/>
          <w:vertAlign w:val="baseline"/>
          <w:lang w:val="en-US" w:eastAsia="zh-CN"/>
        </w:rPr>
      </w:pPr>
      <w:r>
        <w:drawing>
          <wp:inline distT="0" distB="0" distL="114300" distR="114300">
            <wp:extent cx="2331720" cy="214630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331720" cy="2146300"/>
                    </a:xfrm>
                    <a:prstGeom prst="rect">
                      <a:avLst/>
                    </a:prstGeom>
                    <a:noFill/>
                    <a:ln>
                      <a:noFill/>
                    </a:ln>
                  </pic:spPr>
                </pic:pic>
              </a:graphicData>
            </a:graphic>
          </wp:inline>
        </w:drawing>
      </w:r>
      <w:r>
        <w:drawing>
          <wp:inline distT="0" distB="0" distL="114300" distR="114300">
            <wp:extent cx="2553335" cy="2140585"/>
            <wp:effectExtent l="0" t="0" r="698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553335" cy="2140585"/>
                    </a:xfrm>
                    <a:prstGeom prst="rect">
                      <a:avLst/>
                    </a:prstGeom>
                    <a:noFill/>
                    <a:ln>
                      <a:noFill/>
                    </a:ln>
                  </pic:spPr>
                </pic:pic>
              </a:graphicData>
            </a:graphic>
          </wp:inline>
        </w:drawing>
      </w:r>
    </w:p>
    <w:p w14:paraId="72ABA380">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9724D"/>
    <w:rsid w:val="034C6D44"/>
    <w:rsid w:val="050277A3"/>
    <w:rsid w:val="05CC64B2"/>
    <w:rsid w:val="06347482"/>
    <w:rsid w:val="13291376"/>
    <w:rsid w:val="227F4F1F"/>
    <w:rsid w:val="2C2F40D4"/>
    <w:rsid w:val="36816B30"/>
    <w:rsid w:val="394E275F"/>
    <w:rsid w:val="3D932346"/>
    <w:rsid w:val="4EF255F1"/>
    <w:rsid w:val="5BE2561A"/>
    <w:rsid w:val="5CD728E8"/>
    <w:rsid w:val="5D583E85"/>
    <w:rsid w:val="68C301C4"/>
    <w:rsid w:val="6E7837FF"/>
    <w:rsid w:val="727D20CB"/>
    <w:rsid w:val="7DDB1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bCs/>
      <w:kern w:val="0"/>
      <w:sz w:val="24"/>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styleId="3">
    <w:name w:val="Table Grid"/>
    <w:basedOn w:val="2"/>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5">
    <w:name w:val="公式"/>
    <w:basedOn w:val="1"/>
    <w:qFormat/>
    <w:uiPriority w:val="0"/>
    <w:pPr>
      <w:tabs>
        <w:tab w:val="center" w:pos="4150"/>
        <w:tab w:val="right" w:pos="8300"/>
      </w:tabs>
      <w:jc w:val="center"/>
    </w:pPr>
    <w:rPr>
      <w:rFonts w:hint="default" w:ascii="Times New Roman" w:hAnsi="Times New Roman" w:eastAsia="宋体" w:cs="Times New Roman"/>
      <w:szCs w:val="21"/>
    </w:rPr>
  </w:style>
  <w:style w:type="paragraph" w:customStyle="1" w:styleId="6">
    <w:name w:val="公式-1"/>
    <w:basedOn w:val="1"/>
    <w:uiPriority w:val="0"/>
    <w:pPr>
      <w:tabs>
        <w:tab w:val="center" w:pos="4150"/>
        <w:tab w:val="right" w:pos="8300"/>
      </w:tabs>
      <w:ind w:firstLine="420" w:firstLineChars="200"/>
      <w:jc w:val="center"/>
      <w:outlineLvl w:val="2"/>
    </w:pPr>
    <w:rPr>
      <w:rFonts w:ascii="Times New Roman" w:hAnsi="Times New Roman" w:eastAsia="宋体" w:cs="Times New Roman"/>
      <w:kern w:val="2"/>
      <w:position w:val="-26"/>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442</Words>
  <Characters>2965</Characters>
  <Lines>0</Lines>
  <Paragraphs>0</Paragraphs>
  <TotalTime>9</TotalTime>
  <ScaleCrop>false</ScaleCrop>
  <LinksUpToDate>false</LinksUpToDate>
  <CharactersWithSpaces>3376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2024-09-20T00:46:00Z</dcterms:created>
  <dc:creator>华硕</dc:creator>
  <cp:lastModifiedBy>鴥彼晨风，郁彼北林</cp:lastModifiedBy>
  <dcterms:modified xsi:type="dcterms:W3CDTF">2026-05-25T06:14:52Z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7D9FCE95B57545B5BAB237018E26EB71_12</vt:lpwstr>
  </property>
  <property fmtid="{D5CDD505-2E9C-101B-9397-08002B2CF9AE}" pid="4" name="KSOTemplateDocerSaveRecord">
    <vt:lpwstr>eyJoZGlkIjoiYzdmYTA0MzA2NTk1ZmJhMDM2NDAwNzFjN2JjMGU0MWUiLCJ1c2VySWQiOiIzOTE5MjkyMzQifQ==</vt:lpwstr>
  </property>
</Properties>
</file>