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jc w:val="center"/>
      </w:pPr>
      <w:r>
        <w:rPr>
          <w:rFonts w:ascii="Calibri" w:hAnsi="Calibri"/>
          <w:b/>
          <w:color w:val="0B2545"/>
          <w:sz w:val="34"/>
        </w:rPr>
        <w:t>Scalable and Resilient Microservices with MicroK8s</w:t>
      </w:r>
    </w:p>
    <w:p>
      <w:pPr>
        <w:spacing w:after="160"/>
        <w:jc w:val="center"/>
      </w:pPr>
      <w:r>
        <w:rPr>
          <w:color w:val="555555"/>
          <w:sz w:val="19"/>
        </w:rPr>
        <w:t xml:space="preserve">Two-Page Architecture Report | Student: </w:t>
      </w:r>
      <w:r>
        <w:rPr>
          <w:rFonts w:hint="eastAsia" w:eastAsia="新細明體"/>
          <w:color w:val="555555"/>
          <w:sz w:val="19"/>
          <w:lang w:val="en-US" w:eastAsia="zh-TW"/>
        </w:rPr>
        <w:t>Lacus Isasi, Yi Wen Chang</w:t>
      </w:r>
      <w:bookmarkStart w:id="0" w:name="_GoBack"/>
      <w:bookmarkEnd w:id="0"/>
      <w:r>
        <w:rPr>
          <w:color w:val="555555"/>
          <w:sz w:val="19"/>
        </w:rPr>
        <w:t>| Date: June 3, 2026</w:t>
      </w:r>
    </w:p>
    <w:p>
      <w:pPr>
        <w:pStyle w:val="2"/>
      </w:pPr>
      <w:r>
        <w:rPr>
          <w:rFonts w:ascii="Calibri" w:hAnsi="Calibri"/>
          <w:color w:val="2E74B5"/>
        </w:rPr>
        <w:t>1. System Overview</w:t>
      </w:r>
    </w:p>
    <w:p>
      <w:pPr>
        <w:spacing w:after="100" w:line="259" w:lineRule="auto"/>
      </w:pPr>
      <w:r>
        <w:t>This project implements a stateless Photo Gallery API as a local cloud-native system. The application is intentionally simple: each request returns runtime identity information such as the pod hostname, pod IP, version, timestamp, and request count. Because no persistent session or uploaded data is stored inside the container, any replica can serve any request, which makes the service suitable for Kubernetes scheduling, replacement, and horizontal scaling.</w:t>
      </w:r>
    </w:p>
    <w:tbl>
      <w:tblPr>
        <w:tblStyle w:val="36"/>
        <w:tblW w:w="999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4997" w:type="dxa"/>
            <w:shd w:val="clear" w:color="auto" w:fill="F2F4F7"/>
            <w:tcMar>
              <w:top w:w="80" w:type="dxa"/>
              <w:bottom w:w="80" w:type="dxa"/>
            </w:tcMar>
            <w:vAlign w:val="center"/>
          </w:tcPr>
          <w:p>
            <w:r>
              <w:rPr>
                <w:b/>
              </w:rPr>
              <w:t>Area</w:t>
            </w:r>
          </w:p>
        </w:tc>
        <w:tc>
          <w:tcPr>
            <w:tcW w:w="4997" w:type="dxa"/>
            <w:shd w:val="clear" w:color="auto" w:fill="F2F4F7"/>
            <w:tcMar>
              <w:top w:w="80" w:type="dxa"/>
              <w:bottom w:w="80" w:type="dxa"/>
            </w:tcMar>
            <w:vAlign w:val="center"/>
          </w:tcPr>
          <w:p>
            <w:r>
              <w:rPr>
                <w:b/>
              </w:rPr>
              <w:t>Implementation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Application</w:t>
            </w:r>
          </w:p>
        </w:tc>
        <w:tc>
          <w:tcPr>
            <w:tcW w:w="4997" w:type="dxa"/>
          </w:tcPr>
          <w:p>
            <w:r>
              <w:t>Flask REST/API service in web/app.py, exposed on container port 8080.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Container</w:t>
            </w:r>
          </w:p>
        </w:tc>
        <w:tc>
          <w:tcPr>
            <w:tcW w:w="4997" w:type="dxa"/>
          </w:tcPr>
          <w:p>
            <w:r>
              <w:t>Dockerfile based on python:3.12-slim, with no-cache dependency install and a small runtime footprint.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Registry</w:t>
            </w:r>
          </w:p>
        </w:tc>
        <w:tc>
          <w:tcPr>
            <w:tcW w:w="4997" w:type="dxa"/>
          </w:tcPr>
          <w:p>
            <w:r>
              <w:t>Scripts/build-and-push.sh tags and pushes the image to localhost:32000/photo-gallery-api:v1, the MicroK8s local registry.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Kubernetes</w:t>
            </w:r>
          </w:p>
        </w:tc>
        <w:tc>
          <w:tcPr>
            <w:tcW w:w="4997" w:type="dxa"/>
          </w:tcPr>
          <w:p>
            <w:r>
              <w:t>Namespace, Deployment, ClusterIP Service, Ingress, and HPA manifests are stored cleanly under k8s/.</w:t>
            </w:r>
          </w:p>
        </w:tc>
      </w:tr>
    </w:tbl>
    <w:p>
      <w:pPr>
        <w:pStyle w:val="2"/>
      </w:pPr>
      <w:r>
        <w:rPr>
          <w:rFonts w:ascii="Calibri" w:hAnsi="Calibri"/>
          <w:color w:val="2E74B5"/>
        </w:rPr>
        <w:t>2. Local DevOps Workflow</w:t>
      </w:r>
    </w:p>
    <w:p>
      <w:pPr>
        <w:spacing w:after="100" w:line="259" w:lineRule="auto"/>
      </w:pPr>
      <w:r>
        <w:t>The local workflow starts by enabling MicroK8s addons for DNS, registry, ingress, and metrics-server. The build script then builds the Docker image, tags it for the local registry, pushes it, and applies the Kubernetes manifests. The Deployment points to localhost:32000/photo-gallery-api:v1, proving that MicroK8s pulls from the private local registry instead of Docker Hub.</w:t>
      </w:r>
    </w:p>
    <w:p>
      <w:pPr>
        <w:pStyle w:val="21"/>
        <w:spacing w:after="80" w:line="264" w:lineRule="auto"/>
      </w:pPr>
      <w:r>
        <w:t>Build and push: docker build, docker tag, docker push localhost:32000/photo-gallery-api:v1.</w:t>
      </w:r>
    </w:p>
    <w:p>
      <w:pPr>
        <w:pStyle w:val="21"/>
        <w:spacing w:after="80" w:line="264" w:lineRule="auto"/>
      </w:pPr>
      <w:r>
        <w:t>Deploy: microk8s kubectl apply -f k8s/namespace.yaml, deployment.yaml, service.yaml, ingress.yaml, and hpa.yaml.</w:t>
      </w:r>
    </w:p>
    <w:p>
      <w:pPr>
        <w:pStyle w:val="21"/>
        <w:spacing w:after="80" w:line="264" w:lineRule="auto"/>
      </w:pPr>
      <w:r>
        <w:t>Audit proof: show the registry image, then show the Deployment manifest image field and running pods.</w:t>
      </w:r>
    </w:p>
    <w:p>
      <w:pPr>
        <w:pStyle w:val="2"/>
      </w:pPr>
      <w:r>
        <w:rPr>
          <w:rFonts w:ascii="Calibri" w:hAnsi="Calibri"/>
          <w:color w:val="2E74B5"/>
        </w:rPr>
        <w:t>3. Traffic Management and Load Balancing</w:t>
      </w:r>
    </w:p>
    <w:p>
      <w:pPr>
        <w:spacing w:after="100" w:line="259" w:lineRule="auto"/>
      </w:pPr>
      <w:r>
        <w:t>Traffic enters through the MicroK8s NGINX Ingress controller using host photo.local. The Ingress forwards HTTP traffic to the ClusterIP Service on port 80, and the Service distributes requests to healthy pods selected by the app=photo-gallery-api label. The demo-traffic script repeatedly calls the Ingress and prints pod hostname and IP values, making request distribution visible during the live audit.</w:t>
      </w:r>
    </w:p>
    <w:p>
      <w:pPr>
        <w:sectPr>
          <w:footerReference r:id="rId3" w:type="default"/>
          <w:pgSz w:w="12240" w:h="15840"/>
          <w:pgMar w:top="1037" w:right="1123" w:bottom="1037" w:left="1123" w:header="720" w:footer="720" w:gutter="0"/>
          <w:cols w:space="720" w:num="1"/>
          <w:docGrid w:linePitch="360" w:charSpace="0"/>
        </w:sectPr>
      </w:pPr>
    </w:p>
    <w:p>
      <w:pPr>
        <w:pStyle w:val="2"/>
      </w:pPr>
      <w:r>
        <w:rPr>
          <w:rFonts w:ascii="Calibri" w:hAnsi="Calibri"/>
          <w:color w:val="2E74B5"/>
        </w:rPr>
        <w:t>4. Scaling and Self-Healing</w:t>
      </w:r>
    </w:p>
    <w:p>
      <w:pPr>
        <w:spacing w:after="100" w:line="259" w:lineRule="auto"/>
      </w:pPr>
      <w:r>
        <w:t>The Deployment starts with three replicas, which provides high availability even when a single pod is removed. Liveness and readiness probes call /healthz and /readyz so Kubernetes can restart failed containers and remove unready containers from Service routing. For autoscaling, the HPA uses autoscaling/v2 with a minimum of two replicas, maximum of six replicas, and a CPU utilization target of 50 percent.</w:t>
      </w:r>
    </w:p>
    <w:p>
      <w:pPr>
        <w:pStyle w:val="21"/>
        <w:spacing w:after="80" w:line="264" w:lineRule="auto"/>
      </w:pPr>
      <w:r>
        <w:t>Chaos test: delete one running pod with kubectl; the service remains reachable through Ingress while Kubernetes creates a replacement pod.</w:t>
      </w:r>
    </w:p>
    <w:p>
      <w:pPr>
        <w:pStyle w:val="21"/>
        <w:spacing w:after="80" w:line="264" w:lineRule="auto"/>
      </w:pPr>
      <w:r>
        <w:t>Scaling test: generate CPU load through /api/load, observe HPA status, and use manual scaling to five replicas as a reliable fallback demonstration.</w:t>
      </w:r>
    </w:p>
    <w:p>
      <w:pPr>
        <w:pStyle w:val="21"/>
        <w:spacing w:after="80" w:line="264" w:lineRule="auto"/>
      </w:pPr>
      <w:r>
        <w:t>Load-balancing proof: after replacement or scaling, the traffic loop shows new hostnames/IPs joining responses.</w:t>
      </w:r>
    </w:p>
    <w:p>
      <w:pPr>
        <w:pStyle w:val="2"/>
      </w:pPr>
      <w:r>
        <w:rPr>
          <w:rFonts w:ascii="Calibri" w:hAnsi="Calibri"/>
          <w:color w:val="2E74B5"/>
        </w:rPr>
        <w:t>5. Resource Constraints for Low-End Hardware</w:t>
      </w:r>
    </w:p>
    <w:p>
      <w:pPr>
        <w:spacing w:after="100" w:line="259" w:lineRule="auto"/>
      </w:pPr>
      <w:r>
        <w:t>The manifests use conservative resource requests and limits so the cluster remains stable on a laptop or low-end desktop. Each pod requests 100m CPU and 128Mi memory, while limits are capped at 500m CPU and 256Mi memory. These values are small enough for MicroK8s to schedule multiple replicas locally, but still define guardrails so a load test or bug cannot consume the entire machine.</w:t>
      </w:r>
    </w:p>
    <w:tbl>
      <w:tblPr>
        <w:tblStyle w:val="36"/>
        <w:tblW w:w="999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4997" w:type="dxa"/>
            <w:shd w:val="clear" w:color="auto" w:fill="F2F4F7"/>
            <w:tcMar>
              <w:top w:w="80" w:type="dxa"/>
              <w:bottom w:w="80" w:type="dxa"/>
            </w:tcMar>
            <w:vAlign w:val="center"/>
          </w:tcPr>
          <w:p>
            <w:r>
              <w:rPr>
                <w:b/>
              </w:rPr>
              <w:t>Area</w:t>
            </w:r>
          </w:p>
        </w:tc>
        <w:tc>
          <w:tcPr>
            <w:tcW w:w="4997" w:type="dxa"/>
            <w:shd w:val="clear" w:color="auto" w:fill="F2F4F7"/>
            <w:tcMar>
              <w:top w:w="80" w:type="dxa"/>
              <w:bottom w:w="80" w:type="dxa"/>
            </w:tcMar>
            <w:vAlign w:val="center"/>
          </w:tcPr>
          <w:p>
            <w:r>
              <w:rPr>
                <w:b/>
              </w:rPr>
              <w:t>Implementation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Requests</w:t>
            </w:r>
          </w:p>
        </w:tc>
        <w:tc>
          <w:tcPr>
            <w:tcW w:w="4997" w:type="dxa"/>
          </w:tcPr>
          <w:p>
            <w:r>
              <w:t>100m CPU and 128Mi memory reserve predictable capacity for each replica.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Limits</w:t>
            </w:r>
          </w:p>
        </w:tc>
        <w:tc>
          <w:tcPr>
            <w:tcW w:w="4997" w:type="dxa"/>
          </w:tcPr>
          <w:p>
            <w:r>
              <w:t>500m CPU and 256Mi memory prevent a single pod from overwhelming the node.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Replica range</w:t>
            </w:r>
          </w:p>
        </w:tc>
        <w:tc>
          <w:tcPr>
            <w:tcW w:w="4997" w:type="dxa"/>
          </w:tcPr>
          <w:p>
            <w:r>
              <w:t>HPA range of 2-6 balances availability with local hardware 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997" w:type="dxa"/>
          </w:tcPr>
          <w:p>
            <w:r>
              <w:t>Stateless design</w:t>
            </w:r>
          </w:p>
        </w:tc>
        <w:tc>
          <w:tcPr>
            <w:tcW w:w="4997" w:type="dxa"/>
          </w:tcPr>
          <w:p>
            <w:r>
              <w:t>No in-container state means pods can be restarted, replaced, or scaled without data loss.</w:t>
            </w:r>
          </w:p>
        </w:tc>
      </w:tr>
    </w:tbl>
    <w:p>
      <w:pPr>
        <w:pStyle w:val="2"/>
      </w:pPr>
      <w:r>
        <w:rPr>
          <w:rFonts w:ascii="Calibri" w:hAnsi="Calibri"/>
          <w:color w:val="2E74B5"/>
        </w:rPr>
        <w:t>6. Submission Checklist</w:t>
      </w:r>
    </w:p>
    <w:p>
      <w:pPr>
        <w:spacing w:after="100" w:line="259" w:lineRule="auto"/>
      </w:pPr>
      <w:r>
        <w:t>The submission package should include the full source code directory, the k8s/ manifest directory, the Dockerfile, web application source, demo scripts, and this report. Before zipping, initialize or include the Git repository metadata if required by the instructor, because the current folder must be submitted as a source code Git directory rather than only loose files.</w:t>
      </w:r>
    </w:p>
    <w:p>
      <w:pPr>
        <w:pStyle w:val="21"/>
        <w:spacing w:after="80" w:line="264" w:lineRule="auto"/>
      </w:pPr>
      <w:r>
        <w:t>Required files present: Dockerfile, web/app.py, web/requirements.txt, k8s/*.yaml, and Scripts/*.sh.</w:t>
      </w:r>
    </w:p>
    <w:p>
      <w:pPr>
        <w:pStyle w:val="21"/>
        <w:spacing w:after="80" w:line="264" w:lineRule="auto"/>
      </w:pPr>
      <w:r>
        <w:t>Important final check: run the demo scripts from Git Bash, WSL, or Linux; chmod is not a native PowerShell command.</w:t>
      </w:r>
    </w:p>
    <w:p>
      <w:pPr>
        <w:pStyle w:val="21"/>
        <w:spacing w:after="80" w:line="264" w:lineRule="auto"/>
      </w:pPr>
      <w:r>
        <w:t>Final proof commands: kubectl get pods -o wide, kubectl get ingress, kubectl get hpa, and repeated curl requests through Ingress.</w:t>
      </w:r>
    </w:p>
    <w:sectPr>
      <w:pgSz w:w="12240" w:h="15840"/>
      <w:pgMar w:top="1037" w:right="1123" w:bottom="1037" w:left="112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auto"/>
    <w:pitch w:val="default"/>
    <w:sig w:usb0="00000000" w:usb1="00000000" w:usb2="00000000" w:usb3="00000000" w:csb0="80000000" w:csb1="00000000"/>
  </w:font>
  <w:font w:name="ＭＳ 明朝">
    <w:altName w:val="Noto Serif HK"/>
    <w:panose1 w:val="00000000000000000000"/>
    <w:charset w:val="80"/>
    <w:family w:val="roman"/>
    <w:pitch w:val="default"/>
    <w:sig w:usb0="00000000" w:usb1="00000000" w:usb2="00000010" w:usb3="00000000" w:csb0="0002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jc w:val="center"/>
    </w:pPr>
    <w:r>
      <w:rPr>
        <w:sz w:val="16"/>
      </w:rPr>
      <w:t>MicroK8s Term Project Report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1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1"/>
      <w:lvlText w:val=""/>
      <w:lvlJc w:val="left"/>
      <w:pPr>
        <w:tabs>
          <w:tab w:val="left" w:pos="360"/>
        </w:tabs>
        <w:ind w:left="360" w:hanging="360"/>
      </w:pPr>
      <w:rPr>
        <w:rFonts w:hint="default" w:ascii="Symbol" w:hAnsi="Symbol"/>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AF5FCC"/>
  </w:rsids>
  <m:mathPr>
    <m:lMargin m:val="0"/>
    <m:mathFont m:val="Cambria Math"/>
    <m:rMargin m:val="0"/>
    <m:wrapIndent m:val="1440"/>
    <m:brkBin m:val="before"/>
    <m:brkBinSub m:val="--"/>
    <m:defJc m:val="centerGroup"/>
    <m:intLim m:val="subSup"/>
    <m:naryLim m:val="undOvr"/>
    <m:smallFrac m:val="0"/>
    <m:dispDef/>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2E74B5"/>
      <w:sz w:val="28"/>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2E74B5"/>
      <w:sz w:val="23"/>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1"/>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qFormat/>
    <w:uiPriority w:val="1"/>
  </w:style>
  <w:style w:type="table" w:default="1" w:styleId="35">
    <w:name w:val="Normal Table"/>
    <w:unhideWhenUsed/>
    <w:qFormat/>
    <w:uiPriority w:val="99"/>
    <w:tblPr>
      <w:tblLayout w:type="fixed"/>
      <w:tblCellMar>
        <w:top w:w="0" w:type="dxa"/>
        <w:left w:w="108" w:type="dxa"/>
        <w:bottom w:w="0" w:type="dxa"/>
        <w:right w:w="108" w:type="dxa"/>
      </w:tblCellMar>
    </w:tblPr>
  </w:style>
  <w:style w:type="paragraph" w:styleId="11">
    <w:name w:val="List Bullet 3"/>
    <w:basedOn w:val="1"/>
    <w:unhideWhenUsed/>
    <w:uiPriority w:val="99"/>
    <w:pPr>
      <w:numPr>
        <w:ilvl w:val="0"/>
        <w:numId w:val="1"/>
      </w:numPr>
      <w:contextualSpacing/>
    </w:pPr>
  </w:style>
  <w:style w:type="paragraph" w:styleId="12">
    <w:name w:val="List Number 3"/>
    <w:basedOn w:val="1"/>
    <w:unhideWhenUsed/>
    <w:uiPriority w:val="99"/>
    <w:pPr>
      <w:numPr>
        <w:ilvl w:val="0"/>
        <w:numId w:val="2"/>
      </w:numPr>
      <w:contextualSpacing/>
    </w:pPr>
  </w:style>
  <w:style w:type="paragraph" w:styleId="13">
    <w:name w:val="header"/>
    <w:basedOn w:val="1"/>
    <w:link w:val="135"/>
    <w:unhideWhenUsed/>
    <w:uiPriority w:val="99"/>
    <w:pPr>
      <w:tabs>
        <w:tab w:val="center" w:pos="4680"/>
        <w:tab w:val="right" w:pos="9360"/>
      </w:tabs>
      <w:spacing w:after="0" w:line="240" w:lineRule="auto"/>
    </w:pPr>
  </w:style>
  <w:style w:type="paragraph" w:styleId="14">
    <w:name w:val="List 2"/>
    <w:basedOn w:val="1"/>
    <w:unhideWhenUsed/>
    <w:uiPriority w:val="99"/>
    <w:pPr>
      <w:ind w:left="720" w:hanging="360"/>
      <w:contextualSpacing/>
    </w:pPr>
  </w:style>
  <w:style w:type="paragraph" w:styleId="15">
    <w:name w:val="List Number"/>
    <w:basedOn w:val="1"/>
    <w:unhideWhenUsed/>
    <w:uiPriority w:val="99"/>
    <w:pPr>
      <w:numPr>
        <w:ilvl w:val="0"/>
        <w:numId w:val="3"/>
      </w:numPr>
      <w:contextualSpacing/>
    </w:pPr>
  </w:style>
  <w:style w:type="paragraph" w:styleId="16">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7">
    <w:name w:val="Body Text 2"/>
    <w:basedOn w:val="1"/>
    <w:link w:val="145"/>
    <w:unhideWhenUsed/>
    <w:qFormat/>
    <w:uiPriority w:val="99"/>
    <w:pPr>
      <w:spacing w:after="120" w:line="480" w:lineRule="auto"/>
    </w:pPr>
  </w:style>
  <w:style w:type="paragraph" w:styleId="18">
    <w:name w:val="List Continue"/>
    <w:basedOn w:val="1"/>
    <w:unhideWhenUsed/>
    <w:uiPriority w:val="99"/>
    <w:pPr>
      <w:spacing w:after="120"/>
      <w:ind w:left="360"/>
      <w:contextualSpacing/>
    </w:pPr>
  </w:style>
  <w:style w:type="paragraph" w:styleId="19">
    <w:name w:val="List Bullet 2"/>
    <w:basedOn w:val="1"/>
    <w:unhideWhenUsed/>
    <w:qFormat/>
    <w:uiPriority w:val="99"/>
    <w:pPr>
      <w:numPr>
        <w:ilvl w:val="0"/>
        <w:numId w:val="4"/>
      </w:numPr>
      <w:contextualSpacing/>
    </w:pPr>
  </w:style>
  <w:style w:type="paragraph" w:styleId="20">
    <w:name w:val="List"/>
    <w:basedOn w:val="1"/>
    <w:unhideWhenUsed/>
    <w:uiPriority w:val="99"/>
    <w:pPr>
      <w:ind w:left="360" w:hanging="360"/>
      <w:contextualSpacing/>
    </w:pPr>
  </w:style>
  <w:style w:type="paragraph" w:styleId="21">
    <w:name w:val="List Bullet"/>
    <w:basedOn w:val="1"/>
    <w:unhideWhenUsed/>
    <w:uiPriority w:val="99"/>
    <w:pPr>
      <w:numPr>
        <w:ilvl w:val="0"/>
        <w:numId w:val="5"/>
      </w:numPr>
      <w:contextualSpacing/>
    </w:pPr>
  </w:style>
  <w:style w:type="paragraph" w:styleId="22">
    <w:name w:val="List Number 2"/>
    <w:basedOn w:val="1"/>
    <w:unhideWhenUsed/>
    <w:uiPriority w:val="99"/>
    <w:pPr>
      <w:numPr>
        <w:ilvl w:val="0"/>
        <w:numId w:val="6"/>
      </w:numPr>
      <w:contextualSpacing/>
    </w:pPr>
  </w:style>
  <w:style w:type="paragraph" w:styleId="23">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4">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6">
    <w:name w:val="Body Text"/>
    <w:basedOn w:val="1"/>
    <w:link w:val="144"/>
    <w:unhideWhenUsed/>
    <w:uiPriority w:val="99"/>
    <w:pPr>
      <w:spacing w:after="120"/>
    </w:pPr>
  </w:style>
  <w:style w:type="paragraph" w:styleId="27">
    <w:name w:val="Body Text 3"/>
    <w:basedOn w:val="1"/>
    <w:link w:val="146"/>
    <w:unhideWhenUsed/>
    <w:qFormat/>
    <w:uiPriority w:val="99"/>
    <w:pPr>
      <w:spacing w:after="120"/>
    </w:pPr>
    <w:rPr>
      <w:sz w:val="16"/>
      <w:szCs w:val="16"/>
    </w:rPr>
  </w:style>
  <w:style w:type="paragraph" w:styleId="28">
    <w:name w:val="footer"/>
    <w:basedOn w:val="1"/>
    <w:link w:val="136"/>
    <w:unhideWhenUsed/>
    <w:uiPriority w:val="99"/>
    <w:pPr>
      <w:tabs>
        <w:tab w:val="center" w:pos="4680"/>
        <w:tab w:val="right" w:pos="9360"/>
      </w:tabs>
      <w:spacing w:after="0" w:line="240" w:lineRule="auto"/>
    </w:pPr>
  </w:style>
  <w:style w:type="paragraph" w:styleId="29">
    <w:name w:val="List Continue 3"/>
    <w:basedOn w:val="1"/>
    <w:unhideWhenUsed/>
    <w:uiPriority w:val="99"/>
    <w:pPr>
      <w:spacing w:after="120"/>
      <w:ind w:left="1080"/>
      <w:contextualSpacing/>
    </w:pPr>
  </w:style>
  <w:style w:type="paragraph" w:styleId="30">
    <w:name w:val="List 3"/>
    <w:basedOn w:val="1"/>
    <w:unhideWhenUsed/>
    <w:uiPriority w:val="99"/>
    <w:pPr>
      <w:ind w:left="1080" w:hanging="360"/>
      <w:contextualSpacing/>
    </w:pPr>
  </w:style>
  <w:style w:type="paragraph" w:styleId="31">
    <w:name w:val="List Continue 2"/>
    <w:basedOn w:val="1"/>
    <w:unhideWhenUsed/>
    <w:uiPriority w:val="99"/>
    <w:pPr>
      <w:spacing w:after="120"/>
      <w:ind w:left="720"/>
      <w:contextualSpacing/>
    </w:p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3"/>
    <w:uiPriority w:val="99"/>
  </w:style>
  <w:style w:type="character" w:customStyle="1" w:styleId="136">
    <w:name w:val="Footer Char"/>
    <w:basedOn w:val="32"/>
    <w:link w:val="28"/>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2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2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32"/>
    <w:link w:val="26"/>
    <w:qFormat/>
    <w:uiPriority w:val="99"/>
  </w:style>
  <w:style w:type="character" w:customStyle="1" w:styleId="145">
    <w:name w:val="Body Text 2 Char"/>
    <w:basedOn w:val="32"/>
    <w:link w:val="17"/>
    <w:uiPriority w:val="99"/>
  </w:style>
  <w:style w:type="character" w:customStyle="1" w:styleId="146">
    <w:name w:val="Body Text 3 Char"/>
    <w:basedOn w:val="32"/>
    <w:link w:val="27"/>
    <w:uiPriority w:val="99"/>
    <w:rPr>
      <w:sz w:val="16"/>
      <w:szCs w:val="16"/>
    </w:rPr>
  </w:style>
  <w:style w:type="character" w:customStyle="1" w:styleId="147">
    <w:name w:val="Macro Text Char"/>
    <w:basedOn w:val="32"/>
    <w:link w:val="16"/>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Alva</cp:lastModifiedBy>
  <dcterms:modified xsi:type="dcterms:W3CDTF">2026-06-03T08:05:18Z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