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8E9B3" w14:textId="7B3C15FD" w:rsidR="005D0ED2" w:rsidRDefault="00AA7928" w:rsidP="00AA79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7928">
        <w:rPr>
          <w:rFonts w:ascii="宋体" w:eastAsia="宋体" w:hAnsi="宋体" w:hint="eastAsia"/>
          <w:sz w:val="28"/>
          <w:szCs w:val="28"/>
        </w:rPr>
        <w:t>StringBuffer</w:t>
      </w:r>
    </w:p>
    <w:p w14:paraId="4B247442" w14:textId="3E1E8835" w:rsidR="00AA7928" w:rsidRPr="00AA7928" w:rsidRDefault="00AA7928" w:rsidP="00AA792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String的内容是不可修改的，而StringBuffer</w:t>
      </w:r>
      <w:r w:rsidR="00AB4D5F">
        <w:rPr>
          <w:rFonts w:ascii="宋体" w:eastAsia="宋体" w:hAnsi="宋体" w:hint="eastAsia"/>
          <w:sz w:val="28"/>
          <w:szCs w:val="28"/>
        </w:rPr>
        <w:t>和StringBuilder的内容</w:t>
      </w:r>
      <w:r>
        <w:rPr>
          <w:rFonts w:ascii="宋体" w:eastAsia="宋体" w:hAnsi="宋体" w:hint="eastAsia"/>
          <w:sz w:val="28"/>
          <w:szCs w:val="28"/>
        </w:rPr>
        <w:t>是可以修改的，并且StringBuffer是线程安全的</w:t>
      </w:r>
      <w:r w:rsidR="00AB4D5F">
        <w:rPr>
          <w:rFonts w:ascii="宋体" w:eastAsia="宋体" w:hAnsi="宋体" w:hint="eastAsia"/>
          <w:sz w:val="28"/>
          <w:szCs w:val="28"/>
        </w:rPr>
        <w:t>StringBuilder是线程不安全的，所以StringBuffer的性能不如StringBuilder</w:t>
      </w:r>
      <w:r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a4"/>
        <w:tblW w:w="7944" w:type="dxa"/>
        <w:tblInd w:w="840" w:type="dxa"/>
        <w:tblLook w:val="04A0" w:firstRow="1" w:lastRow="0" w:firstColumn="1" w:lastColumn="0" w:noHBand="0" w:noVBand="1"/>
      </w:tblPr>
      <w:tblGrid>
        <w:gridCol w:w="8228"/>
      </w:tblGrid>
      <w:tr w:rsidR="00AA7928" w:rsidRPr="00AA7928" w14:paraId="37FD362C" w14:textId="77777777" w:rsidTr="00AA7928">
        <w:tc>
          <w:tcPr>
            <w:tcW w:w="7944" w:type="dxa"/>
          </w:tcPr>
          <w:p w14:paraId="392ABF64" w14:textId="2DA30069" w:rsidR="00AA7928" w:rsidRPr="00AA7928" w:rsidRDefault="00AA7928" w:rsidP="00AA7928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AA7928">
              <w:rPr>
                <w:rFonts w:ascii="宋体" w:eastAsia="宋体" w:hAnsi="宋体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1538E7D" wp14:editId="673BC687">
                  <wp:simplePos x="0" y="0"/>
                  <wp:positionH relativeFrom="column">
                    <wp:posOffset>-65210</wp:posOffset>
                  </wp:positionH>
                  <wp:positionV relativeFrom="page">
                    <wp:posOffset>40585</wp:posOffset>
                  </wp:positionV>
                  <wp:extent cx="5087620" cy="711835"/>
                  <wp:effectExtent l="0" t="0" r="0" b="0"/>
                  <wp:wrapTight wrapText="bothSides">
                    <wp:wrapPolygon edited="0">
                      <wp:start x="0" y="0"/>
                      <wp:lineTo x="0" y="20810"/>
                      <wp:lineTo x="21514" y="20810"/>
                      <wp:lineTo x="21514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62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A33974F" w14:textId="62931049" w:rsidR="00AA7928" w:rsidRDefault="00A36107" w:rsidP="00A361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tringBuffer</w:t>
      </w:r>
      <w:r>
        <w:rPr>
          <w:rFonts w:ascii="宋体" w:eastAsia="宋体" w:hAnsi="宋体" w:hint="eastAsia"/>
          <w:sz w:val="28"/>
          <w:szCs w:val="28"/>
        </w:rPr>
        <w:t>的构造方法</w:t>
      </w:r>
    </w:p>
    <w:p w14:paraId="4BB1F47F" w14:textId="72C2F409" w:rsidR="00A36107" w:rsidRDefault="00A36107" w:rsidP="00A36107">
      <w:pPr>
        <w:pStyle w:val="a5"/>
        <w:numPr>
          <w:ilvl w:val="0"/>
          <w:numId w:val="2"/>
        </w:numPr>
        <w:ind w:firstLine="420"/>
      </w:pPr>
      <w:r>
        <w:t>public StringBuffer():无参构造方法</w:t>
      </w:r>
      <w:r>
        <w:rPr>
          <w:rFonts w:hint="eastAsia"/>
        </w:rPr>
        <w:t>，默认容量16</w:t>
      </w:r>
    </w:p>
    <w:p w14:paraId="04FD962A" w14:textId="77777777" w:rsidR="00A36107" w:rsidRDefault="00A36107" w:rsidP="00A36107">
      <w:pPr>
        <w:pStyle w:val="a5"/>
        <w:numPr>
          <w:ilvl w:val="0"/>
          <w:numId w:val="2"/>
        </w:numPr>
        <w:ind w:firstLine="420"/>
      </w:pPr>
      <w:r>
        <w:t>public StringBuffer(int capacity):指定容量的字符串缓冲区对象</w:t>
      </w:r>
    </w:p>
    <w:p w14:paraId="0F767D90" w14:textId="77777777" w:rsidR="00A36107" w:rsidRDefault="00A36107" w:rsidP="00A36107">
      <w:pPr>
        <w:pStyle w:val="a5"/>
        <w:numPr>
          <w:ilvl w:val="0"/>
          <w:numId w:val="2"/>
        </w:numPr>
        <w:ind w:firstLine="420"/>
      </w:pPr>
      <w:r>
        <w:t>public StringBuffer(String str):指定字符串内容的字符串缓冲区对象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36107" w14:paraId="128E26AB" w14:textId="77777777" w:rsidTr="00A36107">
        <w:trPr>
          <w:trHeight w:val="1595"/>
          <w:jc w:val="center"/>
        </w:trPr>
        <w:tc>
          <w:tcPr>
            <w:tcW w:w="4405" w:type="dxa"/>
          </w:tcPr>
          <w:p w14:paraId="3F0A8B48" w14:textId="1CE5EEE3" w:rsidR="00A36107" w:rsidRDefault="00A36107" w:rsidP="00A36107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A36107">
              <w:rPr>
                <w:rFonts w:ascii="宋体" w:eastAsia="宋体" w:hAnsi="宋体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C0A2CBF" wp14:editId="5F1BA779">
                      <wp:extent cx="1554744" cy="829310"/>
                      <wp:effectExtent l="0" t="0" r="26670" b="27940"/>
                      <wp:docPr id="4" name="矩形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8BD8714-BD08-4918-AE5F-C9C4CD1E6F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744" cy="829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2FA24" w14:textId="77777777" w:rsidR="00A36107" w:rsidRDefault="00A36107" w:rsidP="00A36107">
                                  <w:pPr>
                                    <w:jc w:val="center"/>
                                    <w:rPr>
                                      <w:rFonts w:hAnsi="等线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等线" w:hint="eastAsia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  <w:t>StringBuffer缓冲区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0A2CBF" id="矩形 3" o:spid="_x0000_s1026" style="width:122.4pt;height: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DD2FA24" w14:textId="77777777" w:rsidR="00A36107" w:rsidRDefault="00A36107" w:rsidP="00A36107">
                            <w:pPr>
                              <w:jc w:val="center"/>
                              <w:rPr>
                                <w:rFonts w:hAnsi="等线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StringBuffer缓冲区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A36107">
              <w:rPr>
                <w:rFonts w:ascii="宋体" w:eastAsia="宋体" w:hAnsi="宋体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8986625" wp14:editId="0D46578C">
                      <wp:extent cx="926968" cy="857250"/>
                      <wp:effectExtent l="0" t="0" r="26035" b="19050"/>
                      <wp:docPr id="7" name="矩形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5757C0-D029-4B48-BD11-CC230E8AB36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968" cy="857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D32959" w14:textId="77777777" w:rsidR="00A36107" w:rsidRDefault="00A36107" w:rsidP="00A36107">
                                  <w:pPr>
                                    <w:jc w:val="center"/>
                                    <w:rPr>
                                      <w:rFonts w:hAnsi="等线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等线" w:hint="eastAsia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指定字符串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986625" id="矩形 6" o:spid="_x0000_s1027" style="width:73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" fillcolor="#5b9bd5 [3208]" strokecolor="#1f4d78 [1608]" strokeweight="1pt">
                      <v:textbox>
                        <w:txbxContent>
                          <w:p w14:paraId="01D32959" w14:textId="77777777" w:rsidR="00A36107" w:rsidRDefault="00A36107" w:rsidP="00A36107">
                            <w:pPr>
                              <w:jc w:val="center"/>
                              <w:rPr>
                                <w:rFonts w:hAnsi="等线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等线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指定字符串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BAB403D" w14:textId="694A1CB0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StringBuffer中默认的缓冲区容量为16，当使用有参构造方法StringBuffer</w:t>
      </w:r>
      <w:r>
        <w:rPr>
          <w:rFonts w:ascii="宋体" w:eastAsia="宋体" w:hAnsi="宋体"/>
          <w:sz w:val="28"/>
          <w:szCs w:val="28"/>
        </w:rPr>
        <w:t>(String str)</w:t>
      </w:r>
      <w:r>
        <w:rPr>
          <w:rFonts w:ascii="宋体" w:eastAsia="宋体" w:hAnsi="宋体" w:hint="eastAsia"/>
          <w:sz w:val="28"/>
          <w:szCs w:val="28"/>
        </w:rPr>
        <w:t>时，有一个指定字符串，而StringBuffer初始化时会创建指定字符串内容的字符缓冲区,此时StringBuffer的容量为16+字符串的长度。而StringBuffer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无参构造和StringBuffer</w:t>
      </w:r>
      <w:r>
        <w:rPr>
          <w:rFonts w:ascii="宋体" w:eastAsia="宋体" w:hAnsi="宋体"/>
          <w:sz w:val="28"/>
          <w:szCs w:val="28"/>
        </w:rPr>
        <w:t>(int capacity),</w:t>
      </w:r>
      <w:r>
        <w:rPr>
          <w:rFonts w:ascii="宋体" w:eastAsia="宋体" w:hAnsi="宋体" w:hint="eastAsia"/>
          <w:sz w:val="28"/>
          <w:szCs w:val="28"/>
        </w:rPr>
        <w:t>只会创建字符串缓冲区。</w:t>
      </w:r>
    </w:p>
    <w:p w14:paraId="5B3B6D45" w14:textId="2EFC86CD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28CC35E6" w14:textId="3D3C80B6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55229CE2" w14:textId="2BE970FB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</w:p>
    <w:p w14:paraId="35A00FB9" w14:textId="77777777" w:rsidR="00A36107" w:rsidRDefault="00A36107" w:rsidP="00A36107">
      <w:pPr>
        <w:pStyle w:val="a3"/>
        <w:ind w:left="1260" w:firstLineChars="0" w:firstLine="0"/>
        <w:rPr>
          <w:rFonts w:ascii="宋体" w:eastAsia="宋体" w:hAnsi="宋体" w:hint="eastAsia"/>
          <w:sz w:val="28"/>
          <w:szCs w:val="28"/>
        </w:rPr>
      </w:pPr>
    </w:p>
    <w:p w14:paraId="3795BE30" w14:textId="7E5D918E" w:rsidR="00A36107" w:rsidRDefault="00A36107" w:rsidP="00A361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StringBuffer</w:t>
      </w:r>
      <w:r>
        <w:rPr>
          <w:rFonts w:ascii="宋体" w:eastAsia="宋体" w:hAnsi="宋体" w:hint="eastAsia"/>
          <w:sz w:val="28"/>
          <w:szCs w:val="28"/>
        </w:rPr>
        <w:t>核心方法</w:t>
      </w:r>
    </w:p>
    <w:p w14:paraId="66A5E1E7" w14:textId="3DBB8C0D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·尾部添加：public</w:t>
      </w:r>
      <w:r>
        <w:rPr>
          <w:rFonts w:ascii="宋体" w:eastAsia="宋体" w:hAnsi="宋体"/>
          <w:sz w:val="28"/>
          <w:szCs w:val="28"/>
        </w:rPr>
        <w:t xml:space="preserve"> StringBuffer append();</w:t>
      </w:r>
    </w:p>
    <w:p w14:paraId="5EF8AFAE" w14:textId="345C2E4C" w:rsidR="00A36107" w:rsidRDefault="00A36107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·查看容量：public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int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capacity(</w:t>
      </w:r>
      <w:r>
        <w:rPr>
          <w:rFonts w:ascii="宋体" w:eastAsia="宋体" w:hAnsi="宋体"/>
          <w:sz w:val="28"/>
          <w:szCs w:val="28"/>
        </w:rPr>
        <w:t>);</w:t>
      </w:r>
    </w:p>
    <w:p w14:paraId="4F68F9AB" w14:textId="1DEFE77C" w:rsidR="00AB4D5F" w:rsidRDefault="00AB4D5F" w:rsidP="00A36107">
      <w:pPr>
        <w:pStyle w:val="a3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·反转处理：public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StringBuffer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reverse(</w:t>
      </w:r>
      <w:r>
        <w:rPr>
          <w:rFonts w:ascii="宋体" w:eastAsia="宋体" w:hAnsi="宋体"/>
          <w:sz w:val="28"/>
          <w:szCs w:val="28"/>
        </w:rPr>
        <w:t>);</w:t>
      </w:r>
    </w:p>
    <w:p w14:paraId="1790510C" w14:textId="6C5AD9FC" w:rsidR="00AB4D5F" w:rsidRDefault="00AB4D5F" w:rsidP="00A36107">
      <w:pPr>
        <w:pStyle w:val="a3"/>
        <w:ind w:left="12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·插入操作；public</w:t>
      </w:r>
      <w:r>
        <w:rPr>
          <w:rFonts w:ascii="宋体" w:eastAsia="宋体" w:hAnsi="宋体"/>
          <w:sz w:val="28"/>
          <w:szCs w:val="28"/>
        </w:rPr>
        <w:t xml:space="preserve"> StringBuffer insert();</w:t>
      </w:r>
    </w:p>
    <w:sectPr w:rsidR="00AB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F27"/>
    <w:multiLevelType w:val="multilevel"/>
    <w:tmpl w:val="10F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90E93"/>
    <w:multiLevelType w:val="hybridMultilevel"/>
    <w:tmpl w:val="7514E8F8"/>
    <w:lvl w:ilvl="0" w:tplc="108626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F"/>
    <w:rsid w:val="001069ED"/>
    <w:rsid w:val="003A39FF"/>
    <w:rsid w:val="005D0ED2"/>
    <w:rsid w:val="00A36107"/>
    <w:rsid w:val="00AA7928"/>
    <w:rsid w:val="00A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A735"/>
  <w15:chartTrackingRefBased/>
  <w15:docId w15:val="{100E1783-F4DE-49CB-B3B9-22AAB4DE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28"/>
    <w:pPr>
      <w:ind w:firstLineChars="200" w:firstLine="420"/>
    </w:pPr>
  </w:style>
  <w:style w:type="table" w:styleId="a4">
    <w:name w:val="Table Grid"/>
    <w:basedOn w:val="a1"/>
    <w:uiPriority w:val="39"/>
    <w:rsid w:val="00AA7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36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2021-02-02T03:56:00Z</dcterms:created>
  <dcterms:modified xsi:type="dcterms:W3CDTF">2021-02-02T05:22:00Z</dcterms:modified>
</cp:coreProperties>
</file>