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理化试验委托单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09"/>
        <w:gridCol w:w="3309"/>
        <w:gridCol w:w="3309"/>
        <w:gridCol w:w="3309"/>
      </w:tblGrid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  <w:tr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  <w:tc>
          <w:tcPr>
            <w:tcW w:type="dxa" w:w="3309"/>
          </w:tcPr>
          <w:p/>
        </w:tc>
      </w:tr>
    </w:tbl>
    <w:sectPr w:rsidR="00FC693F" w:rsidRPr="0006063C" w:rsidSect="00034616">
      <w:headerReference w:type="default" r:id="rId9"/>
      <w:pgSz w:w="16838" w:h="11906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UserStyle2"/>
      <w:spacing w:after="0" w:line="240" w:lineRule="auto"/>
      <w:jc w:val="right"/>
    </w:pPr>
    <w:r>
      <w:t>表格Q/CT(QCBS)11.01/1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2">
    <w:name w:val="UserStyle2"/>
    <w:rPr>
      <w:rFonts w:ascii="黑体" w:hAnsi="黑体" w:eastAsia="黑体"/>
      <w:sz w:val="32"/>
    </w:rPr>
  </w:style>
  <w:style w:type="paragraph" w:customStyle="1" w:styleId="UserStyle1">
    <w:name w:val="UserStyle1"/>
    <w:rPr>
      <w:rFonts w:ascii="宋体" w:hAnsi="宋体" w:eastAsia="宋体"/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