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冠盛最终产品交付手册 V4</w:t>
      </w:r>
    </w:p>
    <w:p>
      <w:pPr>
        <w:pStyle w:val="Subtitle"/>
      </w:pPr>
      <w:r>
        <w:t>A2A Interaction Intelligence 产品说明 销售内容与交付核对</w:t>
      </w:r>
    </w:p>
    <w:p>
      <w:r>
        <w:t>本手册供团队接入销售 Agent、核对宣传承诺和准备比赛提交使用。基于当前 main 9dff6be664f216769621a6ff6e72e3372581cc3a，两项服务均为6 credits、底价5，报告保持14项风险标记。Discord 两项信息已确认，其余身份和线上信息按用户要求暂缓；所有官方字段仅由 submission.json 管理。当前不声称完成正式提交。</w:t>
      </w:r>
    </w:p>
    <w:p>
      <w:pPr>
        <w:pStyle w:val="Heading1"/>
      </w:pPr>
      <w:r>
        <w:t>一句话介绍</w:t>
      </w:r>
    </w:p>
    <w:p>
      <w:r>
        <w:t>A2A Interaction Intelligence 提供单任务 A2A Interaction Trace 与 A2A Interaction Risk Report，两项均为6 credits、底价5；目录、健康检查、Schema、示例和报价免费。</w:t>
      </w:r>
    </w:p>
    <w:p>
      <w:r>
        <w:t>A2A Interaction Intelligence provides A2A Interaction Trace and A2A Interaction Risk Report for one task at 6 credits each, floor 5; catalog, health checks, schemas, samples and quotes are free.</w:t>
      </w:r>
    </w:p>
    <w:p>
      <w:pPr>
        <w:pStyle w:val="Heading1"/>
      </w:pPr>
      <w:r>
        <w:t>自动产品介绍</w:t>
      </w:r>
    </w:p>
    <w:p>
      <w:r>
        <w:t>We turn one A2A task into A2A Interaction Intelligence Trace or Risk Reports: 6 credits each, floor 5. Catalog, health, schemas, samples and quotes are free. Agents call the API directly. Self-reports stay self-reports. No global reputation or payment verification.</w:t>
      </w:r>
    </w:p>
    <w:p>
      <w:r>
        <w:t>英文40词，按每分钟150词估算约16秒；实际播放应保持20秒以内。</w:t>
      </w:r>
    </w:p>
    <w:p>
      <w:pPr>
        <w:pStyle w:val="Heading1"/>
      </w:pPr>
      <w:r>
        <w:t>免费与付费边界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1757"/>
        <w:gridCol w:w="2665"/>
        <w:gridCol w:w="3061"/>
      </w:tblGrid>
      <w:tr>
        <w:trPr>
          <w:tblHeader/>
          <w:cantSplit/>
        </w:trPr>
        <w:tc>
          <w:tcPr>
            <w:tcW w:type="dxa" w:w="2154"/>
            <w:tcMar>
              <w:top w:w="80" w:type="dxa"/>
              <w:left w:w="80" w:type="dxa"/>
              <w:bottom w:w="80" w:type="dxa"/>
              <w:right w:w="80" w:type="dxa"/>
            </w:tcMar>
            <w:shd w:fill="243746"/>
          </w:tcPr>
          <w:p>
            <w:pPr>
              <w:pStyle w:val="TableText"/>
              <w:keepNext/>
            </w:pPr>
            <w:r>
              <w:rPr>
                <w:b/>
                <w:color w:val="FFFFFF"/>
              </w:rPr>
              <w:t>项目</w:t>
            </w:r>
          </w:p>
        </w:tc>
        <w:tc>
          <w:tcPr>
            <w:tcW w:type="dxa" w:w="1757"/>
            <w:tcMar>
              <w:top w:w="80" w:type="dxa"/>
              <w:left w:w="80" w:type="dxa"/>
              <w:bottom w:w="80" w:type="dxa"/>
              <w:right w:w="80" w:type="dxa"/>
            </w:tcMar>
            <w:shd w:fill="243746"/>
          </w:tcPr>
          <w:p>
            <w:pPr>
              <w:pStyle w:val="TableText"/>
              <w:keepNext/>
            </w:pPr>
            <w:r>
              <w:rPr>
                <w:b/>
                <w:color w:val="FFFFFF"/>
              </w:rPr>
              <w:t>费用</w:t>
            </w:r>
          </w:p>
        </w:tc>
        <w:tc>
          <w:tcPr>
            <w:tcW w:type="dxa" w:w="2665"/>
            <w:tcMar>
              <w:top w:w="80" w:type="dxa"/>
              <w:left w:w="80" w:type="dxa"/>
              <w:bottom w:w="80" w:type="dxa"/>
              <w:right w:w="80" w:type="dxa"/>
            </w:tcMar>
            <w:shd w:fill="243746"/>
          </w:tcPr>
          <w:p>
            <w:pPr>
              <w:pStyle w:val="TableText"/>
              <w:keepNext/>
            </w:pPr>
            <w:r>
              <w:rPr>
                <w:b/>
                <w:color w:val="FFFFFF"/>
              </w:rPr>
              <w:t>调用</w:t>
            </w:r>
          </w:p>
        </w:tc>
        <w:tc>
          <w:tcPr>
            <w:tcW w:type="dxa" w:w="3061"/>
            <w:tcMar>
              <w:top w:w="80" w:type="dxa"/>
              <w:left w:w="80" w:type="dxa"/>
              <w:bottom w:w="80" w:type="dxa"/>
              <w:right w:w="80" w:type="dxa"/>
            </w:tcMar>
            <w:shd w:fill="243746"/>
          </w:tcPr>
          <w:p>
            <w:pPr>
              <w:pStyle w:val="TableText"/>
              <w:keepNext/>
            </w:pPr>
            <w:r>
              <w:rPr>
                <w:b/>
                <w:color w:val="FFFFFF"/>
              </w:rPr>
              <w:t>说明</w:t>
            </w:r>
          </w:p>
        </w:tc>
      </w:tr>
      <w:tr>
        <w:trPr>
          <w:cantSplit/>
        </w:trPr>
        <w:tc>
          <w:tcPr>
            <w:tcW w:type="dxa" w:w="2154"/>
            <w:tcMar>
              <w:top w:w="80" w:type="dxa"/>
              <w:left w:w="80" w:type="dxa"/>
              <w:bottom w:w="80" w:type="dxa"/>
              <w:right w:w="80" w:type="dxa"/>
            </w:tcMar>
            <w:shd w:fill="FFFFFF"/>
          </w:tcPr>
          <w:p>
            <w:pPr>
              <w:pStyle w:val="TableText"/>
              <w:keepNext/>
            </w:pPr>
            <w:r>
              <w:t>health</w:t>
            </w:r>
          </w:p>
        </w:tc>
        <w:tc>
          <w:tcPr>
            <w:tcW w:type="dxa" w:w="1757"/>
            <w:tcMar>
              <w:top w:w="80" w:type="dxa"/>
              <w:left w:w="80" w:type="dxa"/>
              <w:bottom w:w="80" w:type="dxa"/>
              <w:right w:w="80" w:type="dxa"/>
            </w:tcMar>
            <w:shd w:fill="FFFFFF"/>
          </w:tcPr>
          <w:p>
            <w:pPr>
              <w:pStyle w:val="TableText"/>
              <w:keepNext/>
            </w:pPr>
            <w:r>
              <w:t>0 credits</w:t>
            </w:r>
          </w:p>
        </w:tc>
        <w:tc>
          <w:tcPr>
            <w:tcW w:type="dxa" w:w="2665"/>
            <w:tcMar>
              <w:top w:w="80" w:type="dxa"/>
              <w:left w:w="80" w:type="dxa"/>
              <w:bottom w:w="80" w:type="dxa"/>
              <w:right w:w="80" w:type="dxa"/>
            </w:tcMar>
            <w:shd w:fill="FFFFFF"/>
          </w:tcPr>
          <w:p>
            <w:pPr>
              <w:pStyle w:val="TableText"/>
              <w:keepNext/>
            </w:pPr>
            <w:r>
              <w:t>GET /health</w:t>
            </w:r>
          </w:p>
        </w:tc>
        <w:tc>
          <w:tcPr>
            <w:tcW w:type="dxa" w:w="3061"/>
            <w:tcMar>
              <w:top w:w="80" w:type="dxa"/>
              <w:left w:w="80" w:type="dxa"/>
              <w:bottom w:w="80" w:type="dxa"/>
              <w:right w:w="80" w:type="dxa"/>
            </w:tcMar>
            <w:shd w:fill="FFFFFF"/>
          </w:tcPr>
          <w:p>
            <w:pPr>
              <w:pStyle w:val="TableText"/>
              <w:keepNext/>
            </w:pPr>
            <w:r>
              <w:t>none</w:t>
            </w:r>
          </w:p>
        </w:tc>
      </w:tr>
      <w:tr>
        <w:trPr>
          <w:cantSplit/>
        </w:trPr>
        <w:tc>
          <w:tcPr>
            <w:tcW w:type="dxa" w:w="2154"/>
            <w:tcMar>
              <w:top w:w="80" w:type="dxa"/>
              <w:left w:w="80" w:type="dxa"/>
              <w:bottom w:w="80" w:type="dxa"/>
              <w:right w:w="80" w:type="dxa"/>
            </w:tcMar>
            <w:shd w:fill="F5F6F7"/>
          </w:tcPr>
          <w:p>
            <w:pPr>
              <w:pStyle w:val="TableText"/>
            </w:pPr>
            <w:r>
              <w:t>catalog</w:t>
            </w:r>
          </w:p>
        </w:tc>
        <w:tc>
          <w:tcPr>
            <w:tcW w:type="dxa" w:w="1757"/>
            <w:tcMar>
              <w:top w:w="80" w:type="dxa"/>
              <w:left w:w="80" w:type="dxa"/>
              <w:bottom w:w="80" w:type="dxa"/>
              <w:right w:w="80" w:type="dxa"/>
            </w:tcMar>
            <w:shd w:fill="F5F6F7"/>
          </w:tcPr>
          <w:p>
            <w:pPr>
              <w:pStyle w:val="TableText"/>
            </w:pPr>
            <w:r>
              <w:t>0 credits</w:t>
            </w:r>
          </w:p>
        </w:tc>
        <w:tc>
          <w:tcPr>
            <w:tcW w:type="dxa" w:w="2665"/>
            <w:tcMar>
              <w:top w:w="80" w:type="dxa"/>
              <w:left w:w="80" w:type="dxa"/>
              <w:bottom w:w="80" w:type="dxa"/>
              <w:right w:w="80" w:type="dxa"/>
            </w:tcMar>
            <w:shd w:fill="F5F6F7"/>
          </w:tcPr>
          <w:p>
            <w:pPr>
              <w:pStyle w:val="TableText"/>
            </w:pPr>
            <w:r>
              <w:t>GET /v1/catalog</w:t>
            </w:r>
          </w:p>
        </w:tc>
        <w:tc>
          <w:tcPr>
            <w:tcW w:type="dxa" w:w="3061"/>
            <w:tcMar>
              <w:top w:w="80" w:type="dxa"/>
              <w:left w:w="80" w:type="dxa"/>
              <w:bottom w:w="80" w:type="dxa"/>
              <w:right w:w="80" w:type="dxa"/>
            </w:tcMar>
            <w:shd w:fill="F5F6F7"/>
          </w:tcPr>
          <w:p>
            <w:pPr>
              <w:pStyle w:val="TableText"/>
            </w:pPr>
            <w:r>
              <w:t>none</w:t>
            </w:r>
          </w:p>
        </w:tc>
      </w:tr>
      <w:tr>
        <w:trPr>
          <w:cantSplit/>
        </w:trPr>
        <w:tc>
          <w:tcPr>
            <w:tcW w:type="dxa" w:w="2154"/>
            <w:tcMar>
              <w:top w:w="80" w:type="dxa"/>
              <w:left w:w="80" w:type="dxa"/>
              <w:bottom w:w="80" w:type="dxa"/>
              <w:right w:w="80" w:type="dxa"/>
            </w:tcMar>
            <w:shd w:fill="FFFFFF"/>
          </w:tcPr>
          <w:p>
            <w:pPr>
              <w:pStyle w:val="TableText"/>
            </w:pPr>
            <w:r>
              <w:t>product_catalog</w:t>
            </w:r>
          </w:p>
        </w:tc>
        <w:tc>
          <w:tcPr>
            <w:tcW w:type="dxa" w:w="1757"/>
            <w:tcMar>
              <w:top w:w="80" w:type="dxa"/>
              <w:left w:w="80" w:type="dxa"/>
              <w:bottom w:w="80" w:type="dxa"/>
              <w:right w:w="80" w:type="dxa"/>
            </w:tcMar>
            <w:shd w:fill="FFFFFF"/>
          </w:tcPr>
          <w:p>
            <w:pPr>
              <w:pStyle w:val="TableText"/>
            </w:pPr>
            <w:r>
              <w:t>0 credits</w:t>
            </w:r>
          </w:p>
        </w:tc>
        <w:tc>
          <w:tcPr>
            <w:tcW w:type="dxa" w:w="2665"/>
            <w:tcMar>
              <w:top w:w="80" w:type="dxa"/>
              <w:left w:w="80" w:type="dxa"/>
              <w:bottom w:w="80" w:type="dxa"/>
              <w:right w:w="80" w:type="dxa"/>
            </w:tcMar>
            <w:shd w:fill="FFFFFF"/>
          </w:tcPr>
          <w:p>
            <w:pPr>
              <w:pStyle w:val="TableText"/>
            </w:pPr>
            <w:r>
              <w:t>GET /product/catalog.json</w:t>
            </w:r>
          </w:p>
        </w:tc>
        <w:tc>
          <w:tcPr>
            <w:tcW w:type="dxa" w:w="3061"/>
            <w:tcMar>
              <w:top w:w="80" w:type="dxa"/>
              <w:left w:w="80" w:type="dxa"/>
              <w:bottom w:w="80" w:type="dxa"/>
              <w:right w:w="80" w:type="dxa"/>
            </w:tcMar>
            <w:shd w:fill="FFFFFF"/>
          </w:tcPr>
          <w:p>
            <w:pPr>
              <w:pStyle w:val="TableText"/>
            </w:pPr>
            <w:r>
              <w:t>none</w:t>
            </w:r>
          </w:p>
        </w:tc>
      </w:tr>
      <w:tr>
        <w:trPr>
          <w:cantSplit/>
        </w:trPr>
        <w:tc>
          <w:tcPr>
            <w:tcW w:type="dxa" w:w="2154"/>
            <w:tcMar>
              <w:top w:w="80" w:type="dxa"/>
              <w:left w:w="80" w:type="dxa"/>
              <w:bottom w:w="80" w:type="dxa"/>
              <w:right w:w="80" w:type="dxa"/>
            </w:tcMar>
            <w:shd w:fill="F5F6F7"/>
          </w:tcPr>
          <w:p>
            <w:pPr>
              <w:pStyle w:val="TableText"/>
            </w:pPr>
            <w:r>
              <w:t>schema</w:t>
            </w:r>
          </w:p>
        </w:tc>
        <w:tc>
          <w:tcPr>
            <w:tcW w:type="dxa" w:w="1757"/>
            <w:tcMar>
              <w:top w:w="80" w:type="dxa"/>
              <w:left w:w="80" w:type="dxa"/>
              <w:bottom w:w="80" w:type="dxa"/>
              <w:right w:w="80" w:type="dxa"/>
            </w:tcMar>
            <w:shd w:fill="F5F6F7"/>
          </w:tcPr>
          <w:p>
            <w:pPr>
              <w:pStyle w:val="TableText"/>
            </w:pPr>
            <w:r>
              <w:t>0 credits</w:t>
            </w:r>
          </w:p>
        </w:tc>
        <w:tc>
          <w:tcPr>
            <w:tcW w:type="dxa" w:w="2665"/>
            <w:tcMar>
              <w:top w:w="80" w:type="dxa"/>
              <w:left w:w="80" w:type="dxa"/>
              <w:bottom w:w="80" w:type="dxa"/>
              <w:right w:w="80" w:type="dxa"/>
            </w:tcMar>
            <w:shd w:fill="F5F6F7"/>
          </w:tcPr>
          <w:p>
            <w:pPr>
              <w:pStyle w:val="TableText"/>
            </w:pPr>
            <w:r>
              <w:t>GET /v1/contracts/interaction-v1</w:t>
            </w:r>
          </w:p>
        </w:tc>
        <w:tc>
          <w:tcPr>
            <w:tcW w:type="dxa" w:w="3061"/>
            <w:tcMar>
              <w:top w:w="80" w:type="dxa"/>
              <w:left w:w="80" w:type="dxa"/>
              <w:bottom w:w="80" w:type="dxa"/>
              <w:right w:w="80" w:type="dxa"/>
            </w:tcMar>
            <w:shd w:fill="F5F6F7"/>
          </w:tcPr>
          <w:p>
            <w:pPr>
              <w:pStyle w:val="TableText"/>
            </w:pPr>
            <w:r>
              <w:t>none</w:t>
            </w:r>
          </w:p>
        </w:tc>
      </w:tr>
      <w:tr>
        <w:trPr>
          <w:cantSplit/>
        </w:trPr>
        <w:tc>
          <w:tcPr>
            <w:tcW w:type="dxa" w:w="2154"/>
            <w:tcMar>
              <w:top w:w="80" w:type="dxa"/>
              <w:left w:w="80" w:type="dxa"/>
              <w:bottom w:w="80" w:type="dxa"/>
              <w:right w:w="80" w:type="dxa"/>
            </w:tcMar>
            <w:shd w:fill="FFFFFF"/>
          </w:tcPr>
          <w:p>
            <w:pPr>
              <w:pStyle w:val="TableText"/>
            </w:pPr>
            <w:r>
              <w:t>samples</w:t>
            </w:r>
          </w:p>
        </w:tc>
        <w:tc>
          <w:tcPr>
            <w:tcW w:type="dxa" w:w="1757"/>
            <w:tcMar>
              <w:top w:w="80" w:type="dxa"/>
              <w:left w:w="80" w:type="dxa"/>
              <w:bottom w:w="80" w:type="dxa"/>
              <w:right w:w="80" w:type="dxa"/>
            </w:tcMar>
            <w:shd w:fill="FFFFFF"/>
          </w:tcPr>
          <w:p>
            <w:pPr>
              <w:pStyle w:val="TableText"/>
            </w:pPr>
            <w:r>
              <w:t>0 credits</w:t>
            </w:r>
          </w:p>
        </w:tc>
        <w:tc>
          <w:tcPr>
            <w:tcW w:type="dxa" w:w="2665"/>
            <w:tcMar>
              <w:top w:w="80" w:type="dxa"/>
              <w:left w:w="80" w:type="dxa"/>
              <w:bottom w:w="80" w:type="dxa"/>
              <w:right w:w="80" w:type="dxa"/>
            </w:tcMar>
            <w:shd w:fill="FFFFFF"/>
          </w:tcPr>
          <w:p>
            <w:pPr>
              <w:pStyle w:val="TableText"/>
            </w:pPr>
            <w:r>
              <w:t>GET /dashboard/success.json, /dashboard/failure.json, /dashboard/conflict.json</w:t>
            </w:r>
          </w:p>
        </w:tc>
        <w:tc>
          <w:tcPr>
            <w:tcW w:type="dxa" w:w="3061"/>
            <w:tcMar>
              <w:top w:w="80" w:type="dxa"/>
              <w:left w:w="80" w:type="dxa"/>
              <w:bottom w:w="80" w:type="dxa"/>
              <w:right w:w="80" w:type="dxa"/>
            </w:tcMar>
            <w:shd w:fill="FFFFFF"/>
          </w:tcPr>
          <w:p>
            <w:pPr>
              <w:pStyle w:val="TableText"/>
            </w:pPr>
            <w:r>
              <w:t>Example event inputs only; generating a report from them uses the paid order flow.</w:t>
            </w:r>
          </w:p>
        </w:tc>
      </w:tr>
      <w:tr>
        <w:trPr>
          <w:cantSplit/>
        </w:trPr>
        <w:tc>
          <w:tcPr>
            <w:tcW w:type="dxa" w:w="2154"/>
            <w:tcMar>
              <w:top w:w="80" w:type="dxa"/>
              <w:left w:w="80" w:type="dxa"/>
              <w:bottom w:w="80" w:type="dxa"/>
              <w:right w:w="80" w:type="dxa"/>
            </w:tcMar>
            <w:shd w:fill="F5F6F7"/>
          </w:tcPr>
          <w:p>
            <w:pPr>
              <w:pStyle w:val="TableText"/>
            </w:pPr>
            <w:r>
              <w:t>quote</w:t>
            </w:r>
          </w:p>
        </w:tc>
        <w:tc>
          <w:tcPr>
            <w:tcW w:type="dxa" w:w="1757"/>
            <w:tcMar>
              <w:top w:w="80" w:type="dxa"/>
              <w:left w:w="80" w:type="dxa"/>
              <w:bottom w:w="80" w:type="dxa"/>
              <w:right w:w="80" w:type="dxa"/>
            </w:tcMar>
            <w:shd w:fill="F5F6F7"/>
          </w:tcPr>
          <w:p>
            <w:pPr>
              <w:pStyle w:val="TableText"/>
            </w:pPr>
            <w:r>
              <w:t>0 credits</w:t>
            </w:r>
          </w:p>
        </w:tc>
        <w:tc>
          <w:tcPr>
            <w:tcW w:type="dxa" w:w="2665"/>
            <w:tcMar>
              <w:top w:w="80" w:type="dxa"/>
              <w:left w:w="80" w:type="dxa"/>
              <w:bottom w:w="80" w:type="dxa"/>
              <w:right w:w="80" w:type="dxa"/>
            </w:tcMar>
            <w:shd w:fill="F5F6F7"/>
          </w:tcPr>
          <w:p>
            <w:pPr>
              <w:pStyle w:val="TableText"/>
            </w:pPr>
            <w:r>
              <w:t>POST /v1/quotes</w:t>
            </w:r>
          </w:p>
        </w:tc>
        <w:tc>
          <w:tcPr>
            <w:tcW w:type="dxa" w:w="3061"/>
            <w:tcMar>
              <w:top w:w="80" w:type="dxa"/>
              <w:left w:w="80" w:type="dxa"/>
              <w:bottom w:w="80" w:type="dxa"/>
              <w:right w:w="80" w:type="dxa"/>
            </w:tcMar>
            <w:shd w:fill="F5F6F7"/>
          </w:tcPr>
          <w:p>
            <w:pPr>
              <w:pStyle w:val="TableText"/>
            </w:pPr>
            <w:r>
              <w:t>Returns an offered report price; quotation does not itself buy a report.</w:t>
            </w:r>
          </w:p>
        </w:tc>
      </w:tr>
      <w:tr>
        <w:trPr>
          <w:cantSplit/>
        </w:trPr>
        <w:tc>
          <w:tcPr>
            <w:tcW w:type="dxa" w:w="2154"/>
            <w:tcMar>
              <w:top w:w="80" w:type="dxa"/>
              <w:left w:w="80" w:type="dxa"/>
              <w:bottom w:w="80" w:type="dxa"/>
              <w:right w:w="80" w:type="dxa"/>
            </w:tcMar>
            <w:shd w:fill="FFFFFF"/>
          </w:tcPr>
          <w:p>
            <w:pPr>
              <w:pStyle w:val="TableText"/>
            </w:pPr>
            <w:r>
              <w:t>Trace Report</w:t>
            </w:r>
          </w:p>
        </w:tc>
        <w:tc>
          <w:tcPr>
            <w:tcW w:type="dxa" w:w="1757"/>
            <w:tcMar>
              <w:top w:w="80" w:type="dxa"/>
              <w:left w:w="80" w:type="dxa"/>
              <w:bottom w:w="80" w:type="dxa"/>
              <w:right w:w="80" w:type="dxa"/>
            </w:tcMar>
            <w:shd w:fill="FFFFFF"/>
          </w:tcPr>
          <w:p>
            <w:pPr>
              <w:pStyle w:val="TableText"/>
            </w:pPr>
            <w:r>
              <w:t>6 credits 底价5</w:t>
            </w:r>
          </w:p>
        </w:tc>
        <w:tc>
          <w:tcPr>
            <w:tcW w:type="dxa" w:w="2665"/>
            <w:tcMar>
              <w:top w:w="80" w:type="dxa"/>
              <w:left w:w="80" w:type="dxa"/>
              <w:bottom w:w="80" w:type="dxa"/>
              <w:right w:w="80" w:type="dxa"/>
            </w:tcMar>
            <w:shd w:fill="FFFFFF"/>
          </w:tcPr>
          <w:p>
            <w:pPr>
              <w:pStyle w:val="TableText"/>
            </w:pPr>
            <w:r>
              <w:t>POST /v1/orders 然后 deliver</w:t>
            </w:r>
          </w:p>
        </w:tc>
        <w:tc>
          <w:tcPr>
            <w:tcW w:type="dxa" w:w="3061"/>
            <w:tcMar>
              <w:top w:w="80" w:type="dxa"/>
              <w:left w:w="80" w:type="dxa"/>
              <w:bottom w:w="80" w:type="dxa"/>
              <w:right w:w="80" w:type="dxa"/>
            </w:tcMar>
            <w:shd w:fill="FFFFFF"/>
          </w:tcPr>
          <w:p>
            <w:pPr>
              <w:pStyle w:val="TableText"/>
            </w:pPr>
            <w:r>
              <w:t>实际金额以报价为准</w:t>
            </w:r>
          </w:p>
        </w:tc>
      </w:tr>
      <w:tr>
        <w:trPr>
          <w:cantSplit/>
        </w:trPr>
        <w:tc>
          <w:tcPr>
            <w:tcW w:type="dxa" w:w="2154"/>
            <w:tcMar>
              <w:top w:w="80" w:type="dxa"/>
              <w:left w:w="80" w:type="dxa"/>
              <w:bottom w:w="80" w:type="dxa"/>
              <w:right w:w="80" w:type="dxa"/>
            </w:tcMar>
            <w:shd w:fill="F5F6F7"/>
          </w:tcPr>
          <w:p>
            <w:pPr>
              <w:pStyle w:val="TableText"/>
            </w:pPr>
            <w:r>
              <w:t>Risk Report</w:t>
            </w:r>
          </w:p>
        </w:tc>
        <w:tc>
          <w:tcPr>
            <w:tcW w:type="dxa" w:w="1757"/>
            <w:tcMar>
              <w:top w:w="80" w:type="dxa"/>
              <w:left w:w="80" w:type="dxa"/>
              <w:bottom w:w="80" w:type="dxa"/>
              <w:right w:w="80" w:type="dxa"/>
            </w:tcMar>
            <w:shd w:fill="F5F6F7"/>
          </w:tcPr>
          <w:p>
            <w:pPr>
              <w:pStyle w:val="TableText"/>
            </w:pPr>
            <w:r>
              <w:t>6 credits 底价5</w:t>
            </w:r>
          </w:p>
        </w:tc>
        <w:tc>
          <w:tcPr>
            <w:tcW w:type="dxa" w:w="2665"/>
            <w:tcMar>
              <w:top w:w="80" w:type="dxa"/>
              <w:left w:w="80" w:type="dxa"/>
              <w:bottom w:w="80" w:type="dxa"/>
              <w:right w:w="80" w:type="dxa"/>
            </w:tcMar>
            <w:shd w:fill="F5F6F7"/>
          </w:tcPr>
          <w:p>
            <w:pPr>
              <w:pStyle w:val="TableText"/>
            </w:pPr>
            <w:r>
              <w:t>同上</w:t>
            </w:r>
          </w:p>
        </w:tc>
        <w:tc>
          <w:tcPr>
            <w:tcW w:type="dxa" w:w="3061"/>
            <w:tcMar>
              <w:top w:w="80" w:type="dxa"/>
              <w:left w:w="80" w:type="dxa"/>
              <w:bottom w:w="80" w:type="dxa"/>
              <w:right w:w="80" w:type="dxa"/>
            </w:tcMar>
            <w:shd w:fill="F5F6F7"/>
          </w:tcPr>
          <w:p>
            <w:pPr>
              <w:pStyle w:val="TableText"/>
            </w:pPr>
            <w:r>
              <w:t>相同指标 加双语解释</w:t>
            </w:r>
          </w:p>
        </w:tc>
      </w:tr>
    </w:tbl>
    <w:p>
      <w:pPr>
        <w:spacing w:after="0"/>
      </w:pPr>
    </w:p>
    <w:p>
      <w:r>
        <w:t>报价是免费商业准备，不代表购买；示例免费是获取事件输入，不是免费运行报告。本地服务订单只记录声明金额，不证明Arena credits到账。</w:t>
      </w:r>
    </w:p>
    <w:p>
      <w:pPr>
        <w:pStyle w:val="Heading1"/>
      </w:pPr>
      <w:r>
        <w:t>产品介绍与销售 Pitch</w:t>
      </w:r>
    </w:p>
    <w:p>
      <w:r>
        <w:t>A2A Interaction Intelligence provides A2A Interaction Trace and A2A Interaction Risk Report for one task at 6 credits each, floor 5; catalog, health checks, schemas, samples and quotes are free.</w:t>
      </w:r>
    </w:p>
    <w:p>
      <w:pPr>
        <w:pStyle w:val="Heading2"/>
      </w:pPr>
      <w:r>
        <w:t>20 秒自动介绍</w:t>
      </w:r>
    </w:p>
    <w:p>
      <w:r>
        <w:t>We turn one A2A task into A2A Interaction Intelligence Trace or Risk Reports: 6 credits each, floor 5. Catalog, health, schemas, samples and quotes are free. Agents call the API directly. Self-reports stay self-reports. No global reputation or payment verification.</w:t>
      </w:r>
    </w:p>
    <w:p>
      <w:r>
        <w:t>A2A Interaction Intelligence 分析单次 Agent 任务，提供 Trace 和 Risk 报告，每项6 credits、底价5；目录、健康检查、Schema、示例和报价免费。Agent 直接调用 API，自报仍是自报，不代表全局信誉或付款验证。</w:t>
      </w:r>
    </w:p>
    <w:p>
      <w:pPr>
        <w:pStyle w:val="Heading2"/>
      </w:pPr>
      <w:r>
        <w:t>1 二十秒以内的自动介绍</w:t>
      </w:r>
    </w:p>
    <w:p>
      <w:r>
        <w:t>We turn one A2A task into A2A Interaction Intelligence Trace or Risk Reports: 6 credits each, floor 5. Catalog, health, schemas, samples and quotes are free. Agents call the API directly. Self-reports stay self-reports. No global reputation or payment verification.</w:t>
      </w:r>
    </w:p>
    <w:p>
      <w:pPr>
        <w:pStyle w:val="Heading2"/>
      </w:pPr>
      <w:r>
        <w:t>2 买家希望降低下一次采购风险</w:t>
      </w:r>
    </w:p>
    <w:p>
      <w:r>
        <w:t>触发：买家提到下单前检查、失败经历、对卖方能力缺少证据。目标是出售可解释的一笔任务分析，不承诺预测准确率。</w:t>
      </w:r>
    </w:p>
    <w:p>
      <w:r>
        <w:t>Before your next purchase, inspect what the events from an earlier task actually support. Trace gives you delivery and completion indicators, reported latency, confidence, and risk flags in one response. It can guide follow-up questions; it does not guarantee the next seller will succeed. Start with the trace and request a quote.</w:t>
      </w:r>
    </w:p>
    <w:p>
      <w:r>
        <w:t>Catalog, health checks, schemas, sample inputs and quotes are free. Both reports: 6 credits, floor 5. Quote authentication may apply.</w:t>
      </w:r>
    </w:p>
    <w:p>
      <w:pPr>
        <w:pStyle w:val="Heading2"/>
      </w:pPr>
      <w:r>
        <w:t>3 卖家希望解释自己的交付记录</w:t>
      </w:r>
    </w:p>
    <w:p>
      <w:r>
        <w:t>触发：卖家希望把任务执行过程交给买家核对。不能把服务包装成购买第三方背书。</w:t>
      </w:r>
    </w:p>
    <w:p>
      <w:r>
        <w:t>Give your buyer a consistent, machine-readable account of the task events you submit. The report keeps evidence references and source limits visible. Paying for a report cannot change its score or turn your claim into platform verification. Use it to explain the record, not to purchase an endorsement.</w:t>
      </w:r>
    </w:p>
    <w:p>
      <w:r>
        <w:t>Catalog, health checks, schemas, sample inputs and quotes are free. Both reports: 6 credits, floor 5. Quote authentication may apply.</w:t>
      </w:r>
    </w:p>
    <w:p>
      <w:pPr>
        <w:pStyle w:val="Heading2"/>
      </w:pPr>
      <w:r>
        <w:t>4 开发型 Agent 希望排查调用失败</w:t>
      </w:r>
    </w:p>
    <w:p>
      <w:r>
        <w:t>触发：出现任务中断、没有交付物、阶段不清晰或 schema 问题。</w:t>
      </w:r>
    </w:p>
    <w:p>
      <w:r>
        <w:t>Send the events for one failed or incomplete task. We show whether an artifact and terminal state were reported, whether stages are ordered, and which risk flags follow from those events. You get a compact diagnostic record without uploading the original prompt or artifact.</w:t>
      </w:r>
    </w:p>
    <w:p>
      <w:r>
        <w:t>Catalog, health checks, schemas, sample inputs and quotes are free. Both reports: 6 credits, floor 5. Quote authentication may apply.</w:t>
      </w:r>
    </w:p>
    <w:p>
      <w:pPr>
        <w:pStyle w:val="Heading2"/>
      </w:pPr>
      <w:r>
        <w:t>5 预算敏感的买家</w:t>
      </w:r>
    </w:p>
    <w:p>
      <w:r>
        <w:t>触发：预算有限、想先试一次或对 Risk 的增量价值存疑。</w:t>
      </w:r>
    </w:p>
    <w:p>
      <w:r>
        <w:t>Start with A2A Interaction Trace. The current Risk Report adds bilingual per-flag explanations to the same metrics; if you already understand those limits, you may not need it. Both services normally cost 6 credits. A budget of 5 can receive a 5-credit quote. Request a quote before ordering.</w:t>
      </w:r>
    </w:p>
    <w:p>
      <w:r>
        <w:t>Catalog, health checks, schemas, sample inputs and quotes are free. Both reports: 6 credits, floor 5. Quote authentication may apply.</w:t>
      </w:r>
    </w:p>
    <w:p>
      <w:pPr>
        <w:pStyle w:val="Heading2"/>
      </w:pPr>
      <w:r>
        <w:t>6 隐私敏感的买家</w:t>
      </w:r>
    </w:p>
    <w:p>
      <w:r>
        <w:t>触发：担心 prompt、交付内容或业务秘密被保存。</w:t>
      </w:r>
    </w:p>
    <w:p>
      <w:r>
        <w:t>Keep your prompt and full artifact with you. Send only task metadata, evidence references, and optional hashes. Use opaque IDs, and confirm the operator’s retention policy if the metadata is sensitive. The report will still state the limits of self-reported evidence.</w:t>
      </w:r>
    </w:p>
    <w:p>
      <w:r>
        <w:t>Catalog, health checks, schemas, sample inputs and quotes are free. Both reports: 6 credits, floor 5. Quote authentication may apply.</w:t>
      </w:r>
    </w:p>
    <w:p>
      <w:pPr>
        <w:pStyle w:val="Heading2"/>
      </w:pPr>
      <w:r>
        <w:t>7 证据要求高的买家</w:t>
      </w:r>
    </w:p>
    <w:p>
      <w:r>
        <w:t>触发：要求平台签名、独立观察或可用于信誉评分的证据。</w:t>
      </w:r>
    </w:p>
    <w:p>
      <w:r>
        <w:t>The public submission path currently treats your events as self-reported. It cannot satisfy a requirement for independently authenticated platform evidence. If that requirement is essential, do not buy on the assumption that a provenance label will upgrade your evidence. A trusted ingestion path must be confirmed first.</w:t>
      </w:r>
    </w:p>
    <w:p>
      <w:r>
        <w:t>Catalog, health checks, schemas, sample inputs and quotes are free. Both reports: 6 credits, floor 5. Quote authentication may apply.</w:t>
      </w:r>
    </w:p>
    <w:p>
      <w:pPr>
        <w:pStyle w:val="Heading1"/>
      </w:pPr>
      <w:r>
        <w:t>Agent 自动问答与答辩</w:t>
      </w:r>
    </w:p>
    <w:p>
      <w:pPr>
        <w:pStyle w:val="Heading2"/>
      </w:pPr>
      <w:r>
        <w:t>价格询问</w:t>
      </w:r>
    </w:p>
    <w:p>
      <w:r>
        <w:t>目录、健康检查、Schema、示例输入和报价免费；两项报告均为6 credits、底价5。</w:t>
      </w:r>
    </w:p>
    <w:p>
      <w:r>
        <w:t>Catalog, health checks, schemas, sample inputs and quotes are free. Trace and Risk reports normally cost 6 credits each, with a floor of 5. A budget of 5 receives a quote of 5; below 5, no report quote is available. Use the effective quote or accepted final_price. A local order does not prove credits were received.</w:t>
      </w:r>
    </w:p>
    <w:p>
      <w:pPr>
        <w:pStyle w:val="Heading2"/>
      </w:pPr>
      <w:r>
        <w:t>数据隐私</w:t>
      </w:r>
    </w:p>
    <w:p>
      <w:r>
        <w:t>只提交元数据、引用和可选哈希；不要提交正文或凭据。</w:t>
      </w:r>
    </w:p>
    <w:p>
      <w:r>
        <w:t>Send task metadata, evidence references and optional hashes, not raw prompts, private messages, credentials or full artifacts. Unknown event fields are discarded by the normal input model. This is not a promise of zero infrastructure logs; retention and gateway logging require operator confirmation.</w:t>
      </w:r>
    </w:p>
    <w:p>
      <w:pPr>
        <w:pStyle w:val="Heading2"/>
      </w:pPr>
      <w:r>
        <w:t>冷启动</w:t>
      </w:r>
    </w:p>
    <w:p>
      <w:r>
        <w:t>无需交易历史；单条事件可用，但不代表证据充分。</w:t>
      </w:r>
    </w:p>
    <w:p>
      <w:r>
        <w:t>You can inspect one task without trading history. The input accepts 1 to 200 events for one task and subject. Missing stages remain visible. One report does not establish general trustworthiness, and we do not invent events to improve the score.</w:t>
      </w:r>
    </w:p>
    <w:p>
      <w:pPr>
        <w:pStyle w:val="Heading2"/>
      </w:pPr>
      <w:r>
        <w:t>证据来源</w:t>
      </w:r>
    </w:p>
    <w:p>
      <w:r>
        <w:t>公共输入固定自报；不能通过字段或付费升级证据。</w:t>
      </w:r>
    </w:p>
    <w:p>
      <w:r>
        <w:t>Publicly submitted events remain self-reported, with evidence weight 0.15. A supplied platform or observed label is not platform verification. Trusted provenance requires a confirmed ingestion boundary. Execution score and evidence weight answer different questions.</w:t>
      </w:r>
    </w:p>
    <w:p>
      <w:pPr>
        <w:pStyle w:val="Heading2"/>
      </w:pPr>
      <w:r>
        <w:t>刷分问题</w:t>
      </w:r>
    </w:p>
    <w:p>
      <w:r>
        <w:t>虚构事件仍可能影响执行分；不宣称完整反刷分。</w:t>
      </w:r>
    </w:p>
    <w:p>
      <w:r>
        <w:t>Fabricated self-reports can distort an execution score. Public self-reported events are not reputation-eligible. Paying, ranking or repeating events cannot buy stronger provenance; we do not claim complete fraud detection or event deduplication. Conflicting completion and failure states are explicitly flagged and fail the completion and reputation gates.</w:t>
      </w:r>
    </w:p>
    <w:p>
      <w:pPr>
        <w:pStyle w:val="Heading2"/>
      </w:pPr>
      <w:r>
        <w:t>为什么需要这个产品</w:t>
      </w:r>
    </w:p>
    <w:p>
      <w:r>
        <w:t>让调用方使用统一字段复盘与补证；不声称独占事实。</w:t>
      </w:r>
    </w:p>
    <w:p>
      <w:r>
        <w:t>We standardize one task into completion, delivery, ordering, latency, schema, evidence-confidence and risk fields. Another agent can inspect the JSON without rereading a conversation or a webpage. Buy it when that format and explanation save work. We do not independently know facts that you only self-report, and you may analyze your own events instead.</w:t>
      </w:r>
    </w:p>
    <w:p>
      <w:pPr>
        <w:pStyle w:val="Heading2"/>
      </w:pPr>
      <w:r>
        <w:t>为什么两项服务同价</w:t>
      </w:r>
    </w:p>
    <w:p>
      <w:r>
        <w:t>同一计算与证据；Risk附中英文解释，不升级来源。</w:t>
      </w:r>
    </w:p>
    <w:p>
      <w:r>
        <w:t>Both services cost 6 credits, with a floor of 5, because they share the same metrics and evidence. Risk adds scope statements and bilingual interpretation.flags. Choose it when downstream explanation helps; otherwise choose Trace. We do not recommend purchasing both for the same task merely to repeat the metrics.</w:t>
      </w:r>
    </w:p>
    <w:p>
      <w:pPr>
        <w:pStyle w:val="Heading2"/>
      </w:pPr>
      <w:r>
        <w:t>服务失败或没有 Artifact</w:t>
      </w:r>
    </w:p>
    <w:p>
      <w:r>
        <w:t>区分 API 错误、报告交付与被分析任务状态；不承诺自动退款。</w:t>
      </w:r>
    </w:p>
    <w:p>
      <w:r>
        <w:t>A delivered report can describe a failed task. Missing artifact_delivered yields output.delivered=false and artifact_not_delivered; absence of a record is not proof of non-delivery. If the API fails or times out, no successful report should be claimed. Reconcile the order with its trade ID; do not blindly repeat an unknown order outcome. Refunds or credits received require official settlement evidence.</w:t>
      </w:r>
    </w:p>
    <w:p>
      <w:pPr>
        <w:pStyle w:val="Heading2"/>
      </w:pPr>
      <w:r>
        <w:t>终态冲突</w:t>
      </w:r>
    </w:p>
    <w:p>
      <w:r>
        <w:t>同时完成与失败时 completed 和 reputation_eligible 均为false。</w:t>
      </w:r>
    </w:p>
    <w:p>
      <w:r>
        <w:t>Both task_completed and task_failed trigger conflicting_terminal_task_state. completed and reputation_eligible are false, so the score excludes the 40-point completion contribution. The flag adds no separate penalty. The fixed five-second example scores 57.5; report delivery may still succeed.</w:t>
      </w:r>
    </w:p>
    <w:p>
      <w:pPr>
        <w:pStyle w:val="Heading2"/>
      </w:pPr>
      <w:r>
        <w:t>免费为什么还要凭据</w:t>
      </w:r>
    </w:p>
    <w:p>
      <w:r>
        <w:t>免费不等于公开；报价无需付费，但部署可以要求认证。</w:t>
      </w:r>
    </w:p>
    <w:p>
      <w:r>
        <w:t>Free does not mean unauthenticated. GET discovery and schemas are public in the current local API. POST /v1/quotes requires Bearer credentials when configured, but creates no service order. Samples are free input examples; generating a report from those inputs follows the paid order flow.</w:t>
      </w:r>
    </w:p>
    <w:p>
      <w:pPr>
        <w:pStyle w:val="Heading2"/>
      </w:pPr>
      <w:r>
        <w:t>本地订单是否代表到账</w:t>
      </w:r>
    </w:p>
    <w:p>
      <w:r>
        <w:t>credit_settlement 仍为 not_evaluated。</w:t>
      </w:r>
    </w:p>
    <w:p>
      <w:r>
        <w:t>No. credit_settlement remains not_evaluated. Local accepted and delivered states describe the service workflow, not received Arena credits. Only independently confirmed official settlement evidence can support a payment claim.</w:t>
      </w:r>
    </w:p>
    <w:p>
      <w:pPr>
        <w:pStyle w:val="Heading1"/>
      </w:pPr>
      <w:r>
        <w:t>销售规则</w:t>
      </w:r>
    </w:p>
    <w:p>
      <w:r>
        <w:t>免费：目录、健康检查、Schema、示例输入和报价。收费：Trace Report 与 Risk Report，两项常规与首购均为6 credits、底价5。免费报价在配置认证时仍需要凭据，不创建订单。</w:t>
      </w:r>
    </w:p>
    <w:p>
      <w:r>
        <w:t>预算5可获得5 credits报价；低于5拒绝报告报价。下单金额必须来自有效ask_price或已接受final_price。首次低于底价反报价5，第二次关闭议价；反报价不等于成交。</w:t>
      </w:r>
    </w:p>
    <w:p>
      <w:r>
        <w:t>不提供套餐、预付会员、付费证据升级或付费改分。不要主动让买家为同一任务的相同指标重复付费。无Artifact不等于报告服务失败，API超时也不能被包装成成功。</w:t>
      </w:r>
    </w:p>
    <w:p>
      <w:r>
        <w:t>本地订单不能证明credits到账。所有生产标识和官方提交状态以实际回执为准。</w:t>
      </w:r>
    </w:p>
    <w:p>
      <w:r>
        <w:t>机器规则见sales.json；按买家意图读取faq.json，不补造报价、报告或授权。</w:t>
      </w:r>
    </w:p>
    <w:p>
      <w:pPr>
        <w:pStyle w:val="Heading1"/>
      </w:pPr>
      <w:r>
        <w:t>销售内容接入</w:t>
      </w:r>
    </w:p>
    <w:p>
      <w:r>
        <w:t>Brain 的 SalesPolicy 从 resources/sales_v1.json 自动读取介绍与答复。本次增加免费询价、冷启动、刷分、同价原因与无 Artifact 的意图匹配，不改报告评分、价格算法或订单逻辑。完整多买家 Pitch 保存在 pitch.json；当前确定性路由不声称自动使用所有 Pitch 模板。</w:t>
      </w:r>
    </w:p>
    <w:p>
      <w:r>
        <w:t>测试覆盖八类需求，子洋可直接使用 ArenaRunner.product_introduction 与 answer_buyer。目录描述来自 resources/product_catalog_v1.json，运行时价格由定价策略给出。雅婷部署时需要 run_dashboard.py 的同源静态挂载，才能提供 /product 和 /dashboard；这些路径不是原 api.app 自带的部署承诺。</w:t>
      </w:r>
    </w:p>
    <w:p>
      <w:pPr>
        <w:pStyle w:val="Heading1"/>
      </w:pPr>
      <w:r>
        <w:t>A2A Interaction Intelligence submission 文案</w:t>
      </w:r>
    </w:p>
    <w:p>
      <w:r>
        <w:t>本稿是产品内容定稿。Discord 用户名与提交频道已由用户确认并写入 submission.json；其余官方身份与线上信息尚未交付，按用户要求暂缓正式提交。全部待填信息仅保存在同目录 submission.json；本文件不复制待填表格，也不用演练身份替代。</w:t>
      </w:r>
    </w:p>
    <w:p>
      <w:pPr>
        <w:pStyle w:val="Heading2"/>
      </w:pPr>
      <w:r>
        <w:t>产品介绍</w:t>
      </w:r>
    </w:p>
    <w:p>
      <w:r>
        <w:t>A2A Interaction Intelligence provides A2A Interaction Trace and A2A Interaction Risk Report for one task at 6 credits each, floor 5; catalog, health checks, schemas, samples and quotes are free.</w:t>
      </w:r>
    </w:p>
    <w:p>
      <w:r>
        <w:t>We analyze one A2A task from structured events. Trace returns execution metrics, evidence provenance and risk flags. Risk adds bilingual interpretation.flags so another Agent can interpret each diagnostic. Both reports cost 6 credits each, with a floor of 5. Catalog, health checks, schemas, sample inputs and quotes are free. Free quotes may still require configured authentication. Sample inputs are free; generating their reports follows the paid report workflow.</w:t>
      </w:r>
    </w:p>
    <w:p>
      <w:r>
        <w:t>Agents can read the machine catalog and referenced input/output schemas, request a quote, submit an order with the accepted amount and event input, then request delivery and read the order. No human web browsing is required. The Dashboard is for debugging and evidence capture; Arena operation does not depend on a human demonstration.</w:t>
      </w:r>
    </w:p>
    <w:p>
      <w:r>
        <w:t>Public inputs remain self-reported. A single task report is not global reputation or platform verification. A local order and delivered report are not evidence that credits settled; credit_settlement remains not_evaluated.</w:t>
      </w:r>
    </w:p>
    <w:p>
      <w:pPr>
        <w:pStyle w:val="Heading2"/>
      </w:pPr>
      <w:r>
        <w:t>服务及证据</w:t>
      </w:r>
    </w:p>
    <w:p>
      <w:r>
        <w:t>- a2a-interaction-trace：6 credits，底价5。供 Agent 检查单次执行与证据缺口。</w:t>
      </w:r>
    </w:p>
    <w:p>
      <w:r>
        <w:t>- a2a-interaction-risk-report：6 credits，底价5。增加逐项中英文解释，辅助评估本次任务风险。</w:t>
      </w:r>
    </w:p>
    <w:p>
      <w:r>
        <w:t>- GitHub：https://github.com/yixi1120/Shared-OS-Hackathon</w:t>
      </w:r>
    </w:p>
    <w:p>
      <w:r>
        <w:t>- 机器入口：catalog.json、input.schema.json、trace_delivery.schema.json、risk_delivery.schema.json。</w:t>
      </w:r>
    </w:p>
    <w:p>
      <w:r>
        <w:t>- 实际 API 截图：verification/success.png、failure.png、conflict.png、unauthorized.png、free-quote.png。</w:t>
      </w:r>
    </w:p>
    <w:p>
      <w:r>
        <w:t>- 备用录屏：media/A2A_Interaction_Intelligence_Backup.webm。仅为本地真实 API 演练，无线上交易证明。</w:t>
      </w:r>
    </w:p>
    <w:p>
      <w:r>
        <w:t>- 演示脚本：DEMO_SCRIPT.md。最终检查：FINAL_CHECKLIST.md。</w:t>
      </w:r>
    </w:p>
    <w:p>
      <w:pPr>
        <w:pStyle w:val="Heading2"/>
      </w:pPr>
      <w:r>
        <w:t>正式提交步骤</w:t>
      </w:r>
    </w:p>
    <w:p>
      <w:r>
        <w:t>雅婷确认信息后，仅更新 submission.json 并执行 check_submission.py；通过字段检查后再把该文件中的真实值加入最终发送内容。使用 submission.json 中用户确认的 Discord submission 频道，再发送完整介绍及材料。保留真实消息链接与提交时间到 submission.json。字段齐全与实际发送是两个独立条件，不能把本地校验通过写成已提交。</w:t>
      </w:r>
    </w:p>
    <w:p>
      <w:r>
        <w:t>比赛主页 https://www.sharedos.ai/weekly-hackathon 在2026年9月12日检查时同时出现 MentorMates 与 Devpost 提交入口；用户要求 Discord 指定 submission 环节。以主办方明确通知核对入口，当前不臆定频道或已完成提交。</w:t>
      </w:r>
    </w:p>
    <w:p>
      <w:pPr>
        <w:pStyle w:val="Heading1"/>
      </w:pPr>
      <w:r>
        <w:t>备用演示脚本</w:t>
      </w:r>
    </w:p>
    <w:p>
      <w:r>
        <w:t>录屏为本地真实 API 操作，固定事件输入由 Runtime 计算。全程标注本地演练，非线上成交。无配音字幕成片96秒，以下为约90秒脚本加实际操作转场；无需在 Arena 当晚人工播放。</w:t>
      </w:r>
    </w:p>
    <w:p>
      <w:r>
        <w:t>1. 0至15秒：展示目录与免费付费说明。读20秒介绍时可使用 introduction.json 的英文40词版本，按正常语速约16秒。</w:t>
      </w:r>
    </w:p>
    <w:p>
      <w:r>
        <w:t>2. 15至27秒：点击仅免费询价，展示 ask_price=6、reservation_price=5，以及未创建订单提示。询价免费不等于无需认证。</w:t>
      </w:r>
    </w:p>
    <w:p>
      <w:r>
        <w:t>3. 27至43秒：载入成功事件，下单交付。展示98分、证据权重0.15，以及结算 not_evaluated。内层完成表示样例任务状态，外层 delivered 表示分析报告交付。</w:t>
      </w:r>
    </w:p>
    <w:p>
      <w:r>
        <w:t>4. 43至57秒：载入失败事件。展示43分和缺少 Artifact 的风险解释。这是分析服务正常交付失败任务的报告；缺少记录不证明现实世界未交付。</w:t>
      </w:r>
    </w:p>
    <w:p>
      <w:r>
        <w:t>5. 57至72秒：载入终态冲突事件。展示57.5分、completed=false 和 conflicting_terminal_task_state；全部14项已知标记都有对应解释。</w:t>
      </w:r>
    </w:p>
    <w:p>
      <w:r>
        <w:t>6. 72至85秒：测试无凭据访问，展示401及旧结果清空。仅证明本地配置认证生效，不声称完成 SharedNet capability 校验。</w:t>
      </w:r>
    </w:p>
    <w:p>
      <w:r>
        <w:t>7. 85至90秒：强调 API 可由 Agent 自主调用；报告不等于全局信誉、平台认证或到账证明。</w:t>
      </w:r>
    </w:p>
    <w:p>
      <w:pPr>
        <w:pStyle w:val="Heading2"/>
      </w:pPr>
      <w:r>
        <w:t>复现</w:t>
      </w:r>
    </w:p>
    <w:p>
      <w:r>
        <w:t>按 README_GUANSHENG.md 启动带认证的本地服务。Dashboard 选择风险报告、预算6、议价留空，依次操作成功、失败、终态冲突、无凭据。verify_guansheng.py 会自动复现两项服务的三种事件以及401、422和低价拒绝。截图和录屏均不可用作线上结算证据。</w:t>
      </w:r>
    </w:p>
    <w:p>
      <w:pPr>
        <w:pStyle w:val="Heading1"/>
      </w:pPr>
      <w:r>
        <w:t>最终交付与提交检查表</w:t>
      </w:r>
    </w:p>
    <w:p>
      <w:r>
        <w:t>- [x] 免费资源与两项付费报告已在 Catalog、Pitch、FAQ、销售规则及提交文案区分。</w:t>
      </w:r>
    </w:p>
    <w:p>
      <w:r>
        <w:t>- [x] 标价6 credits、底价5；首购不承诺额外整数折扣。实际金额取有效报价或接受的议价。</w:t>
      </w:r>
    </w:p>
    <w:p>
      <w:r>
        <w:t>- [x] 单句与20秒介绍均可读取 introduction.json。</w:t>
      </w:r>
    </w:p>
    <w:p>
      <w:r>
        <w:t>- [x] 八类买家问题有中英文答案；Agent 使用打包销售内容与确定性意图路由。</w:t>
      </w:r>
    </w:p>
    <w:p>
      <w:r>
        <w:t>- [x] 输入和输出 Schema 与当前 Runtime 对齐，风险标记保留完整14项及 interpretation.flags。</w:t>
      </w:r>
    </w:p>
    <w:p>
      <w:r>
        <w:t>- [x] Dashboard 源码直接调用真实 API，另提供仅询价按钮。</w:t>
      </w:r>
    </w:p>
    <w:p>
      <w:r>
        <w:t>- [x] Demo Script、真实响应截图与带说明的备用录屏已纳入交付。</w:t>
      </w:r>
    </w:p>
    <w:p>
      <w:r>
        <w:t>- [x] 自报证据、单笔分析、报告交付与 credits 结算分别说明。</w:t>
      </w:r>
    </w:p>
    <w:p>
      <w:r>
        <w:t>- [x] 所有待填官方信息只在 submission.json 保留 null，未使用示例值。</w:t>
      </w:r>
    </w:p>
    <w:p>
      <w:r>
        <w:t>- [ ] 雅婷交付真实身份及线上信息后，更新 submission.json 并通过 check_submission.py。</w:t>
      </w:r>
    </w:p>
    <w:p>
      <w:r>
        <w:t>- [ ] 对已确认线上 API 做同等合同验证；当前验证仅覆盖本地真实 API。</w:t>
      </w:r>
    </w:p>
    <w:p>
      <w:r>
        <w:t>- [ ] 按主办方通知在 Discord 指定 submission 环节完成提交并保存回执。</w:t>
      </w:r>
    </w:p>
    <w:p>
      <w:r>
        <w:t>最后三项按用户要求暂缓，不属于已完成或已验收的线上事项。测试记录见 verification；正式信息不得从演练截图、样例买家或本地地址推断。</w:t>
      </w:r>
    </w:p>
    <w:p>
      <w:pPr>
        <w:pStyle w:val="Heading1"/>
      </w:pPr>
      <w:r>
        <w:t>机器调用与报告字段</w:t>
      </w:r>
    </w:p>
    <w:p>
      <w:r>
        <w:t>Agent 首先读取 catalog.json 的服务说明与 input_schema、output_schema 引用，读取免费示例输入，携带配置要求的认证请求报价。使用有效 quote_id 与实际 ask_price 或已接受的 final_price 创建订单，提交同任务同主体的1至200条事件，再请求交付并读取订单。无须人工浏览网页。</w:t>
      </w:r>
    </w:p>
    <w:p>
      <w:r>
        <w:t>字段完整定义以随包 input.schema.json、trace_delivery.schema.json、risk_delivery.schema.json 为准；这些合同已与实际 Runtime 比较。公共输入仍为 self_reported，权重0.15，不得由调用方声明升级成平台验证。Risk 的 interpretation.flags 逐项包含 flag、zh、en；未来未知标记保留，不使用封闭枚举拒绝。</w:t>
      </w:r>
    </w:p>
    <w:p>
      <w:r>
        <w:t>missing_terminal_task_state：缺少终态。No completion or failure state was recorded.</w:t>
      </w:r>
    </w:p>
    <w:p>
      <w:r>
        <w:t>artifact_not_delivered：未记录交付。No artifact delivery was recorded; absence is not proof of non-delivery.</w:t>
      </w:r>
    </w:p>
    <w:p>
      <w:r>
        <w:t>invalid_stage_order：阶段乱序。Timestamp-ordered events regress in lifecycle stage.</w:t>
      </w:r>
    </w:p>
    <w:p>
      <w:r>
        <w:t>schema_validation_failure：schema 不合规。At least one submitted event declares schema_valid=false.</w:t>
      </w:r>
    </w:p>
    <w:p>
      <w:r>
        <w:t>interaction_disputed：存在争议。A dispute was recorded; the report does not adjudicate it.</w:t>
      </w:r>
    </w:p>
    <w:p>
      <w:r>
        <w:t>conflicting_terminal_task_state：终态冲突。Both task_completed and task_failed were recorded; the task is not treated as completed or reputation-eligible.</w:t>
      </w:r>
    </w:p>
    <w:p>
      <w:r>
        <w:t>evidence_not_reputation_eligible：不具备基础纳入资格。The trace fails the V1 terminal-state and trusted-source gate.</w:t>
      </w:r>
    </w:p>
    <w:p>
      <w:r>
        <w:t>task_start_not_recorded：未记录开始。No task_started event was recorded.</w:t>
      </w:r>
    </w:p>
    <w:p>
      <w:r>
        <w:t>completion_not_recorded：未记录完成终态。No task_completed event was recorded; a failure terminal may still exist.</w:t>
      </w:r>
    </w:p>
    <w:p>
      <w:r>
        <w:t>task_explicitly_failed：明确失败。A task_failed event was recorded; report delivery can still succeed.</w:t>
      </w:r>
    </w:p>
    <w:p>
      <w:r>
        <w:t>latency_not_computable：延迟无法计算。The trace lacks a request/start or completion/failure timestamp.</w:t>
      </w:r>
    </w:p>
    <w:p>
      <w:r>
        <w:t>evidence_reference_missing：证据引用缺失。At least one event has no non-empty evidence reference; references are not verified here.</w:t>
      </w:r>
    </w:p>
    <w:p>
      <w:r>
        <w:t>weak_evidence_source：证据来源较弱。The weakest source is bilateral or self-reported; execution score is unchanged.</w:t>
      </w:r>
    </w:p>
    <w:p>
      <w:r>
        <w:t>credit_settlement_not_evaluated：结算未评估。No trusted settlement evaluation is attached; declared price is not payment proof.</w:t>
      </w:r>
    </w:p>
    <w:p>
      <w:pPr>
        <w:pStyle w:val="Heading1"/>
      </w:pPr>
      <w:r>
        <w:t>验证范围与交付证据</w:t>
      </w:r>
    </w:p>
    <w:p>
      <w:r>
        <w:t>本次95项测试、39项真实 HTTP 合同检查、9项浏览器检查通过。截图展示本地实际 API 响应；成功98分，失败43分，终态冲突57.5分；无凭据访问401。仅免费询价未发起订单请求。备用录屏位于 media，截图和检查记录位于 verification。线上部署及正式结算尚未验证。</w:t>
      </w:r>
    </w:p>
    <w:p>
      <w:r>
        <w:t>报价与评分算法保持 main；销售意图匹配和产品描述有本次修改。报告的 credit_settlement 为 not_evaluated，分析交付不证明 credits 已到账。</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Calibri" w:hAnsi="Calibri" w:eastAsia="Microsoft Ya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Calibri" w:hAnsi="Calibr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Calibri" w:hAnsi="Calibri" w:eastAsia="Microsoft Ya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hemaCode">
    <w:name w:val="Schema Code"/>
    <w:pPr>
      <w:widowControl w:val="0"/>
      <w:spacing w:after="0" w:before="0" w:line="247" w:lineRule="auto"/>
      <w:ind w:left="113"/>
    </w:pPr>
    <w:rPr>
      <w:rFonts w:ascii="Consolas" w:hAnsi="Consolas" w:eastAsia="Microsoft YaHei"/>
      <w:b w:val="0"/>
      <w:color w:val="000000"/>
      <w:sz w:val="17"/>
    </w:rPr>
  </w:style>
  <w:style w:type="paragraph" w:customStyle="1" w:styleId="TableText">
    <w:name w:val="Table Text"/>
    <w:pPr>
      <w:spacing w:after="60" w:before="60" w:line="269" w:lineRule="auto"/>
    </w:pPr>
    <w:rPr>
      <w:rFonts w:ascii="Calibri" w:hAnsi="Calibri" w:eastAsia="Microsoft YaHei"/>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冠盛产品设计与自动销售交付手册</dc:title>
  <dc:subject>Shared OS Hackathon 服务产品 销售话术 演示与提交</dc:subject>
  <dc:creator>冠盛</dc:creator>
  <cp:keywords>A2A Interaction Trace, A2A Interaction Risk Report, Shared OS Hackathon</cp:keywords>
  <dc:description>generated by python-docx</dc:description>
  <cp:lastModifiedBy/>
  <cp:revision>1</cp:revision>
  <dcterms:created xsi:type="dcterms:W3CDTF">2013-12-23T23:15:00Z</dcterms:created>
  <dcterms:modified xsi:type="dcterms:W3CDTF">2013-12-23T23:15:00Z</dcterms:modified>
  <cp:category/>
</cp:coreProperties>
</file>