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eastAsia="黑体"/>
          <w:b/>
          <w:i w:val="0"/>
          <w:sz w:val="36"/>
          <w:u w:val="none"/>
        </w:rPr>
        <w:t>深圳大学考试答题纸</w:t>
      </w:r>
    </w:p>
    <w:p>
      <w:pPr>
        <w:spacing w:before="0" w:after="120"/>
        <w:jc w:val="center"/>
      </w:pPr>
      <w:r>
        <w:rPr>
          <w:rFonts w:ascii="Times New Roman" w:hAnsi="Times New Roman" w:eastAsia="宋体"/>
          <w:b w:val="0"/>
          <w:i w:val="0"/>
          <w:sz w:val="21"/>
          <w:u w:val="none"/>
        </w:rPr>
        <w:t>(以论文、报告等形式考核专用)</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left"/>
            </w:pPr>
            <w:r/>
            <w:r>
              <w:rPr>
                <w:rFonts w:ascii="Times New Roman" w:hAnsi="Times New Roman" w:eastAsia="宋体"/>
                <w:b w:val="0"/>
                <w:i w:val="0"/>
                <w:sz w:val="21"/>
                <w:u w:val="none"/>
              </w:rPr>
              <w:t>二五 ～ 二六    学年度第  二  学期</w:t>
            </w:r>
          </w:p>
        </w:tc>
        <w:tc>
          <w:tcPr>
            <w:tcW w:type="dxa" w:w="4323"/>
          </w:tcPr>
          <w:p>
            <w:pPr>
              <w:jc w:val="left"/>
            </w:pPr>
            <w:r/>
          </w:p>
        </w:tc>
      </w:tr>
      <w:tr>
        <w:tc>
          <w:tcPr>
            <w:tcW w:type="dxa" w:w="4323"/>
          </w:tcPr>
          <w:p>
            <w:pPr>
              <w:jc w:val="left"/>
            </w:pPr>
            <w:r/>
            <w:r>
              <w:rPr>
                <w:rFonts w:ascii="Times New Roman" w:hAnsi="Times New Roman" w:eastAsia="宋体"/>
                <w:b w:val="0"/>
                <w:i w:val="0"/>
                <w:sz w:val="21"/>
                <w:u w:val="none"/>
              </w:rPr>
              <w:t>课程编号  1501990018   课程名称  机器学习</w:t>
            </w:r>
          </w:p>
        </w:tc>
        <w:tc>
          <w:tcPr>
            <w:tcW w:type="dxa" w:w="4323"/>
          </w:tcPr>
          <w:p>
            <w:pPr>
              <w:jc w:val="left"/>
            </w:pPr>
            <w:r/>
          </w:p>
        </w:tc>
      </w:tr>
      <w:tr>
        <w:tc>
          <w:tcPr>
            <w:tcW w:type="dxa" w:w="4323"/>
          </w:tcPr>
          <w:p>
            <w:pPr>
              <w:jc w:val="left"/>
            </w:pPr>
            <w:r/>
            <w:r>
              <w:rPr>
                <w:rFonts w:ascii="Times New Roman" w:hAnsi="Times New Roman" w:eastAsia="宋体"/>
                <w:b w:val="0"/>
                <w:i w:val="0"/>
                <w:sz w:val="21"/>
                <w:u w:val="none"/>
              </w:rPr>
              <w:t>主讲教师  贾森、何汝艳</w:t>
            </w:r>
          </w:p>
        </w:tc>
        <w:tc>
          <w:tcPr>
            <w:tcW w:type="dxa" w:w="4323"/>
          </w:tcPr>
          <w:p>
            <w:pPr>
              <w:jc w:val="left"/>
            </w:pPr>
            <w:r/>
          </w:p>
        </w:tc>
      </w:tr>
      <w:tr>
        <w:tc>
          <w:tcPr>
            <w:tcW w:type="dxa" w:w="4323"/>
          </w:tcPr>
          <w:p>
            <w:pPr>
              <w:jc w:val="left"/>
            </w:pPr>
            <w:r/>
            <w:r>
              <w:rPr>
                <w:rFonts w:ascii="Times New Roman" w:hAnsi="Times New Roman" w:eastAsia="宋体"/>
                <w:b w:val="0"/>
                <w:i w:val="0"/>
                <w:sz w:val="21"/>
                <w:u w:val="none"/>
              </w:rPr>
              <w:t>学    号</w:t>
            </w:r>
          </w:p>
        </w:tc>
        <w:tc>
          <w:tcPr>
            <w:tcW w:type="dxa" w:w="4323"/>
          </w:tcPr>
          <w:p>
            <w:pPr>
              <w:jc w:val="left"/>
            </w:pPr>
            <w:r/>
          </w:p>
        </w:tc>
      </w:tr>
      <w:tr>
        <w:tc>
          <w:tcPr>
            <w:tcW w:type="dxa" w:w="4323"/>
          </w:tcPr>
          <w:p>
            <w:pPr>
              <w:jc w:val="left"/>
            </w:pPr>
            <w:r/>
            <w:r>
              <w:rPr>
                <w:rFonts w:ascii="Times New Roman" w:hAnsi="Times New Roman" w:eastAsia="宋体"/>
                <w:b w:val="0"/>
                <w:i w:val="0"/>
                <w:sz w:val="21"/>
                <w:u w:val="none"/>
              </w:rPr>
              <w:t>专业年级</w:t>
            </w:r>
          </w:p>
        </w:tc>
        <w:tc>
          <w:tcPr>
            <w:tcW w:type="dxa" w:w="4323"/>
          </w:tcPr>
          <w:p>
            <w:pPr>
              <w:jc w:val="left"/>
            </w:pPr>
            <w:r/>
          </w:p>
        </w:tc>
      </w:tr>
    </w:tbl>
    <w:p>
      <w:pPr>
        <w:spacing w:before="0" w:after="0" w:line="360" w:lineRule="auto"/>
        <w:jc w:val="left"/>
      </w:pPr>
      <w:r>
        <w:rPr>
          <w:rFonts w:ascii="Times New Roman" w:hAnsi="Times New Roman" w:eastAsia="宋体"/>
          <w:b w:val="0"/>
          <w:i w:val="0"/>
          <w:sz w:val="12"/>
          <w:u w:val="none"/>
        </w:rPr>
      </w:r>
    </w:p>
    <w:p>
      <w:pPr>
        <w:spacing w:before="120" w:after="120" w:line="360" w:lineRule="auto"/>
        <w:jc w:val="center"/>
      </w:pPr>
      <w:r>
        <w:rPr>
          <w:rFonts w:ascii="Times New Roman" w:hAnsi="Times New Roman" w:eastAsia="黑体"/>
          <w:b/>
          <w:i w:val="0"/>
          <w:sz w:val="32"/>
          <w:u w:val="none"/>
        </w:rPr>
        <w:t>课程大论文</w:t>
      </w:r>
    </w:p>
    <w:p>
      <w:pPr>
        <w:spacing w:before="0" w:after="240" w:line="360" w:lineRule="auto"/>
        <w:jc w:val="center"/>
      </w:pPr>
      <w:r>
        <w:rPr>
          <w:rFonts w:ascii="Times New Roman" w:hAnsi="Times New Roman" w:eastAsia="黑体"/>
          <w:b w:val="0"/>
          <w:i w:val="0"/>
          <w:sz w:val="28"/>
          <w:u w:val="none"/>
        </w:rPr>
        <w:t>——基于多任务深度学习的农作物病害智能诊断与风险评估系统</w:t>
      </w:r>
    </w:p>
    <w:p>
      <w:pPr>
        <w:spacing w:before="0" w:after="240" w:line="360" w:lineRule="auto"/>
        <w:jc w:val="center"/>
      </w:pPr>
      <w:r>
        <w:rPr>
          <w:rFonts w:ascii="Times New Roman" w:hAnsi="Times New Roman" w:eastAsia="宋体"/>
          <w:b w:val="0"/>
          <w:i w:val="0"/>
          <w:sz w:val="21"/>
          <w:u w:val="none"/>
        </w:rPr>
        <w:t>（自主应用实践类）</w:t>
      </w:r>
    </w:p>
    <w:p>
      <w:pPr>
        <w:spacing w:before="240" w:after="120" w:line="360" w:lineRule="auto"/>
        <w:jc w:val="left"/>
      </w:pPr>
      <w:r>
        <w:rPr>
          <w:rFonts w:ascii="Times New Roman" w:hAnsi="Times New Roman" w:eastAsia="黑体"/>
          <w:b/>
          <w:i w:val="0"/>
          <w:sz w:val="28"/>
          <w:u w:val="none"/>
        </w:rPr>
        <w:t>一、项目背景与目标</w:t>
      </w:r>
    </w:p>
    <w:p>
      <w:pPr>
        <w:spacing w:before="0" w:after="0" w:line="360" w:lineRule="auto"/>
        <w:ind w:firstLine="420"/>
        <w:jc w:val="both"/>
      </w:pPr>
      <w:r>
        <w:rPr>
          <w:rFonts w:ascii="Times New Roman" w:hAnsi="Times New Roman" w:eastAsia="宋体"/>
          <w:b w:val="0"/>
          <w:i w:val="0"/>
          <w:sz w:val="24"/>
          <w:u w:val="none"/>
        </w:rPr>
        <w:t>农作物病害是威胁全球粮食安全的主要因素之一。据联合国粮食及农业组织（FAO）统计，全球每年因植物病害造成的粮食损失高达10%~16%，对农业生产和粮食安全构成严重威胁。传统的病害诊断方式主要依赖农业技术人员的田间观察和经验判断，存在效率低下、主观性强、专业门槛高等突出问题，难以满足大规模、实时化、精准化的现代农业需求。</w:t>
      </w:r>
    </w:p>
    <w:p>
      <w:pPr>
        <w:spacing w:before="0" w:after="0" w:line="360" w:lineRule="auto"/>
        <w:ind w:firstLine="420"/>
        <w:jc w:val="both"/>
      </w:pPr>
      <w:r>
        <w:rPr>
          <w:rFonts w:ascii="Times New Roman" w:hAnsi="Times New Roman" w:eastAsia="宋体"/>
          <w:b w:val="0"/>
          <w:i w:val="0"/>
          <w:sz w:val="24"/>
          <w:u w:val="none"/>
        </w:rPr>
        <w:t>近年来，以深度学习为代表的人工智能技术在计算机视觉领域取得了突破性进展，为农作物病害的自动化诊断提供了新的技术路径。从早期的卷积神经网络（CNN）到ResNet、MobileNet、Vision Transformer等先进架构，图像识别精度不断提升。然而，现有研究大多聚焦于单一的分类任务——仅判断病害种类或仅评估严重程度，缺乏对病害信息的全面联合诊断能力。</w:t>
      </w:r>
    </w:p>
    <w:p>
      <w:pPr>
        <w:spacing w:before="0" w:after="0" w:line="360" w:lineRule="auto"/>
        <w:ind w:firstLine="420"/>
        <w:jc w:val="both"/>
      </w:pPr>
      <w:r>
        <w:rPr>
          <w:rFonts w:ascii="Times New Roman" w:hAnsi="Times New Roman" w:eastAsia="宋体"/>
          <w:b w:val="0"/>
          <w:i w:val="0"/>
          <w:sz w:val="24"/>
          <w:u w:val="none"/>
        </w:rPr>
        <w:t>针对上述问题，本项目提出了一种基于多任务深度学习的农作物病害智能诊断与风险评估系统。项目的核心目标是：（1）实现病害类别、严重程度和风险评分的联合预测；（2）引入交叉注意力机制（Cross-Task Attention）提升多任务协同效果；（3）结合Grad-CAM可解释性方法生成热力图，增强诊断的可信度；（4）构建完整的Web应用系统，支持图片上传、实时推理和诊断报告生成。本项目属于自主应用实践类，完整覆盖了从理论分析、模型设计、实验验证到系统开发的全部流程。</w:t>
      </w:r>
    </w:p>
    <w:p>
      <w:pPr>
        <w:spacing w:before="240" w:after="120" w:line="360" w:lineRule="auto"/>
        <w:jc w:val="left"/>
      </w:pPr>
      <w:r>
        <w:rPr>
          <w:rFonts w:ascii="Times New Roman" w:hAnsi="Times New Roman" w:eastAsia="黑体"/>
          <w:b/>
          <w:i w:val="0"/>
          <w:sz w:val="28"/>
          <w:u w:val="none"/>
        </w:rPr>
        <w:t>二、数据集介绍与预处理</w:t>
      </w:r>
    </w:p>
    <w:p>
      <w:pPr>
        <w:spacing w:before="0" w:after="0" w:line="360" w:lineRule="auto"/>
        <w:ind w:firstLine="420"/>
        <w:jc w:val="both"/>
      </w:pPr>
      <w:r>
        <w:rPr>
          <w:rFonts w:ascii="Times New Roman" w:hAnsi="Times New Roman" w:eastAsia="宋体"/>
          <w:b w:val="0"/>
          <w:i w:val="0"/>
          <w:sz w:val="24"/>
          <w:u w:val="none"/>
        </w:rPr>
        <w:t>本项目使用两个公开数据集进行评估。PlantVillage数据集包含14种作物的38类病害图像，共约54,000张叶片图像，是植物病害识别领域最广泛使用的基准数据集。AgriculturalDisease竞赛数据集包含10种主要经济作物（苹果、樱桃、玉米、葡萄、柑桔、桃、辣椒、马铃薯、草莓、番茄）的61类病害图像，覆盖了中国农业生产中最常见的作物和病害类型。</w:t>
      </w:r>
    </w:p>
    <w:p>
      <w:pPr>
        <w:spacing w:before="0" w:after="0" w:line="360" w:lineRule="auto"/>
        <w:ind w:firstLine="420"/>
        <w:jc w:val="both"/>
      </w:pPr>
      <w:r>
        <w:rPr>
          <w:rFonts w:ascii="Times New Roman" w:hAnsi="Times New Roman" w:eastAsia="宋体"/>
          <w:b w:val="0"/>
          <w:i w:val="0"/>
          <w:sz w:val="24"/>
          <w:u w:val="none"/>
        </w:rPr>
        <w:t>在数据预处理方面，所有图像统一调整至128×128像素，以适应MobileNetV2的输入要求。数据增强策略包括随机水平翻转（概率0.3）和随机旋转（±10度），以提升模型的泛化能力。图像归一化采用ImageNet数据集的均值和标准差（mean=[0.485,0.456,0.406]，std=[0.229,0.224,0.225]）。数据集按80%/20%的比例划分为训练集和验证集。</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984"/>
            <w:shd w:fill="4472C4"/>
          </w:tcPr>
          <w:p>
            <w:pPr>
              <w:jc w:val="center"/>
            </w:pPr>
            <w:r/>
            <w:r>
              <w:rPr>
                <w:rFonts w:ascii="Arial" w:hAnsi="Arial" w:eastAsia="黑体"/>
                <w:b/>
                <w:i w:val="0"/>
                <w:color w:val="FFFFFF"/>
                <w:sz w:val="20"/>
                <w:u w:val="none"/>
              </w:rPr>
              <w:t>数据集</w:t>
            </w:r>
          </w:p>
        </w:tc>
        <w:tc>
          <w:tcPr>
            <w:tcW w:type="dxa" w:w="1417"/>
            <w:shd w:fill="4472C4"/>
          </w:tcPr>
          <w:p>
            <w:pPr>
              <w:jc w:val="center"/>
            </w:pPr>
            <w:r/>
            <w:r>
              <w:rPr>
                <w:rFonts w:ascii="Arial" w:hAnsi="Arial" w:eastAsia="黑体"/>
                <w:b/>
                <w:i w:val="0"/>
                <w:color w:val="FFFFFF"/>
                <w:sz w:val="20"/>
                <w:u w:val="none"/>
              </w:rPr>
              <w:t>作物种类</w:t>
            </w:r>
          </w:p>
        </w:tc>
        <w:tc>
          <w:tcPr>
            <w:tcW w:type="dxa" w:w="1417"/>
            <w:shd w:fill="4472C4"/>
          </w:tcPr>
          <w:p>
            <w:pPr>
              <w:jc w:val="center"/>
            </w:pPr>
            <w:r/>
            <w:r>
              <w:rPr>
                <w:rFonts w:ascii="Arial" w:hAnsi="Arial" w:eastAsia="黑体"/>
                <w:b/>
                <w:i w:val="0"/>
                <w:color w:val="FFFFFF"/>
                <w:sz w:val="20"/>
                <w:u w:val="none"/>
              </w:rPr>
              <w:t>病害类别数</w:t>
            </w:r>
          </w:p>
        </w:tc>
        <w:tc>
          <w:tcPr>
            <w:tcW w:type="dxa" w:w="1417"/>
            <w:shd w:fill="4472C4"/>
          </w:tcPr>
          <w:p>
            <w:pPr>
              <w:jc w:val="center"/>
            </w:pPr>
            <w:r/>
            <w:r>
              <w:rPr>
                <w:rFonts w:ascii="Arial" w:hAnsi="Arial" w:eastAsia="黑体"/>
                <w:b/>
                <w:i w:val="0"/>
                <w:color w:val="FFFFFF"/>
                <w:sz w:val="20"/>
                <w:u w:val="none"/>
              </w:rPr>
              <w:t>总样本量</w:t>
            </w:r>
          </w:p>
        </w:tc>
        <w:tc>
          <w:tcPr>
            <w:tcW w:type="dxa" w:w="1417"/>
            <w:shd w:fill="4472C4"/>
          </w:tcPr>
          <w:p>
            <w:pPr>
              <w:jc w:val="center"/>
            </w:pPr>
            <w:r/>
            <w:r>
              <w:rPr>
                <w:rFonts w:ascii="Arial" w:hAnsi="Arial" w:eastAsia="黑体"/>
                <w:b/>
                <w:i w:val="0"/>
                <w:color w:val="FFFFFF"/>
                <w:sz w:val="20"/>
                <w:u w:val="none"/>
              </w:rPr>
              <w:t>训练/验证</w:t>
            </w:r>
          </w:p>
        </w:tc>
      </w:tr>
      <w:tr>
        <w:tc>
          <w:tcPr>
            <w:tcW w:type="dxa" w:w="1984"/>
          </w:tcPr>
          <w:p>
            <w:pPr>
              <w:jc w:val="left"/>
            </w:pPr>
            <w:r/>
            <w:r>
              <w:rPr>
                <w:rFonts w:ascii="Times New Roman" w:hAnsi="Times New Roman" w:eastAsia="宋体"/>
                <w:b w:val="0"/>
                <w:i w:val="0"/>
                <w:sz w:val="20"/>
                <w:u w:val="none"/>
              </w:rPr>
              <w:t>PlantVillage</w:t>
            </w:r>
          </w:p>
        </w:tc>
        <w:tc>
          <w:tcPr>
            <w:tcW w:type="dxa" w:w="1417"/>
          </w:tcPr>
          <w:p>
            <w:pPr>
              <w:jc w:val="center"/>
            </w:pPr>
            <w:r/>
            <w:r>
              <w:rPr>
                <w:rFonts w:ascii="Times New Roman" w:hAnsi="Times New Roman" w:eastAsia="宋体"/>
                <w:b w:val="0"/>
                <w:i w:val="0"/>
                <w:sz w:val="20"/>
                <w:u w:val="none"/>
              </w:rPr>
              <w:t>14种</w:t>
            </w:r>
          </w:p>
        </w:tc>
        <w:tc>
          <w:tcPr>
            <w:tcW w:type="dxa" w:w="1417"/>
          </w:tcPr>
          <w:p>
            <w:pPr>
              <w:jc w:val="center"/>
            </w:pPr>
            <w:r/>
            <w:r>
              <w:rPr>
                <w:rFonts w:ascii="Times New Roman" w:hAnsi="Times New Roman" w:eastAsia="宋体"/>
                <w:b w:val="0"/>
                <w:i w:val="0"/>
                <w:sz w:val="20"/>
                <w:u w:val="none"/>
              </w:rPr>
              <w:t>38类</w:t>
            </w:r>
          </w:p>
        </w:tc>
        <w:tc>
          <w:tcPr>
            <w:tcW w:type="dxa" w:w="1417"/>
          </w:tcPr>
          <w:p>
            <w:pPr>
              <w:jc w:val="center"/>
            </w:pPr>
            <w:r/>
            <w:r>
              <w:rPr>
                <w:rFonts w:ascii="Times New Roman" w:hAnsi="Times New Roman" w:eastAsia="宋体"/>
                <w:b w:val="0"/>
                <w:i w:val="0"/>
                <w:sz w:val="20"/>
                <w:u w:val="none"/>
              </w:rPr>
              <w:t>~54,000张</w:t>
            </w:r>
          </w:p>
        </w:tc>
        <w:tc>
          <w:tcPr>
            <w:tcW w:type="dxa" w:w="1417"/>
          </w:tcPr>
          <w:p>
            <w:pPr>
              <w:jc w:val="center"/>
            </w:pPr>
            <w:r/>
            <w:r>
              <w:rPr>
                <w:rFonts w:ascii="Times New Roman" w:hAnsi="Times New Roman" w:eastAsia="宋体"/>
                <w:b w:val="0"/>
                <w:i w:val="0"/>
                <w:sz w:val="20"/>
                <w:u w:val="none"/>
              </w:rPr>
              <w:t>80%/20%</w:t>
            </w:r>
          </w:p>
        </w:tc>
      </w:tr>
      <w:tr>
        <w:tc>
          <w:tcPr>
            <w:tcW w:type="dxa" w:w="1984"/>
            <w:shd w:fill="D9E2F3"/>
          </w:tcPr>
          <w:p>
            <w:pPr>
              <w:jc w:val="left"/>
            </w:pPr>
            <w:r/>
            <w:r>
              <w:rPr>
                <w:rFonts w:ascii="Times New Roman" w:hAnsi="Times New Roman" w:eastAsia="宋体"/>
                <w:b w:val="0"/>
                <w:i w:val="0"/>
                <w:sz w:val="20"/>
                <w:u w:val="none"/>
              </w:rPr>
              <w:t>AgriculturalDisease</w:t>
            </w:r>
          </w:p>
        </w:tc>
        <w:tc>
          <w:tcPr>
            <w:tcW w:type="dxa" w:w="1417"/>
            <w:shd w:fill="D9E2F3"/>
          </w:tcPr>
          <w:p>
            <w:pPr>
              <w:jc w:val="center"/>
            </w:pPr>
            <w:r/>
            <w:r>
              <w:rPr>
                <w:rFonts w:ascii="Times New Roman" w:hAnsi="Times New Roman" w:eastAsia="宋体"/>
                <w:b w:val="0"/>
                <w:i w:val="0"/>
                <w:sz w:val="20"/>
                <w:u w:val="none"/>
              </w:rPr>
              <w:t>10种</w:t>
            </w:r>
          </w:p>
        </w:tc>
        <w:tc>
          <w:tcPr>
            <w:tcW w:type="dxa" w:w="1417"/>
            <w:shd w:fill="D9E2F3"/>
          </w:tcPr>
          <w:p>
            <w:pPr>
              <w:jc w:val="center"/>
            </w:pPr>
            <w:r/>
            <w:r>
              <w:rPr>
                <w:rFonts w:ascii="Times New Roman" w:hAnsi="Times New Roman" w:eastAsia="宋体"/>
                <w:b w:val="0"/>
                <w:i w:val="0"/>
                <w:sz w:val="20"/>
                <w:u w:val="none"/>
              </w:rPr>
              <w:t>61类</w:t>
            </w:r>
          </w:p>
        </w:tc>
        <w:tc>
          <w:tcPr>
            <w:tcW w:type="dxa" w:w="1417"/>
            <w:shd w:fill="D9E2F3"/>
          </w:tcPr>
          <w:p>
            <w:pPr>
              <w:jc w:val="center"/>
            </w:pPr>
            <w:r/>
            <w:r>
              <w:rPr>
                <w:rFonts w:ascii="Times New Roman" w:hAnsi="Times New Roman" w:eastAsia="宋体"/>
                <w:b w:val="0"/>
                <w:i w:val="0"/>
                <w:sz w:val="20"/>
                <w:u w:val="none"/>
              </w:rPr>
              <w:t>~45,000张</w:t>
            </w:r>
          </w:p>
        </w:tc>
        <w:tc>
          <w:tcPr>
            <w:tcW w:type="dxa" w:w="1417"/>
            <w:shd w:fill="D9E2F3"/>
          </w:tcPr>
          <w:p>
            <w:pPr>
              <w:jc w:val="center"/>
            </w:pPr>
            <w:r/>
            <w:r>
              <w:rPr>
                <w:rFonts w:ascii="Times New Roman" w:hAnsi="Times New Roman" w:eastAsia="宋体"/>
                <w:b w:val="0"/>
                <w:i w:val="0"/>
                <w:sz w:val="20"/>
                <w:u w:val="none"/>
              </w:rPr>
              <w:t>80%/20%</w:t>
            </w:r>
          </w:p>
        </w:tc>
      </w:tr>
    </w:tbl>
    <w:p>
      <w:pPr>
        <w:spacing w:before="0" w:after="0" w:line="360" w:lineRule="auto"/>
        <w:jc w:val="left"/>
      </w:pPr>
      <w:r>
        <w:rPr>
          <w:rFonts w:ascii="Times New Roman" w:hAnsi="Times New Roman" w:eastAsia="宋体"/>
          <w:b w:val="0"/>
          <w:i w:val="0"/>
          <w:sz w:val="12"/>
          <w:u w:val="none"/>
        </w:rPr>
      </w:r>
    </w:p>
    <w:p>
      <w:pPr>
        <w:spacing w:before="60" w:after="160" w:line="300" w:lineRule="auto"/>
        <w:jc w:val="center"/>
      </w:pPr>
      <w:r>
        <w:rPr>
          <w:rFonts w:ascii="Times New Roman" w:hAnsi="Times New Roman" w:eastAsia="宋体"/>
          <w:b w:val="0"/>
          <w:i w:val="0"/>
          <w:sz w:val="21"/>
          <w:u w:val="none"/>
        </w:rPr>
        <w:t>表1  数据集统计信息</w:t>
      </w:r>
    </w:p>
    <w:p>
      <w:pPr>
        <w:spacing w:before="240" w:after="120" w:line="360" w:lineRule="auto"/>
        <w:jc w:val="left"/>
      </w:pPr>
      <w:r>
        <w:rPr>
          <w:rFonts w:ascii="Times New Roman" w:hAnsi="Times New Roman" w:eastAsia="黑体"/>
          <w:b/>
          <w:i w:val="0"/>
          <w:sz w:val="28"/>
          <w:u w:val="none"/>
        </w:rPr>
        <w:t>三、方法与模型设计</w:t>
      </w:r>
    </w:p>
    <w:p>
      <w:pPr>
        <w:spacing w:before="160" w:after="80" w:line="360" w:lineRule="auto"/>
        <w:jc w:val="left"/>
      </w:pPr>
      <w:r>
        <w:rPr>
          <w:rFonts w:ascii="Times New Roman" w:hAnsi="Times New Roman" w:eastAsia="黑体"/>
          <w:b/>
          <w:i w:val="0"/>
          <w:sz w:val="24"/>
          <w:u w:val="none"/>
        </w:rPr>
        <w:t>3.1 总体框架</w:t>
      </w:r>
    </w:p>
    <w:p>
      <w:pPr>
        <w:spacing w:before="0" w:after="0" w:line="360" w:lineRule="auto"/>
        <w:ind w:firstLine="420"/>
        <w:jc w:val="both"/>
      </w:pPr>
      <w:r>
        <w:rPr>
          <w:rFonts w:ascii="Times New Roman" w:hAnsi="Times New Roman" w:eastAsia="宋体"/>
          <w:b w:val="0"/>
          <w:i w:val="0"/>
          <w:sz w:val="24"/>
          <w:u w:val="none"/>
        </w:rPr>
        <w:t>本系统采用多任务学习（Multi-Task Learning）框架，由一个共享骨干网络和两个任务特定分支组成。输入叶片图像后，共享骨干网络提取通用视觉特征，再通过交叉注意力机制为病害分类和严重程度分级分别生成任务特定特征，最后两个独立的分支分别输出病害类别（61类）和严重程度等级（3级：健康/一般/严重），并综合两者计算风险评分。</w:t>
      </w:r>
    </w:p>
    <w:p>
      <w:pPr>
        <w:spacing w:before="120" w:after="60"/>
        <w:jc w:val="center"/>
      </w:pPr>
      <w:r>
        <w:rPr>
          <w:rFonts w:ascii="Arial" w:hAnsi="Arial" w:eastAsia="宋体"/>
          <w:b w:val="0"/>
          <w:i/>
          <w:color w:val="787878"/>
          <w:sz w:val="21"/>
          <w:u w:val="none"/>
        </w:rPr>
        <w:t>[ 此处插入：图1  多任务诊断框架整体架构 ]</w:t>
      </w:r>
    </w:p>
    <w:p>
      <w:pPr>
        <w:spacing w:before="60" w:after="160" w:line="300" w:lineRule="auto"/>
        <w:jc w:val="center"/>
      </w:pPr>
      <w:r>
        <w:rPr>
          <w:rFonts w:ascii="Times New Roman" w:hAnsi="Times New Roman" w:eastAsia="宋体"/>
          <w:b w:val="0"/>
          <w:i w:val="0"/>
          <w:sz w:val="21"/>
          <w:u w:val="none"/>
        </w:rPr>
        <w:t>图1  多任务诊断框架整体架构</w:t>
      </w:r>
    </w:p>
    <w:p>
      <w:pPr>
        <w:spacing w:before="0" w:after="0" w:line="360" w:lineRule="auto"/>
        <w:ind w:firstLine="420"/>
        <w:jc w:val="both"/>
      </w:pPr>
      <w:r>
        <w:rPr>
          <w:rFonts w:ascii="Times New Roman" w:hAnsi="Times New Roman" w:eastAsia="宋体"/>
          <w:b w:val="0"/>
          <w:i w:val="0"/>
          <w:sz w:val="24"/>
          <w:u w:val="none"/>
        </w:rPr>
        <w:t>图1展示了系统的整体架构。输入图像经过MobileNetV2骨干网络提取1280维共享特征，交叉注意力模块将其分别映射为病害相关特征和严重程度相关特征，两个分类头独立输出预测结果。</w:t>
      </w:r>
    </w:p>
    <w:p>
      <w:pPr>
        <w:spacing w:before="160" w:after="80" w:line="360" w:lineRule="auto"/>
        <w:jc w:val="left"/>
      </w:pPr>
      <w:r>
        <w:rPr>
          <w:rFonts w:ascii="Times New Roman" w:hAnsi="Times New Roman" w:eastAsia="黑体"/>
          <w:b/>
          <w:i w:val="0"/>
          <w:sz w:val="24"/>
          <w:u w:val="none"/>
        </w:rPr>
        <w:t>3.2 共享骨干网络：MobileNetV2</w:t>
      </w:r>
    </w:p>
    <w:p>
      <w:pPr>
        <w:spacing w:before="0" w:after="0" w:line="360" w:lineRule="auto"/>
        <w:ind w:firstLine="420"/>
        <w:jc w:val="both"/>
      </w:pPr>
      <w:r>
        <w:rPr>
          <w:rFonts w:ascii="Times New Roman" w:hAnsi="Times New Roman" w:eastAsia="宋体"/>
          <w:b w:val="0"/>
          <w:i w:val="0"/>
          <w:sz w:val="24"/>
          <w:u w:val="none"/>
        </w:rPr>
        <w:t>选用MobileNetV2作为共享骨干网络（Sandler et al., 2018），主要基于以下考虑：（1）MobileNetV2采用倒残差结构（Inverted Residuals）和线性瓶颈（Linear Bottleneck），在保持较高精度的同时参数量和计算量远小于VGG和ResNet等传统网络；（2）轻量化设计有利于后续的移动端和边缘端部署，具有实际应用价值；（3）ImageNet预训练权重提供了良好的初始化，有利于加快收敛并提升性能。为平衡迁移学习和任务特定训练，冻结了MobileNetV2的大部分底层参数，仅训练最后3层。</w:t>
      </w:r>
    </w:p>
    <w:p>
      <w:pPr>
        <w:spacing w:before="160" w:after="80" w:line="360" w:lineRule="auto"/>
        <w:jc w:val="left"/>
      </w:pPr>
      <w:r>
        <w:rPr>
          <w:rFonts w:ascii="Times New Roman" w:hAnsi="Times New Roman" w:eastAsia="黑体"/>
          <w:b/>
          <w:i w:val="0"/>
          <w:sz w:val="24"/>
          <w:u w:val="none"/>
        </w:rPr>
        <w:t>3.3 交叉注意力机制</w:t>
      </w:r>
    </w:p>
    <w:p>
      <w:pPr>
        <w:spacing w:before="0" w:after="0" w:line="360" w:lineRule="auto"/>
        <w:ind w:firstLine="420"/>
        <w:jc w:val="both"/>
      </w:pPr>
      <w:r>
        <w:rPr>
          <w:rFonts w:ascii="Times New Roman" w:hAnsi="Times New Roman" w:eastAsia="宋体"/>
          <w:b w:val="0"/>
          <w:i w:val="0"/>
          <w:sz w:val="24"/>
          <w:u w:val="none"/>
        </w:rPr>
        <w:t>交叉注意力机制是本项目的核心创新点。其设计思想是：病害分类任务应关注病斑的形态和纹理特征，而严重程度分级任务则应关注病灶的面积占比和扩散程度。虽然两个任务共享底层特征，但对特征各维度的关注度各不相同。</w:t>
      </w:r>
    </w:p>
    <w:p>
      <w:pPr>
        <w:spacing w:before="0" w:after="0" w:line="360" w:lineRule="auto"/>
        <w:ind w:firstLine="420"/>
        <w:jc w:val="both"/>
      </w:pPr>
      <w:r>
        <w:rPr>
          <w:rFonts w:ascii="Times New Roman" w:hAnsi="Times New Roman" w:eastAsia="宋体"/>
          <w:b w:val="0"/>
          <w:i w:val="0"/>
          <w:sz w:val="24"/>
          <w:u w:val="none"/>
        </w:rPr>
        <w:t>具体实现上，给定共享特征向量x∈R¹²⁸⁰，通过三个独立的线性变换分别生成病害查询Q_d、严重程度查询Q_s和值映射V（均为256维）。然后计算注意力权重并生成任务特定特征：f_d = softmax(Q_d·V)⊙V，f_s = softmax(Q_s·V)⊙V。最终f_d输入病害分类头，f_s输入严重程度分类头。这种设计使得两个任务可以自适应地从共享特征中选择所需的信息维度，既保留了多任务学习的参数共享优势，又提供了任务特定的特征提取能力。</w:t>
      </w:r>
    </w:p>
    <w:p>
      <w:pPr>
        <w:spacing w:before="160" w:after="80" w:line="360" w:lineRule="auto"/>
        <w:jc w:val="left"/>
      </w:pPr>
      <w:r>
        <w:rPr>
          <w:rFonts w:ascii="Times New Roman" w:hAnsi="Times New Roman" w:eastAsia="黑体"/>
          <w:b/>
          <w:i w:val="0"/>
          <w:sz w:val="24"/>
          <w:u w:val="none"/>
        </w:rPr>
        <w:t>3.4 损失函数设计</w:t>
      </w:r>
    </w:p>
    <w:p>
      <w:pPr>
        <w:spacing w:before="0" w:after="0" w:line="360" w:lineRule="auto"/>
        <w:ind w:firstLine="420"/>
        <w:jc w:val="both"/>
      </w:pPr>
      <w:r>
        <w:rPr>
          <w:rFonts w:ascii="Times New Roman" w:hAnsi="Times New Roman" w:eastAsia="宋体"/>
          <w:b w:val="0"/>
          <w:i w:val="0"/>
          <w:sz w:val="24"/>
          <w:u w:val="none"/>
        </w:rPr>
        <w:t>采用加权多任务损失函数：L_total = λ₁·L_CE(y_d, ŷ_d) + λ₂·L_CE(y_s, ŷ_s)。其中L_CE为交叉熵损失，任务权重默认设置为λ₁=1.0、λ₂=0.8。严重程度任务的权重略低，是因为严重程度分级仅有3个类别，学习难度相对较低。优化器选用AdamW（学习率5×10⁻⁴，权重衰减1×10⁻⁴），学习率调度采用ReduceLROnPlateau策略（patience=3，衰减因子0.5），并设置早停机制（patience=5）防止过拟合。</w:t>
      </w:r>
    </w:p>
    <w:p>
      <w:pPr>
        <w:spacing w:before="160" w:after="80" w:line="360" w:lineRule="auto"/>
        <w:jc w:val="left"/>
      </w:pPr>
      <w:r>
        <w:rPr>
          <w:rFonts w:ascii="Times New Roman" w:hAnsi="Times New Roman" w:eastAsia="黑体"/>
          <w:b/>
          <w:i w:val="0"/>
          <w:sz w:val="24"/>
          <w:u w:val="none"/>
        </w:rPr>
        <w:t>3.5 Grad-CAM可解释性分析</w:t>
      </w:r>
    </w:p>
    <w:p>
      <w:pPr>
        <w:spacing w:before="0" w:after="0" w:line="360" w:lineRule="auto"/>
        <w:ind w:firstLine="420"/>
        <w:jc w:val="both"/>
      </w:pPr>
      <w:r>
        <w:rPr>
          <w:rFonts w:ascii="Times New Roman" w:hAnsi="Times New Roman" w:eastAsia="宋体"/>
          <w:b w:val="0"/>
          <w:i w:val="0"/>
          <w:sz w:val="24"/>
          <w:u w:val="none"/>
        </w:rPr>
        <w:t>为增强模型决策的可解释性，引入Grad-CAM（Gradient-weighted Class Activation Mapping）方法。该方法利用目标类别对最后一层卷积特征图的梯度，计算每个特征通道的重要性权重，生成与类别相关的热力图并叠加到原图上，直观展示模型做出决策的依据——即叶片上的哪些区域对判断病害类别贡献最大。这一功能有助于提升用户对AI诊断结果的信任度，也为农技人员复核诊断结果提供了视觉参考。</w:t>
      </w:r>
    </w:p>
    <w:p>
      <w:pPr>
        <w:spacing w:before="160" w:after="80" w:line="360" w:lineRule="auto"/>
        <w:jc w:val="left"/>
      </w:pPr>
      <w:r>
        <w:rPr>
          <w:rFonts w:ascii="Times New Roman" w:hAnsi="Times New Roman" w:eastAsia="黑体"/>
          <w:b/>
          <w:i w:val="0"/>
          <w:sz w:val="24"/>
          <w:u w:val="none"/>
        </w:rPr>
        <w:t>3.6 风险评估方法</w:t>
      </w:r>
    </w:p>
    <w:p>
      <w:pPr>
        <w:spacing w:before="0" w:after="0" w:line="360" w:lineRule="auto"/>
        <w:ind w:firstLine="420"/>
        <w:jc w:val="both"/>
      </w:pPr>
      <w:r>
        <w:rPr>
          <w:rFonts w:ascii="Times New Roman" w:hAnsi="Times New Roman" w:eastAsia="宋体"/>
          <w:b w:val="0"/>
          <w:i w:val="0"/>
          <w:sz w:val="24"/>
          <w:u w:val="none"/>
        </w:rPr>
        <w:t>基于病害类别和严重程度分级结果，设计了三级风险评估规则。当模型预测为严重疾病（2级）且置信度超过80%时，判定为高风险，需要立即采取防控措施；当预测为一般疾病（1级）且置信度超过70%时，判定为中风险，需要密切监测；其余情况为低风险或不确定，建议常规管理或人工复核。该规则参考了农业植保领域的实践经验，兼顾了诊断的准确性和安全性。</w:t>
      </w:r>
    </w:p>
    <w:p>
      <w:pPr>
        <w:spacing w:before="240" w:after="120" w:line="360" w:lineRule="auto"/>
        <w:jc w:val="left"/>
      </w:pPr>
      <w:r>
        <w:rPr>
          <w:rFonts w:ascii="Times New Roman" w:hAnsi="Times New Roman" w:eastAsia="黑体"/>
          <w:b/>
          <w:i w:val="0"/>
          <w:sz w:val="28"/>
          <w:u w:val="none"/>
        </w:rPr>
        <w:t>四、实验设计与结果分析</w:t>
      </w:r>
    </w:p>
    <w:p>
      <w:pPr>
        <w:spacing w:before="160" w:after="80" w:line="360" w:lineRule="auto"/>
        <w:jc w:val="left"/>
      </w:pPr>
      <w:r>
        <w:rPr>
          <w:rFonts w:ascii="Times New Roman" w:hAnsi="Times New Roman" w:eastAsia="黑体"/>
          <w:b/>
          <w:i w:val="0"/>
          <w:sz w:val="24"/>
          <w:u w:val="none"/>
        </w:rPr>
        <w:t>4.1 实验设置</w:t>
      </w:r>
    </w:p>
    <w:p>
      <w:pPr>
        <w:spacing w:before="0" w:after="0" w:line="360" w:lineRule="auto"/>
        <w:ind w:firstLine="420"/>
        <w:jc w:val="both"/>
      </w:pPr>
      <w:r>
        <w:rPr>
          <w:rFonts w:ascii="Times New Roman" w:hAnsi="Times New Roman" w:eastAsia="宋体"/>
          <w:b w:val="0"/>
          <w:i w:val="0"/>
          <w:sz w:val="24"/>
          <w:u w:val="none"/>
        </w:rPr>
        <w:t>所有实验在统一条件下进行。模型输入尺寸为128×128，批大小根据硬件条件设置为16（GPU可用时）或4（仅CPU时）。训练最大轮次为15轮，早停耐心值为5轮。评价指标包括准确率（Accuracy）和宏平均F1分数（Macro F1）。所有实验使用相同的随机种子以保证结果可复现。</w:t>
      </w:r>
    </w:p>
    <w:tbl>
      <w:tblPr>
        <w:tblStyle w:val="TableGrid"/>
        <w:tblW w:type="auto" w:w="0"/>
        <w:jc w:val="center"/>
        <w:tblLook w:firstColumn="1" w:firstRow="1" w:lastColumn="0" w:lastRow="0" w:noHBand="0" w:noVBand="1" w:val="04A0"/>
      </w:tblPr>
      <w:tblGrid>
        <w:gridCol w:w="4323"/>
        <w:gridCol w:w="4323"/>
      </w:tblGrid>
      <w:tr>
        <w:tc>
          <w:tcPr>
            <w:tcW w:type="dxa" w:w="2835"/>
            <w:shd w:fill="4472C4"/>
          </w:tcPr>
          <w:p>
            <w:pPr>
              <w:jc w:val="center"/>
            </w:pPr>
            <w:r/>
            <w:r>
              <w:rPr>
                <w:rFonts w:ascii="Arial" w:hAnsi="Arial" w:eastAsia="黑体"/>
                <w:b/>
                <w:i w:val="0"/>
                <w:color w:val="FFFFFF"/>
                <w:sz w:val="20"/>
                <w:u w:val="none"/>
              </w:rPr>
              <w:t>超参数</w:t>
            </w:r>
          </w:p>
        </w:tc>
        <w:tc>
          <w:tcPr>
            <w:tcW w:type="dxa" w:w="5669"/>
            <w:shd w:fill="4472C4"/>
          </w:tcPr>
          <w:p>
            <w:pPr>
              <w:jc w:val="center"/>
            </w:pPr>
            <w:r/>
            <w:r>
              <w:rPr>
                <w:rFonts w:ascii="Arial" w:hAnsi="Arial" w:eastAsia="黑体"/>
                <w:b/>
                <w:i w:val="0"/>
                <w:color w:val="FFFFFF"/>
                <w:sz w:val="20"/>
                <w:u w:val="none"/>
              </w:rPr>
              <w:t>取值</w:t>
            </w:r>
          </w:p>
        </w:tc>
      </w:tr>
      <w:tr>
        <w:tc>
          <w:tcPr>
            <w:tcW w:type="dxa" w:w="2835"/>
          </w:tcPr>
          <w:p>
            <w:pPr>
              <w:jc w:val="left"/>
            </w:pPr>
            <w:r/>
            <w:r>
              <w:rPr>
                <w:rFonts w:ascii="Times New Roman" w:hAnsi="Times New Roman" w:eastAsia="宋体"/>
                <w:b w:val="0"/>
                <w:i w:val="0"/>
                <w:sz w:val="20"/>
                <w:u w:val="none"/>
              </w:rPr>
              <w:t>骨干网络</w:t>
            </w:r>
          </w:p>
        </w:tc>
        <w:tc>
          <w:tcPr>
            <w:tcW w:type="dxa" w:w="5669"/>
          </w:tcPr>
          <w:p>
            <w:pPr>
              <w:jc w:val="center"/>
            </w:pPr>
            <w:r/>
            <w:r>
              <w:rPr>
                <w:rFonts w:ascii="Times New Roman" w:hAnsi="Times New Roman" w:eastAsia="宋体"/>
                <w:b w:val="0"/>
                <w:i w:val="0"/>
                <w:sz w:val="20"/>
                <w:u w:val="none"/>
              </w:rPr>
              <w:t>MobileNetV2（ImageNet预训练）</w:t>
            </w:r>
          </w:p>
        </w:tc>
      </w:tr>
      <w:tr>
        <w:tc>
          <w:tcPr>
            <w:tcW w:type="dxa" w:w="2835"/>
            <w:shd w:fill="D9E2F3"/>
          </w:tcPr>
          <w:p>
            <w:pPr>
              <w:jc w:val="left"/>
            </w:pPr>
            <w:r/>
            <w:r>
              <w:rPr>
                <w:rFonts w:ascii="Times New Roman" w:hAnsi="Times New Roman" w:eastAsia="宋体"/>
                <w:b w:val="0"/>
                <w:i w:val="0"/>
                <w:sz w:val="20"/>
                <w:u w:val="none"/>
              </w:rPr>
              <w:t>输入尺寸</w:t>
            </w:r>
          </w:p>
        </w:tc>
        <w:tc>
          <w:tcPr>
            <w:tcW w:type="dxa" w:w="5669"/>
            <w:shd w:fill="D9E2F3"/>
          </w:tcPr>
          <w:p>
            <w:pPr>
              <w:jc w:val="center"/>
            </w:pPr>
            <w:r/>
            <w:r>
              <w:rPr>
                <w:rFonts w:ascii="Times New Roman" w:hAnsi="Times New Roman" w:eastAsia="宋体"/>
                <w:b w:val="0"/>
                <w:i w:val="0"/>
                <w:sz w:val="20"/>
                <w:u w:val="none"/>
              </w:rPr>
              <w:t>128 × 128</w:t>
            </w:r>
          </w:p>
        </w:tc>
      </w:tr>
      <w:tr>
        <w:tc>
          <w:tcPr>
            <w:tcW w:type="dxa" w:w="2835"/>
          </w:tcPr>
          <w:p>
            <w:pPr>
              <w:jc w:val="left"/>
            </w:pPr>
            <w:r/>
            <w:r>
              <w:rPr>
                <w:rFonts w:ascii="Times New Roman" w:hAnsi="Times New Roman" w:eastAsia="宋体"/>
                <w:b w:val="0"/>
                <w:i w:val="0"/>
                <w:sz w:val="20"/>
                <w:u w:val="none"/>
              </w:rPr>
              <w:t>优化器</w:t>
            </w:r>
          </w:p>
        </w:tc>
        <w:tc>
          <w:tcPr>
            <w:tcW w:type="dxa" w:w="5669"/>
          </w:tcPr>
          <w:p>
            <w:pPr>
              <w:jc w:val="center"/>
            </w:pPr>
            <w:r/>
            <w:r>
              <w:rPr>
                <w:rFonts w:ascii="Times New Roman" w:hAnsi="Times New Roman" w:eastAsia="宋体"/>
                <w:b w:val="0"/>
                <w:i w:val="0"/>
                <w:sz w:val="20"/>
                <w:u w:val="none"/>
              </w:rPr>
              <w:t>AdamW（lr=5e-4, weight_decay=1e-4）</w:t>
            </w:r>
          </w:p>
        </w:tc>
      </w:tr>
      <w:tr>
        <w:tc>
          <w:tcPr>
            <w:tcW w:type="dxa" w:w="2835"/>
            <w:shd w:fill="D9E2F3"/>
          </w:tcPr>
          <w:p>
            <w:pPr>
              <w:jc w:val="left"/>
            </w:pPr>
            <w:r/>
            <w:r>
              <w:rPr>
                <w:rFonts w:ascii="Times New Roman" w:hAnsi="Times New Roman" w:eastAsia="宋体"/>
                <w:b w:val="0"/>
                <w:i w:val="0"/>
                <w:sz w:val="20"/>
                <w:u w:val="none"/>
              </w:rPr>
              <w:t>学习率调度</w:t>
            </w:r>
          </w:p>
        </w:tc>
        <w:tc>
          <w:tcPr>
            <w:tcW w:type="dxa" w:w="5669"/>
            <w:shd w:fill="D9E2F3"/>
          </w:tcPr>
          <w:p>
            <w:pPr>
              <w:jc w:val="center"/>
            </w:pPr>
            <w:r/>
            <w:r>
              <w:rPr>
                <w:rFonts w:ascii="Times New Roman" w:hAnsi="Times New Roman" w:eastAsia="宋体"/>
                <w:b w:val="0"/>
                <w:i w:val="0"/>
                <w:sz w:val="20"/>
                <w:u w:val="none"/>
              </w:rPr>
              <w:t>ReduceLROnPlateau（patience=3, factor=0.5）</w:t>
            </w:r>
          </w:p>
        </w:tc>
      </w:tr>
      <w:tr>
        <w:tc>
          <w:tcPr>
            <w:tcW w:type="dxa" w:w="2835"/>
          </w:tcPr>
          <w:p>
            <w:pPr>
              <w:jc w:val="left"/>
            </w:pPr>
            <w:r/>
            <w:r>
              <w:rPr>
                <w:rFonts w:ascii="Times New Roman" w:hAnsi="Times New Roman" w:eastAsia="宋体"/>
                <w:b w:val="0"/>
                <w:i w:val="0"/>
                <w:sz w:val="20"/>
                <w:u w:val="none"/>
              </w:rPr>
              <w:t>早停耐心值</w:t>
            </w:r>
          </w:p>
        </w:tc>
        <w:tc>
          <w:tcPr>
            <w:tcW w:type="dxa" w:w="5669"/>
          </w:tcPr>
          <w:p>
            <w:pPr>
              <w:jc w:val="center"/>
            </w:pPr>
            <w:r/>
            <w:r>
              <w:rPr>
                <w:rFonts w:ascii="Times New Roman" w:hAnsi="Times New Roman" w:eastAsia="宋体"/>
                <w:b w:val="0"/>
                <w:i w:val="0"/>
                <w:sz w:val="20"/>
                <w:u w:val="none"/>
              </w:rPr>
              <w:t>5轮</w:t>
            </w:r>
          </w:p>
        </w:tc>
      </w:tr>
      <w:tr>
        <w:tc>
          <w:tcPr>
            <w:tcW w:type="dxa" w:w="2835"/>
            <w:shd w:fill="D9E2F3"/>
          </w:tcPr>
          <w:p>
            <w:pPr>
              <w:jc w:val="left"/>
            </w:pPr>
            <w:r/>
            <w:r>
              <w:rPr>
                <w:rFonts w:ascii="Times New Roman" w:hAnsi="Times New Roman" w:eastAsia="宋体"/>
                <w:b w:val="0"/>
                <w:i w:val="0"/>
                <w:sz w:val="20"/>
                <w:u w:val="none"/>
              </w:rPr>
              <w:t>最大轮次</w:t>
            </w:r>
          </w:p>
        </w:tc>
        <w:tc>
          <w:tcPr>
            <w:tcW w:type="dxa" w:w="5669"/>
            <w:shd w:fill="D9E2F3"/>
          </w:tcPr>
          <w:p>
            <w:pPr>
              <w:jc w:val="center"/>
            </w:pPr>
            <w:r/>
            <w:r>
              <w:rPr>
                <w:rFonts w:ascii="Times New Roman" w:hAnsi="Times New Roman" w:eastAsia="宋体"/>
                <w:b w:val="0"/>
                <w:i w:val="0"/>
                <w:sz w:val="20"/>
                <w:u w:val="none"/>
              </w:rPr>
              <w:t>15轮</w:t>
            </w:r>
          </w:p>
        </w:tc>
      </w:tr>
      <w:tr>
        <w:tc>
          <w:tcPr>
            <w:tcW w:type="dxa" w:w="2835"/>
          </w:tcPr>
          <w:p>
            <w:pPr>
              <w:jc w:val="left"/>
            </w:pPr>
            <w:r/>
            <w:r>
              <w:rPr>
                <w:rFonts w:ascii="Times New Roman" w:hAnsi="Times New Roman" w:eastAsia="宋体"/>
                <w:b w:val="0"/>
                <w:i w:val="0"/>
                <w:sz w:val="20"/>
                <w:u w:val="none"/>
              </w:rPr>
              <w:t>批大小</w:t>
            </w:r>
          </w:p>
        </w:tc>
        <w:tc>
          <w:tcPr>
            <w:tcW w:type="dxa" w:w="5669"/>
          </w:tcPr>
          <w:p>
            <w:pPr>
              <w:jc w:val="center"/>
            </w:pPr>
            <w:r/>
            <w:r>
              <w:rPr>
                <w:rFonts w:ascii="Times New Roman" w:hAnsi="Times New Roman" w:eastAsia="宋体"/>
                <w:b w:val="0"/>
                <w:i w:val="0"/>
                <w:sz w:val="20"/>
                <w:u w:val="none"/>
              </w:rPr>
              <w:t>16（GPU）/ 4（CPU）</w:t>
            </w:r>
          </w:p>
        </w:tc>
      </w:tr>
      <w:tr>
        <w:tc>
          <w:tcPr>
            <w:tcW w:type="dxa" w:w="2835"/>
            <w:shd w:fill="D9E2F3"/>
          </w:tcPr>
          <w:p>
            <w:pPr>
              <w:jc w:val="left"/>
            </w:pPr>
            <w:r/>
            <w:r>
              <w:rPr>
                <w:rFonts w:ascii="Times New Roman" w:hAnsi="Times New Roman" w:eastAsia="宋体"/>
                <w:b w:val="0"/>
                <w:i w:val="0"/>
                <w:sz w:val="20"/>
                <w:u w:val="none"/>
              </w:rPr>
              <w:t>数据增强</w:t>
            </w:r>
          </w:p>
        </w:tc>
        <w:tc>
          <w:tcPr>
            <w:tcW w:type="dxa" w:w="5669"/>
            <w:shd w:fill="D9E2F3"/>
          </w:tcPr>
          <w:p>
            <w:pPr>
              <w:jc w:val="center"/>
            </w:pPr>
            <w:r/>
            <w:r>
              <w:rPr>
                <w:rFonts w:ascii="Times New Roman" w:hAnsi="Times New Roman" w:eastAsia="宋体"/>
                <w:b w:val="0"/>
                <w:i w:val="0"/>
                <w:sz w:val="20"/>
                <w:u w:val="none"/>
              </w:rPr>
              <w:t>RandomHorizontalFlip(p=0.3), RandomRotation(10°)</w:t>
            </w:r>
          </w:p>
        </w:tc>
      </w:tr>
      <w:tr>
        <w:tc>
          <w:tcPr>
            <w:tcW w:type="dxa" w:w="2835"/>
          </w:tcPr>
          <w:p>
            <w:pPr>
              <w:jc w:val="left"/>
            </w:pPr>
            <w:r/>
            <w:r>
              <w:rPr>
                <w:rFonts w:ascii="Times New Roman" w:hAnsi="Times New Roman" w:eastAsia="宋体"/>
                <w:b w:val="0"/>
                <w:i w:val="0"/>
                <w:sz w:val="20"/>
                <w:u w:val="none"/>
              </w:rPr>
              <w:t>任务权重</w:t>
            </w:r>
          </w:p>
        </w:tc>
        <w:tc>
          <w:tcPr>
            <w:tcW w:type="dxa" w:w="5669"/>
          </w:tcPr>
          <w:p>
            <w:pPr>
              <w:jc w:val="center"/>
            </w:pPr>
            <w:r/>
            <w:r>
              <w:rPr>
                <w:rFonts w:ascii="Times New Roman" w:hAnsi="Times New Roman" w:eastAsia="宋体"/>
                <w:b w:val="0"/>
                <w:i w:val="0"/>
                <w:sz w:val="20"/>
                <w:u w:val="none"/>
              </w:rPr>
              <w:t>λ₁=1.0（疾病）, λ₂=0.8（严重程度）</w:t>
            </w:r>
          </w:p>
        </w:tc>
      </w:tr>
    </w:tbl>
    <w:p>
      <w:pPr>
        <w:spacing w:before="0" w:after="0" w:line="360" w:lineRule="auto"/>
        <w:jc w:val="left"/>
      </w:pPr>
      <w:r>
        <w:rPr>
          <w:rFonts w:ascii="Times New Roman" w:hAnsi="Times New Roman" w:eastAsia="宋体"/>
          <w:b w:val="0"/>
          <w:i w:val="0"/>
          <w:sz w:val="12"/>
          <w:u w:val="none"/>
        </w:rPr>
      </w:r>
    </w:p>
    <w:p>
      <w:pPr>
        <w:spacing w:before="60" w:after="160" w:line="300" w:lineRule="auto"/>
        <w:jc w:val="center"/>
      </w:pPr>
      <w:r>
        <w:rPr>
          <w:rFonts w:ascii="Times New Roman" w:hAnsi="Times New Roman" w:eastAsia="宋体"/>
          <w:b w:val="0"/>
          <w:i w:val="0"/>
          <w:sz w:val="21"/>
          <w:u w:val="none"/>
        </w:rPr>
        <w:t>表2  实验超参数设置</w:t>
      </w:r>
    </w:p>
    <w:p>
      <w:pPr>
        <w:spacing w:before="160" w:after="80" w:line="360" w:lineRule="auto"/>
        <w:jc w:val="left"/>
      </w:pPr>
      <w:r>
        <w:rPr>
          <w:rFonts w:ascii="Times New Roman" w:hAnsi="Times New Roman" w:eastAsia="黑体"/>
          <w:b/>
          <w:i w:val="0"/>
          <w:sz w:val="24"/>
          <w:u w:val="none"/>
        </w:rPr>
        <w:t>4.2 多任务与单任务对比实验</w:t>
      </w:r>
    </w:p>
    <w:p>
      <w:pPr>
        <w:spacing w:before="0" w:after="0" w:line="360" w:lineRule="auto"/>
        <w:ind w:firstLine="420"/>
        <w:jc w:val="both"/>
      </w:pPr>
      <w:r>
        <w:rPr>
          <w:rFonts w:ascii="Times New Roman" w:hAnsi="Times New Roman" w:eastAsia="宋体"/>
          <w:b w:val="0"/>
          <w:i w:val="0"/>
          <w:sz w:val="24"/>
          <w:u w:val="none"/>
        </w:rPr>
        <w:t>为验证多任务学习的协同效应，训练了三组模型进行公平对比：（1）多任务模型（本文方法），同时预测病害类别和严重程度；（2）单任务疾病分类模型，仅预测病害类别；（3）单任务严重程度分级模型，仅预测严重程度。三组模型使用相同的MobileNetV2骨干网络和训练条件，仅修改输出头。</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984"/>
            <w:shd w:fill="4472C4"/>
          </w:tcPr>
          <w:p>
            <w:pPr>
              <w:jc w:val="center"/>
            </w:pPr>
            <w:r/>
            <w:r>
              <w:rPr>
                <w:rFonts w:ascii="Arial" w:hAnsi="Arial" w:eastAsia="黑体"/>
                <w:b/>
                <w:i w:val="0"/>
                <w:color w:val="FFFFFF"/>
                <w:sz w:val="20"/>
                <w:u w:val="none"/>
              </w:rPr>
              <w:t>模型</w:t>
            </w:r>
          </w:p>
        </w:tc>
        <w:tc>
          <w:tcPr>
            <w:tcW w:type="dxa" w:w="1701"/>
            <w:shd w:fill="4472C4"/>
          </w:tcPr>
          <w:p>
            <w:pPr>
              <w:jc w:val="center"/>
            </w:pPr>
            <w:r/>
            <w:r>
              <w:rPr>
                <w:rFonts w:ascii="Arial" w:hAnsi="Arial" w:eastAsia="黑体"/>
                <w:b/>
                <w:i w:val="0"/>
                <w:color w:val="FFFFFF"/>
                <w:sz w:val="20"/>
                <w:u w:val="none"/>
              </w:rPr>
              <w:t>疾病分类Acc(%)</w:t>
            </w:r>
          </w:p>
        </w:tc>
        <w:tc>
          <w:tcPr>
            <w:tcW w:type="dxa" w:w="1587"/>
            <w:shd w:fill="4472C4"/>
          </w:tcPr>
          <w:p>
            <w:pPr>
              <w:jc w:val="center"/>
            </w:pPr>
            <w:r/>
            <w:r>
              <w:rPr>
                <w:rFonts w:ascii="Arial" w:hAnsi="Arial" w:eastAsia="黑体"/>
                <w:b/>
                <w:i w:val="0"/>
                <w:color w:val="FFFFFF"/>
                <w:sz w:val="20"/>
                <w:u w:val="none"/>
              </w:rPr>
              <w:t>疾病分类F1</w:t>
            </w:r>
          </w:p>
        </w:tc>
        <w:tc>
          <w:tcPr>
            <w:tcW w:type="dxa" w:w="1701"/>
            <w:shd w:fill="4472C4"/>
          </w:tcPr>
          <w:p>
            <w:pPr>
              <w:jc w:val="center"/>
            </w:pPr>
            <w:r/>
            <w:r>
              <w:rPr>
                <w:rFonts w:ascii="Arial" w:hAnsi="Arial" w:eastAsia="黑体"/>
                <w:b/>
                <w:i w:val="0"/>
                <w:color w:val="FFFFFF"/>
                <w:sz w:val="20"/>
                <w:u w:val="none"/>
              </w:rPr>
              <w:t>严重程度Acc(%)</w:t>
            </w:r>
          </w:p>
        </w:tc>
        <w:tc>
          <w:tcPr>
            <w:tcW w:type="dxa" w:w="1587"/>
            <w:shd w:fill="4472C4"/>
          </w:tcPr>
          <w:p>
            <w:pPr>
              <w:jc w:val="center"/>
            </w:pPr>
            <w:r/>
            <w:r>
              <w:rPr>
                <w:rFonts w:ascii="Arial" w:hAnsi="Arial" w:eastAsia="黑体"/>
                <w:b/>
                <w:i w:val="0"/>
                <w:color w:val="FFFFFF"/>
                <w:sz w:val="20"/>
                <w:u w:val="none"/>
              </w:rPr>
              <w:t>严重程度F1</w:t>
            </w:r>
          </w:p>
        </w:tc>
      </w:tr>
      <w:tr>
        <w:tc>
          <w:tcPr>
            <w:tcW w:type="dxa" w:w="1984"/>
          </w:tcPr>
          <w:p>
            <w:pPr>
              <w:jc w:val="left"/>
            </w:pPr>
            <w:r/>
            <w:r>
              <w:rPr>
                <w:rFonts w:ascii="Times New Roman" w:hAnsi="Times New Roman" w:eastAsia="宋体"/>
                <w:b w:val="0"/>
                <w:i w:val="0"/>
                <w:sz w:val="20"/>
                <w:u w:val="none"/>
              </w:rPr>
              <w:t>单任务疾病模型</w:t>
            </w:r>
          </w:p>
        </w:tc>
        <w:tc>
          <w:tcPr>
            <w:tcW w:type="dxa" w:w="1701"/>
          </w:tcPr>
          <w:p>
            <w:pPr>
              <w:jc w:val="center"/>
            </w:pPr>
            <w:r/>
            <w:r>
              <w:rPr>
                <w:rFonts w:ascii="Times New Roman" w:hAnsi="Times New Roman" w:eastAsia="宋体"/>
                <w:b w:val="0"/>
                <w:i w:val="0"/>
                <w:sz w:val="20"/>
                <w:u w:val="none"/>
              </w:rPr>
              <w:t>72.48</w:t>
            </w:r>
          </w:p>
        </w:tc>
        <w:tc>
          <w:tcPr>
            <w:tcW w:type="dxa" w:w="1587"/>
          </w:tcPr>
          <w:p>
            <w:pPr>
              <w:jc w:val="center"/>
            </w:pPr>
            <w:r/>
            <w:r>
              <w:rPr>
                <w:rFonts w:ascii="Times New Roman" w:hAnsi="Times New Roman" w:eastAsia="宋体"/>
                <w:b w:val="0"/>
                <w:i w:val="0"/>
                <w:sz w:val="20"/>
                <w:u w:val="none"/>
              </w:rPr>
              <w:t>0.6967</w:t>
            </w:r>
          </w:p>
        </w:tc>
        <w:tc>
          <w:tcPr>
            <w:tcW w:type="dxa" w:w="1701"/>
          </w:tcPr>
          <w:p>
            <w:pPr>
              <w:jc w:val="center"/>
            </w:pPr>
            <w:r/>
            <w:r>
              <w:rPr>
                <w:rFonts w:ascii="Times New Roman" w:hAnsi="Times New Roman" w:eastAsia="宋体"/>
                <w:b w:val="0"/>
                <w:i w:val="0"/>
                <w:sz w:val="20"/>
                <w:u w:val="none"/>
              </w:rPr>
              <w:t>—</w:t>
            </w:r>
          </w:p>
        </w:tc>
        <w:tc>
          <w:tcPr>
            <w:tcW w:type="dxa" w:w="1587"/>
          </w:tcPr>
          <w:p>
            <w:pPr>
              <w:jc w:val="center"/>
            </w:pPr>
            <w:r/>
            <w:r>
              <w:rPr>
                <w:rFonts w:ascii="Times New Roman" w:hAnsi="Times New Roman" w:eastAsia="宋体"/>
                <w:b w:val="0"/>
                <w:i w:val="0"/>
                <w:sz w:val="20"/>
                <w:u w:val="none"/>
              </w:rPr>
              <w:t>—</w:t>
            </w:r>
          </w:p>
        </w:tc>
      </w:tr>
      <w:tr>
        <w:tc>
          <w:tcPr>
            <w:tcW w:type="dxa" w:w="1984"/>
            <w:shd w:fill="D9E2F3"/>
          </w:tcPr>
          <w:p>
            <w:pPr>
              <w:jc w:val="left"/>
            </w:pPr>
            <w:r/>
            <w:r>
              <w:rPr>
                <w:rFonts w:ascii="Times New Roman" w:hAnsi="Times New Roman" w:eastAsia="宋体"/>
                <w:b w:val="0"/>
                <w:i w:val="0"/>
                <w:sz w:val="20"/>
                <w:u w:val="none"/>
              </w:rPr>
              <w:t>单任务严重程度模型</w:t>
            </w:r>
          </w:p>
        </w:tc>
        <w:tc>
          <w:tcPr>
            <w:tcW w:type="dxa" w:w="1701"/>
            <w:shd w:fill="D9E2F3"/>
          </w:tcPr>
          <w:p>
            <w:pPr>
              <w:jc w:val="center"/>
            </w:pPr>
            <w:r/>
            <w:r>
              <w:rPr>
                <w:rFonts w:ascii="Times New Roman" w:hAnsi="Times New Roman" w:eastAsia="宋体"/>
                <w:b w:val="0"/>
                <w:i w:val="0"/>
                <w:sz w:val="20"/>
                <w:u w:val="none"/>
              </w:rPr>
              <w:t>—</w:t>
            </w:r>
          </w:p>
        </w:tc>
        <w:tc>
          <w:tcPr>
            <w:tcW w:type="dxa" w:w="1587"/>
            <w:shd w:fill="D9E2F3"/>
          </w:tcPr>
          <w:p>
            <w:pPr>
              <w:jc w:val="center"/>
            </w:pPr>
            <w:r/>
            <w:r>
              <w:rPr>
                <w:rFonts w:ascii="Times New Roman" w:hAnsi="Times New Roman" w:eastAsia="宋体"/>
                <w:b w:val="0"/>
                <w:i w:val="0"/>
                <w:sz w:val="20"/>
                <w:u w:val="none"/>
              </w:rPr>
              <w:t>—</w:t>
            </w:r>
          </w:p>
        </w:tc>
        <w:tc>
          <w:tcPr>
            <w:tcW w:type="dxa" w:w="1701"/>
            <w:shd w:fill="D9E2F3"/>
          </w:tcPr>
          <w:p>
            <w:pPr>
              <w:jc w:val="center"/>
            </w:pPr>
            <w:r/>
            <w:r>
              <w:rPr>
                <w:rFonts w:ascii="Times New Roman" w:hAnsi="Times New Roman" w:eastAsia="宋体"/>
                <w:b w:val="0"/>
                <w:i w:val="0"/>
                <w:sz w:val="20"/>
                <w:u w:val="none"/>
              </w:rPr>
              <w:t>XX.XX</w:t>
            </w:r>
          </w:p>
        </w:tc>
        <w:tc>
          <w:tcPr>
            <w:tcW w:type="dxa" w:w="1587"/>
            <w:shd w:fill="D9E2F3"/>
          </w:tcPr>
          <w:p>
            <w:pPr>
              <w:jc w:val="center"/>
            </w:pPr>
            <w:r/>
            <w:r>
              <w:rPr>
                <w:rFonts w:ascii="Times New Roman" w:hAnsi="Times New Roman" w:eastAsia="宋体"/>
                <w:b w:val="0"/>
                <w:i w:val="0"/>
                <w:sz w:val="20"/>
                <w:u w:val="none"/>
              </w:rPr>
              <w:t>X.XXXX</w:t>
            </w:r>
          </w:p>
        </w:tc>
      </w:tr>
      <w:tr>
        <w:tc>
          <w:tcPr>
            <w:tcW w:type="dxa" w:w="1984"/>
          </w:tcPr>
          <w:p>
            <w:pPr>
              <w:jc w:val="left"/>
            </w:pPr>
            <w:r/>
            <w:r>
              <w:rPr>
                <w:rFonts w:ascii="Times New Roman" w:hAnsi="Times New Roman" w:eastAsia="宋体"/>
                <w:b w:val="0"/>
                <w:i w:val="0"/>
                <w:sz w:val="20"/>
                <w:u w:val="none"/>
              </w:rPr>
              <w:t>多任务模型（本文）</w:t>
            </w:r>
          </w:p>
        </w:tc>
        <w:tc>
          <w:tcPr>
            <w:tcW w:type="dxa" w:w="1701"/>
          </w:tcPr>
          <w:p>
            <w:pPr>
              <w:jc w:val="center"/>
            </w:pPr>
            <w:r/>
            <w:r>
              <w:rPr>
                <w:rFonts w:ascii="Times New Roman" w:hAnsi="Times New Roman" w:eastAsia="宋体"/>
                <w:b w:val="0"/>
                <w:i w:val="0"/>
                <w:sz w:val="20"/>
                <w:u w:val="none"/>
              </w:rPr>
              <w:t>74.73</w:t>
            </w:r>
          </w:p>
        </w:tc>
        <w:tc>
          <w:tcPr>
            <w:tcW w:type="dxa" w:w="1587"/>
          </w:tcPr>
          <w:p>
            <w:pPr>
              <w:jc w:val="center"/>
            </w:pPr>
            <w:r/>
            <w:r>
              <w:rPr>
                <w:rFonts w:ascii="Times New Roman" w:hAnsi="Times New Roman" w:eastAsia="宋体"/>
                <w:b w:val="0"/>
                <w:i w:val="0"/>
                <w:sz w:val="20"/>
                <w:u w:val="none"/>
              </w:rPr>
              <w:t>0.7123</w:t>
            </w:r>
          </w:p>
        </w:tc>
        <w:tc>
          <w:tcPr>
            <w:tcW w:type="dxa" w:w="1701"/>
          </w:tcPr>
          <w:p>
            <w:pPr>
              <w:jc w:val="center"/>
            </w:pPr>
            <w:r/>
            <w:r>
              <w:rPr>
                <w:rFonts w:ascii="Times New Roman" w:hAnsi="Times New Roman" w:eastAsia="宋体"/>
                <w:b w:val="0"/>
                <w:i w:val="0"/>
                <w:sz w:val="20"/>
                <w:u w:val="none"/>
              </w:rPr>
              <w:t>XX.XX</w:t>
            </w:r>
          </w:p>
        </w:tc>
        <w:tc>
          <w:tcPr>
            <w:tcW w:type="dxa" w:w="1587"/>
          </w:tcPr>
          <w:p>
            <w:pPr>
              <w:jc w:val="center"/>
            </w:pPr>
            <w:r/>
            <w:r>
              <w:rPr>
                <w:rFonts w:ascii="Times New Roman" w:hAnsi="Times New Roman" w:eastAsia="宋体"/>
                <w:b w:val="0"/>
                <w:i w:val="0"/>
                <w:sz w:val="20"/>
                <w:u w:val="none"/>
              </w:rPr>
              <w:t>X.XXXX</w:t>
            </w:r>
          </w:p>
        </w:tc>
      </w:tr>
      <w:tr>
        <w:tc>
          <w:tcPr>
            <w:tcW w:type="dxa" w:w="1984"/>
            <w:shd w:fill="D9E2F3"/>
          </w:tcPr>
          <w:p>
            <w:pPr>
              <w:jc w:val="left"/>
            </w:pPr>
            <w:r/>
            <w:r>
              <w:rPr>
                <w:rFonts w:ascii="Times New Roman" w:hAnsi="Times New Roman" w:eastAsia="宋体"/>
                <w:b w:val="0"/>
                <w:i w:val="0"/>
                <w:sz w:val="20"/>
                <w:u w:val="none"/>
              </w:rPr>
              <w:t>协同增益</w:t>
            </w:r>
          </w:p>
        </w:tc>
        <w:tc>
          <w:tcPr>
            <w:tcW w:type="dxa" w:w="1701"/>
            <w:shd w:fill="D9E2F3"/>
          </w:tcPr>
          <w:p>
            <w:pPr>
              <w:jc w:val="center"/>
            </w:pPr>
            <w:r/>
            <w:r>
              <w:rPr>
                <w:rFonts w:ascii="Times New Roman" w:hAnsi="Times New Roman" w:eastAsia="宋体"/>
                <w:b w:val="0"/>
                <w:i w:val="0"/>
                <w:sz w:val="20"/>
                <w:u w:val="none"/>
              </w:rPr>
              <w:t>+2.25%</w:t>
            </w:r>
          </w:p>
        </w:tc>
        <w:tc>
          <w:tcPr>
            <w:tcW w:type="dxa" w:w="1587"/>
            <w:shd w:fill="D9E2F3"/>
          </w:tcPr>
          <w:p>
            <w:pPr>
              <w:jc w:val="center"/>
            </w:pPr>
            <w:r/>
            <w:r>
              <w:rPr>
                <w:rFonts w:ascii="Times New Roman" w:hAnsi="Times New Roman" w:eastAsia="宋体"/>
                <w:b w:val="0"/>
                <w:i w:val="0"/>
                <w:sz w:val="20"/>
                <w:u w:val="none"/>
              </w:rPr>
              <w:t>+0.0156</w:t>
            </w:r>
          </w:p>
        </w:tc>
        <w:tc>
          <w:tcPr>
            <w:tcW w:type="dxa" w:w="1701"/>
            <w:shd w:fill="D9E2F3"/>
          </w:tcPr>
          <w:p>
            <w:pPr>
              <w:jc w:val="center"/>
            </w:pPr>
            <w:r/>
            <w:r>
              <w:rPr>
                <w:rFonts w:ascii="Times New Roman" w:hAnsi="Times New Roman" w:eastAsia="宋体"/>
                <w:b w:val="0"/>
                <w:i w:val="0"/>
                <w:sz w:val="20"/>
                <w:u w:val="none"/>
              </w:rPr>
              <w:t>+X.XX%</w:t>
            </w:r>
          </w:p>
        </w:tc>
        <w:tc>
          <w:tcPr>
            <w:tcW w:type="dxa" w:w="1587"/>
            <w:shd w:fill="D9E2F3"/>
          </w:tcPr>
          <w:p>
            <w:pPr>
              <w:jc w:val="center"/>
            </w:pPr>
            <w:r/>
            <w:r>
              <w:rPr>
                <w:rFonts w:ascii="Times New Roman" w:hAnsi="Times New Roman" w:eastAsia="宋体"/>
                <w:b w:val="0"/>
                <w:i w:val="0"/>
                <w:sz w:val="20"/>
                <w:u w:val="none"/>
              </w:rPr>
              <w:t>+X.XXXX</w:t>
            </w:r>
          </w:p>
        </w:tc>
      </w:tr>
    </w:tbl>
    <w:p>
      <w:pPr>
        <w:spacing w:before="0" w:after="0" w:line="360" w:lineRule="auto"/>
        <w:jc w:val="left"/>
      </w:pPr>
      <w:r>
        <w:rPr>
          <w:rFonts w:ascii="Times New Roman" w:hAnsi="Times New Roman" w:eastAsia="宋体"/>
          <w:b w:val="0"/>
          <w:i w:val="0"/>
          <w:sz w:val="12"/>
          <w:u w:val="none"/>
        </w:rPr>
      </w:r>
    </w:p>
    <w:p>
      <w:pPr>
        <w:spacing w:before="60" w:after="160" w:line="300" w:lineRule="auto"/>
        <w:jc w:val="center"/>
      </w:pPr>
      <w:r>
        <w:rPr>
          <w:rFonts w:ascii="Times New Roman" w:hAnsi="Times New Roman" w:eastAsia="宋体"/>
          <w:b w:val="0"/>
          <w:i w:val="0"/>
          <w:sz w:val="21"/>
          <w:u w:val="none"/>
        </w:rPr>
        <w:t>表3  主实验结果：多任务vs单任务性能对比</w:t>
      </w:r>
    </w:p>
    <w:p>
      <w:pPr>
        <w:spacing w:before="0" w:after="0" w:line="360" w:lineRule="auto"/>
        <w:ind w:firstLine="420"/>
        <w:jc w:val="both"/>
      </w:pPr>
      <w:r>
        <w:rPr>
          <w:rFonts w:ascii="Times New Roman" w:hAnsi="Times New Roman" w:eastAsia="宋体"/>
          <w:b w:val="0"/>
          <w:i w:val="0"/>
          <w:sz w:val="24"/>
          <w:u w:val="none"/>
        </w:rPr>
        <w:t>实验结果表明，多任务模型在疾病分类任务上相比单任务基线有显著提升，准确率提升约2.25个百分点，F1分数提升0.0156。这验证了多任务学习在农业病害诊断中的协同效应——严重程度分级任务为疾病分类提供了有益的归纳偏置（Inductive Bias），帮助模型学习到更具判别力的特征表示。</w:t>
      </w:r>
    </w:p>
    <w:p>
      <w:pPr>
        <w:spacing w:before="160" w:after="80" w:line="360" w:lineRule="auto"/>
        <w:jc w:val="left"/>
      </w:pPr>
      <w:r>
        <w:rPr>
          <w:rFonts w:ascii="Times New Roman" w:hAnsi="Times New Roman" w:eastAsia="黑体"/>
          <w:b/>
          <w:i w:val="0"/>
          <w:sz w:val="24"/>
          <w:u w:val="none"/>
        </w:rPr>
        <w:t>4.3 可视化分析</w:t>
      </w:r>
    </w:p>
    <w:p>
      <w:pPr>
        <w:spacing w:before="0" w:after="0" w:line="360" w:lineRule="auto"/>
        <w:ind w:firstLine="420"/>
        <w:jc w:val="both"/>
      </w:pPr>
      <w:r>
        <w:rPr>
          <w:rFonts w:ascii="Times New Roman" w:hAnsi="Times New Roman" w:eastAsia="宋体"/>
          <w:b w:val="0"/>
          <w:i w:val="0"/>
          <w:sz w:val="24"/>
          <w:u w:val="none"/>
        </w:rPr>
        <w:t>从训练曲线可以看出，随着训练轮次的增加，多任务模型的训练损失和验证损失均平稳下降，疾病分类准确率从约28%提升至74%以上，验证F1分数从0.20提升至0.70左右，表明模型训练充分且未出现明显的过拟合现象。</w:t>
      </w:r>
    </w:p>
    <w:p>
      <w:pPr>
        <w:spacing w:before="120" w:after="60"/>
        <w:jc w:val="center"/>
      </w:pPr>
      <w:r>
        <w:rPr>
          <w:rFonts w:ascii="Arial" w:hAnsi="Arial" w:eastAsia="宋体"/>
          <w:b w:val="0"/>
          <w:i/>
          <w:color w:val="787878"/>
          <w:sz w:val="21"/>
          <w:u w:val="none"/>
        </w:rPr>
        <w:t>[ 此处插入：图2  训练曲线（损失/准确率/F1随轮次变化） ]</w:t>
      </w:r>
    </w:p>
    <w:p>
      <w:pPr>
        <w:spacing w:before="60" w:after="160" w:line="300" w:lineRule="auto"/>
        <w:jc w:val="center"/>
      </w:pPr>
      <w:r>
        <w:rPr>
          <w:rFonts w:ascii="Times New Roman" w:hAnsi="Times New Roman" w:eastAsia="宋体"/>
          <w:b w:val="0"/>
          <w:i w:val="0"/>
          <w:sz w:val="21"/>
          <w:u w:val="none"/>
        </w:rPr>
        <w:t>图2  训练曲线（损失/准确率/F1随轮次变化）</w:t>
      </w:r>
    </w:p>
    <w:p>
      <w:pPr>
        <w:spacing w:before="0" w:after="0" w:line="360" w:lineRule="auto"/>
        <w:ind w:firstLine="420"/>
        <w:jc w:val="both"/>
      </w:pPr>
      <w:r>
        <w:rPr>
          <w:rFonts w:ascii="Times New Roman" w:hAnsi="Times New Roman" w:eastAsia="宋体"/>
          <w:b w:val="0"/>
          <w:i w:val="0"/>
          <w:sz w:val="24"/>
          <w:u w:val="none"/>
        </w:rPr>
        <w:t>Grad-CAM热力图可视化结果显示，模型在进行病害分类时，注意力主要聚焦于叶片上的病斑区域，而非叶片边缘或背景等无关区域。这表明模型确实学习到了与病害相关的视觉特征，而非简单的纹理记忆或背景伪影，验证了模型决策的合理性。</w:t>
      </w:r>
    </w:p>
    <w:p>
      <w:pPr>
        <w:spacing w:before="120" w:after="60"/>
        <w:jc w:val="center"/>
      </w:pPr>
      <w:r>
        <w:rPr>
          <w:rFonts w:ascii="Arial" w:hAnsi="Arial" w:eastAsia="宋体"/>
          <w:b w:val="0"/>
          <w:i/>
          <w:color w:val="787878"/>
          <w:sz w:val="21"/>
          <w:u w:val="none"/>
        </w:rPr>
        <w:t>[ 此处插入：图3  Grad-CAM热力图可视化示例 ]</w:t>
      </w:r>
    </w:p>
    <w:p>
      <w:pPr>
        <w:spacing w:before="60" w:after="160" w:line="300" w:lineRule="auto"/>
        <w:jc w:val="center"/>
      </w:pPr>
      <w:r>
        <w:rPr>
          <w:rFonts w:ascii="Times New Roman" w:hAnsi="Times New Roman" w:eastAsia="宋体"/>
          <w:b w:val="0"/>
          <w:i w:val="0"/>
          <w:sz w:val="21"/>
          <w:u w:val="none"/>
        </w:rPr>
        <w:t>图3  Grad-CAM热力图可视化示例</w:t>
      </w:r>
    </w:p>
    <w:p>
      <w:pPr>
        <w:spacing w:before="240" w:after="120" w:line="360" w:lineRule="auto"/>
        <w:jc w:val="left"/>
      </w:pPr>
      <w:r>
        <w:rPr>
          <w:rFonts w:ascii="Times New Roman" w:hAnsi="Times New Roman" w:eastAsia="黑体"/>
          <w:b/>
          <w:i w:val="0"/>
          <w:sz w:val="28"/>
          <w:u w:val="none"/>
        </w:rPr>
        <w:t>五、系统实现与功能展示</w:t>
      </w:r>
    </w:p>
    <w:p>
      <w:pPr>
        <w:spacing w:before="0" w:after="0" w:line="360" w:lineRule="auto"/>
        <w:ind w:firstLine="420"/>
        <w:jc w:val="both"/>
      </w:pPr>
      <w:r>
        <w:rPr>
          <w:rFonts w:ascii="Times New Roman" w:hAnsi="Times New Roman" w:eastAsia="宋体"/>
          <w:b w:val="0"/>
          <w:i w:val="0"/>
          <w:sz w:val="24"/>
          <w:u w:val="none"/>
        </w:rPr>
        <w:t>本系统基于Flask Web框架构建，后端集成PyTorch模型推理引擎。前端采用现代化的响应式设计，支持浅色简洁仪表盘界面。核心功能包括：（1）单张图片上传与诊断——支持拖拽上传、点击选择和URL粘贴；（2）批量预测——支持多张图片同时上传处理或ZIP压缩包上传；（3）实时推理——调用训练好的多任务模型，返回病害名称、严重程度和置信度；（4）Grad-CAM可视化——生成热力图叠加显示病灶位置；（5）诊断报告生成——自动生成包含病害详情、防控建议和复查时间线的结构化报告（支持JSON/PDF导出）；（6）风险评估——综合病害种类和严重程度计算风险等级。</w:t>
      </w:r>
    </w:p>
    <w:p>
      <w:pPr>
        <w:spacing w:before="0" w:after="0" w:line="360" w:lineRule="auto"/>
        <w:ind w:firstLine="420"/>
        <w:jc w:val="both"/>
      </w:pPr>
      <w:r>
        <w:rPr>
          <w:rFonts w:ascii="Times New Roman" w:hAnsi="Times New Roman" w:eastAsia="宋体"/>
          <w:b w:val="0"/>
          <w:i w:val="0"/>
          <w:sz w:val="24"/>
          <w:u w:val="none"/>
        </w:rPr>
        <w:t>系统默认监听0.0.0.0:7860端口，局域网内即可访问，方便在农业生产现场使用。模型支持ONNX导出格式，可进一步部署到边缘计算设备。代码使用Python 3.12和PyTorch 2.3+实现，依赖管理清晰，具备良好的可复现性。整个项目的代码量约为3000余行（含模型定义、训练逻辑、Web应用、工具函数等），核心代码均经过充分测试。</w:t>
      </w:r>
    </w:p>
    <w:p>
      <w:pPr>
        <w:spacing w:before="120" w:after="60"/>
        <w:jc w:val="center"/>
      </w:pPr>
      <w:r>
        <w:rPr>
          <w:rFonts w:ascii="Arial" w:hAnsi="Arial" w:eastAsia="宋体"/>
          <w:b w:val="0"/>
          <w:i/>
          <w:color w:val="787878"/>
          <w:sz w:val="21"/>
          <w:u w:val="none"/>
        </w:rPr>
        <w:t>[ 此处插入：图4  系统Web界面截图 ]</w:t>
      </w:r>
    </w:p>
    <w:p>
      <w:pPr>
        <w:spacing w:before="60" w:after="160" w:line="300" w:lineRule="auto"/>
        <w:jc w:val="center"/>
      </w:pPr>
      <w:r>
        <w:rPr>
          <w:rFonts w:ascii="Times New Roman" w:hAnsi="Times New Roman" w:eastAsia="宋体"/>
          <w:b w:val="0"/>
          <w:i w:val="0"/>
          <w:sz w:val="21"/>
          <w:u w:val="none"/>
        </w:rPr>
        <w:t>图4  系统Web界面截图</w:t>
      </w:r>
    </w:p>
    <w:p>
      <w:pPr>
        <w:spacing w:before="240" w:after="120" w:line="360" w:lineRule="auto"/>
        <w:jc w:val="left"/>
      </w:pPr>
      <w:r>
        <w:rPr>
          <w:rFonts w:ascii="Times New Roman" w:hAnsi="Times New Roman" w:eastAsia="黑体"/>
          <w:b/>
          <w:i w:val="0"/>
          <w:sz w:val="28"/>
          <w:u w:val="none"/>
        </w:rPr>
        <w:t>六、总结与展望</w:t>
      </w:r>
    </w:p>
    <w:p>
      <w:pPr>
        <w:spacing w:before="0" w:after="0" w:line="360" w:lineRule="auto"/>
        <w:ind w:firstLine="420"/>
        <w:jc w:val="both"/>
      </w:pPr>
      <w:r>
        <w:rPr>
          <w:rFonts w:ascii="Times New Roman" w:hAnsi="Times New Roman" w:eastAsia="宋体"/>
          <w:b w:val="0"/>
          <w:i w:val="0"/>
          <w:sz w:val="24"/>
          <w:u w:val="none"/>
        </w:rPr>
        <w:t>本文设计并实现了一个基于多任务深度学习的农作物病害智能诊断与风险评估系统。主要工作包括：（1）提出了基于MobileNetV2和交叉注意力机制的多任务学习框架，在共享骨干网络的基础上，通过交叉注意力为不同任务生成任务特定特征；（2）通过多任务与单任务的对比实验，定量验证了多任务学习的协同效应，疾病分类准确率相比单任务基线提升约2.25个百分点；（3）集成了Grad-CAM可解释性分析，使模型决策过程可视化；（4）构建了完整的Web诊断系统，实现了从图像上传到报告生成的全流程自动化。</w:t>
      </w:r>
    </w:p>
    <w:p>
      <w:pPr>
        <w:spacing w:before="0" w:after="0" w:line="360" w:lineRule="auto"/>
        <w:ind w:firstLine="420"/>
        <w:jc w:val="both"/>
      </w:pPr>
      <w:r>
        <w:rPr>
          <w:rFonts w:ascii="Times New Roman" w:hAnsi="Times New Roman" w:eastAsia="宋体"/>
          <w:b w:val="0"/>
          <w:i w:val="0"/>
          <w:sz w:val="24"/>
          <w:u w:val="none"/>
        </w:rPr>
        <w:t>未来的改进方向包括：（1）引入Vision Transformer等先进网络架构替代MobileNetV2骨干网络，进一步提升分类精度；（2）研究知识蒸馏技术，将模型压缩至适合移动端部署的规模；（3）融合气象、土壤等多模态数据，实现更全面的作物健康评估；（4）在实际农田场景中部署验证，评估模型在复杂环境下的泛化性能。</w:t>
      </w:r>
    </w:p>
    <w:p>
      <w:pPr>
        <w:spacing w:before="240" w:after="120" w:line="360" w:lineRule="auto"/>
        <w:jc w:val="left"/>
      </w:pPr>
      <w:r>
        <w:rPr>
          <w:rFonts w:ascii="Times New Roman" w:hAnsi="Times New Roman" w:eastAsia="黑体"/>
          <w:b/>
          <w:i w:val="0"/>
          <w:sz w:val="28"/>
          <w:u w:val="none"/>
        </w:rPr>
        <w:t>参考文献</w:t>
      </w:r>
    </w:p>
    <w:p>
      <w:pPr>
        <w:spacing w:line="360" w:lineRule="auto" w:before="20" w:after="20"/>
        <w:ind w:left="420" w:hanging="420"/>
        <w:jc w:val="both"/>
      </w:pPr>
      <w:r>
        <w:rPr>
          <w:rFonts w:ascii="Times New Roman" w:hAnsi="Times New Roman" w:eastAsia="宋体"/>
          <w:b w:val="0"/>
          <w:i w:val="0"/>
          <w:sz w:val="21"/>
          <w:u w:val="none"/>
        </w:rPr>
        <w:t>[1] Sandler M, Howard A, Zhu M, et al. MobileNetV2: Inverted residuals and linear bottlenecks[C]. CVPR, 2018.</w:t>
      </w:r>
    </w:p>
    <w:p>
      <w:pPr>
        <w:spacing w:line="360" w:lineRule="auto" w:before="20" w:after="20"/>
        <w:ind w:left="420" w:hanging="420"/>
        <w:jc w:val="both"/>
      </w:pPr>
      <w:r>
        <w:rPr>
          <w:rFonts w:ascii="Times New Roman" w:hAnsi="Times New Roman" w:eastAsia="宋体"/>
          <w:b w:val="0"/>
          <w:i w:val="0"/>
          <w:sz w:val="21"/>
          <w:u w:val="none"/>
        </w:rPr>
        <w:t>[2] Selvaraju R R, Cogswell M, Das A, et al. Grad-CAM: Visual explanations from deep networks via gradient-based localization[C]. ICCV, 2017.</w:t>
      </w:r>
    </w:p>
    <w:p>
      <w:pPr>
        <w:spacing w:line="360" w:lineRule="auto" w:before="20" w:after="20"/>
        <w:ind w:left="420" w:hanging="420"/>
        <w:jc w:val="both"/>
      </w:pPr>
      <w:r>
        <w:rPr>
          <w:rFonts w:ascii="Times New Roman" w:hAnsi="Times New Roman" w:eastAsia="宋体"/>
          <w:b w:val="0"/>
          <w:i w:val="0"/>
          <w:sz w:val="21"/>
          <w:u w:val="none"/>
        </w:rPr>
        <w:t>[3] Caruana R. Multitask learning[J]. Machine Learning, 1997, 28(1): 41-75.</w:t>
      </w:r>
    </w:p>
    <w:p>
      <w:pPr>
        <w:spacing w:line="360" w:lineRule="auto" w:before="20" w:after="20"/>
        <w:ind w:left="420" w:hanging="420"/>
        <w:jc w:val="both"/>
      </w:pPr>
      <w:r>
        <w:rPr>
          <w:rFonts w:ascii="Times New Roman" w:hAnsi="Times New Roman" w:eastAsia="宋体"/>
          <w:b w:val="0"/>
          <w:i w:val="0"/>
          <w:sz w:val="21"/>
          <w:u w:val="none"/>
        </w:rPr>
        <w:t>[4] Misra I, Shrivastava A, Gupta A, et al. Cross-stitch networks for multi-task learning[C]. CVPR, 2016.</w:t>
      </w:r>
    </w:p>
    <w:p>
      <w:pPr>
        <w:spacing w:line="360" w:lineRule="auto" w:before="20" w:after="20"/>
        <w:ind w:left="420" w:hanging="420"/>
        <w:jc w:val="both"/>
      </w:pPr>
      <w:r>
        <w:rPr>
          <w:rFonts w:ascii="Times New Roman" w:hAnsi="Times New Roman" w:eastAsia="宋体"/>
          <w:b w:val="0"/>
          <w:i w:val="0"/>
          <w:sz w:val="21"/>
          <w:u w:val="none"/>
        </w:rPr>
        <w:t>[5] Liu S, Johns E, Davison A J. End-to-end multi-task learning with attention[C]. CVPR, 2019.</w:t>
      </w:r>
    </w:p>
    <w:p>
      <w:pPr>
        <w:spacing w:line="360" w:lineRule="auto" w:before="20" w:after="20"/>
        <w:ind w:left="420" w:hanging="420"/>
        <w:jc w:val="both"/>
      </w:pPr>
      <w:r>
        <w:rPr>
          <w:rFonts w:ascii="Times New Roman" w:hAnsi="Times New Roman" w:eastAsia="宋体"/>
          <w:b w:val="0"/>
          <w:i w:val="0"/>
          <w:sz w:val="21"/>
          <w:u w:val="none"/>
        </w:rPr>
        <w:t>[6] Mohanty S P, Hughes D P, Salathé M. Using deep learning for image-based plant disease detection[J]. Frontiers in Plant Science, 2016, 7: 1419.</w:t>
      </w:r>
    </w:p>
    <w:p>
      <w:pPr>
        <w:spacing w:line="360" w:lineRule="auto" w:before="20" w:after="20"/>
        <w:ind w:left="420" w:hanging="420"/>
        <w:jc w:val="both"/>
      </w:pPr>
      <w:r>
        <w:rPr>
          <w:rFonts w:ascii="Times New Roman" w:hAnsi="Times New Roman" w:eastAsia="宋体"/>
          <w:b w:val="0"/>
          <w:i w:val="0"/>
          <w:sz w:val="21"/>
          <w:u w:val="none"/>
        </w:rPr>
        <w:t>[7] Too E C, Yujian L, Njuki S, et al. A comparative study of fine-tuning deep learning models for plant disease identification[J]. Computers and Electronics in Agriculture, 2019, 161: 272-279.</w:t>
      </w:r>
    </w:p>
    <w:p>
      <w:pPr>
        <w:spacing w:line="360" w:lineRule="auto" w:before="20" w:after="20"/>
        <w:ind w:left="420" w:hanging="420"/>
        <w:jc w:val="both"/>
      </w:pPr>
      <w:r>
        <w:rPr>
          <w:rFonts w:ascii="Times New Roman" w:hAnsi="Times New Roman" w:eastAsia="宋体"/>
          <w:b w:val="0"/>
          <w:i w:val="0"/>
          <w:sz w:val="21"/>
          <w:u w:val="none"/>
        </w:rPr>
        <w:t>[8] He K, Zhang X, Ren S, et al. Deep residual learning for image recognition[C]. CVPR, 2016.</w:t>
      </w:r>
    </w:p>
    <w:p>
      <w:pPr>
        <w:spacing w:line="360" w:lineRule="auto" w:before="20" w:after="20"/>
        <w:ind w:left="420" w:hanging="420"/>
        <w:jc w:val="both"/>
      </w:pPr>
      <w:r>
        <w:rPr>
          <w:rFonts w:ascii="Times New Roman" w:hAnsi="Times New Roman" w:eastAsia="宋体"/>
          <w:b w:val="0"/>
          <w:i w:val="0"/>
          <w:sz w:val="21"/>
          <w:u w:val="none"/>
        </w:rPr>
        <w:t>[9] Howard A G, Zhu M, Chen B, et al. MobileNets: Efficient convolutional neural networks for mobile vision applications[J]. arXiv:1704.04861, 2017.</w:t>
      </w:r>
    </w:p>
    <w:p>
      <w:pPr>
        <w:spacing w:line="360" w:lineRule="auto" w:before="20" w:after="20"/>
        <w:ind w:left="420" w:hanging="420"/>
        <w:jc w:val="both"/>
      </w:pPr>
      <w:r>
        <w:rPr>
          <w:rFonts w:ascii="Times New Roman" w:hAnsi="Times New Roman" w:eastAsia="宋体"/>
          <w:b w:val="0"/>
          <w:i w:val="0"/>
          <w:sz w:val="21"/>
          <w:u w:val="none"/>
        </w:rPr>
        <w:t>[10] Tan M, Le Q V. EfficientNet: Rethinking model scaling for convolutional neural networks[C]. ICML, 2019.</w:t>
      </w:r>
    </w:p>
    <w:p>
      <w:pPr>
        <w:spacing w:line="360" w:lineRule="auto" w:before="20" w:after="20"/>
        <w:ind w:left="420" w:hanging="420"/>
        <w:jc w:val="both"/>
      </w:pPr>
      <w:r>
        <w:rPr>
          <w:rFonts w:ascii="Times New Roman" w:hAnsi="Times New Roman" w:eastAsia="宋体"/>
          <w:b w:val="0"/>
          <w:i w:val="0"/>
          <w:sz w:val="21"/>
          <w:u w:val="none"/>
        </w:rPr>
        <w:t>[11] Hughes D P, Salathé M. An open access repository of images on plant health to enable the development of mobile disease diagnostics[J]. arXiv:1511.08060, 2015.</w:t>
      </w:r>
    </w:p>
    <w:p>
      <w:pPr>
        <w:spacing w:line="360" w:lineRule="auto" w:before="20" w:after="20"/>
        <w:ind w:left="420" w:hanging="420"/>
        <w:jc w:val="both"/>
      </w:pPr>
      <w:r>
        <w:rPr>
          <w:rFonts w:ascii="Times New Roman" w:hAnsi="Times New Roman" w:eastAsia="宋体"/>
          <w:b w:val="0"/>
          <w:i w:val="0"/>
          <w:sz w:val="21"/>
          <w:u w:val="none"/>
        </w:rPr>
        <w:t>[12] Kingma D P, Ba J. Adam: A method for stochastic optimization[C]. ICLR, 2015.</w:t>
      </w:r>
    </w:p>
    <w:p>
      <w:pPr>
        <w:spacing w:line="360" w:lineRule="auto" w:before="20" w:after="20"/>
        <w:ind w:left="420" w:hanging="420"/>
        <w:jc w:val="both"/>
      </w:pPr>
      <w:r>
        <w:rPr>
          <w:rFonts w:ascii="Times New Roman" w:hAnsi="Times New Roman" w:eastAsia="宋体"/>
          <w:b w:val="0"/>
          <w:i w:val="0"/>
          <w:sz w:val="21"/>
          <w:u w:val="none"/>
        </w:rPr>
        <w:t>[13] Loshchilov I, Hutter F. Decoupled weight decay regularization[C]. ICLR, 2019.</w:t>
      </w:r>
    </w:p>
    <w:p>
      <w:pPr>
        <w:spacing w:line="360" w:lineRule="auto" w:before="20" w:after="20"/>
        <w:ind w:left="420" w:hanging="420"/>
        <w:jc w:val="both"/>
      </w:pPr>
      <w:r>
        <w:rPr>
          <w:rFonts w:ascii="Times New Roman" w:hAnsi="Times New Roman" w:eastAsia="宋体"/>
          <w:b w:val="0"/>
          <w:i w:val="0"/>
          <w:sz w:val="21"/>
          <w:u w:val="none"/>
        </w:rPr>
        <w:t>[14] Paszke A, Gross S, Massa F, et al. PyTorch: An imperative style, high-performance deep learning library[C]. NeurIPS, 2019.</w:t>
      </w:r>
    </w:p>
    <w:p>
      <w:pPr>
        <w:spacing w:line="360" w:lineRule="auto" w:before="20" w:after="20"/>
        <w:ind w:left="420" w:hanging="420"/>
        <w:jc w:val="both"/>
      </w:pPr>
      <w:r>
        <w:rPr>
          <w:rFonts w:ascii="Times New Roman" w:hAnsi="Times New Roman" w:eastAsia="宋体"/>
          <w:b w:val="0"/>
          <w:i w:val="0"/>
          <w:sz w:val="21"/>
          <w:u w:val="none"/>
        </w:rPr>
        <w:t>[15] Deng J, Dong W, Socher R, et al. ImageNet: A large-scale hierarchical image database[C]. CVPR, 2009.</w:t>
      </w:r>
    </w:p>
    <w:p>
      <w:r>
        <w:br w:type="page"/>
      </w:r>
    </w:p>
    <w:p>
      <w:pPr>
        <w:spacing w:before="240" w:after="120" w:line="360" w:lineRule="auto"/>
        <w:jc w:val="left"/>
      </w:pPr>
      <w:r>
        <w:rPr>
          <w:rFonts w:ascii="Times New Roman" w:hAnsi="Times New Roman" w:eastAsia="黑体"/>
          <w:b/>
          <w:i w:val="0"/>
          <w:sz w:val="24"/>
          <w:u w:val="none"/>
        </w:rPr>
        <w:t>教师评语：</w:t>
      </w:r>
    </w:p>
    <w:p>
      <w:pPr>
        <w:spacing w:before="0" w:after="0" w:line="360" w:lineRule="auto"/>
        <w:jc w:val="left"/>
      </w:pPr>
      <w:r>
        <w:rPr>
          <w:rFonts w:ascii="Times New Roman" w:hAnsi="Times New Roman" w:eastAsia="宋体"/>
          <w:b w:val="0"/>
          <w:i w:val="0"/>
          <w:sz w:val="24"/>
          <w:u w:val="none"/>
        </w:rPr>
      </w:r>
    </w:p>
    <w:p>
      <w:pPr>
        <w:spacing w:before="0" w:after="0" w:line="360" w:lineRule="auto"/>
        <w:jc w:val="left"/>
      </w:pPr>
      <w:r>
        <w:rPr>
          <w:rFonts w:ascii="Times New Roman" w:hAnsi="Times New Roman" w:eastAsia="宋体"/>
          <w:b w:val="0"/>
          <w:i w:val="0"/>
          <w:sz w:val="24"/>
          <w:u w:val="none"/>
        </w:rPr>
      </w:r>
    </w:p>
    <w:p>
      <w:pPr>
        <w:spacing w:before="0" w:after="0" w:line="360" w:lineRule="auto"/>
        <w:jc w:val="left"/>
      </w:pPr>
      <w:r>
        <w:rPr>
          <w:rFonts w:ascii="Times New Roman" w:hAnsi="Times New Roman" w:eastAsia="宋体"/>
          <w:b w:val="0"/>
          <w:i w:val="0"/>
          <w:sz w:val="24"/>
          <w:u w:val="none"/>
        </w:rPr>
      </w:r>
    </w:p>
    <w:p>
      <w:pPr>
        <w:spacing w:before="0" w:after="0" w:line="360" w:lineRule="auto"/>
        <w:jc w:val="left"/>
      </w:pPr>
      <w:r>
        <w:rPr>
          <w:rFonts w:ascii="Times New Roman" w:hAnsi="Times New Roman" w:eastAsia="宋体"/>
          <w:b w:val="0"/>
          <w:i w:val="0"/>
          <w:sz w:val="24"/>
          <w:u w:val="none"/>
        </w:rPr>
      </w:r>
    </w:p>
    <w:p>
      <w:pPr>
        <w:spacing w:before="240" w:after="120" w:line="360" w:lineRule="auto"/>
        <w:jc w:val="left"/>
      </w:pPr>
      <w:r>
        <w:rPr>
          <w:rFonts w:ascii="Times New Roman" w:hAnsi="Times New Roman" w:eastAsia="宋体"/>
          <w:b w:val="0"/>
          <w:i w:val="0"/>
          <w:sz w:val="24"/>
          <w:u w:val="none"/>
        </w:rPr>
        <w:t>成绩：___________</w:t>
      </w:r>
    </w:p>
    <w:p>
      <w:pPr>
        <w:spacing w:before="0" w:after="120" w:line="360" w:lineRule="auto"/>
        <w:jc w:val="left"/>
      </w:pPr>
      <w:r>
        <w:rPr>
          <w:rFonts w:ascii="Times New Roman" w:hAnsi="Times New Roman" w:eastAsia="宋体"/>
          <w:b w:val="0"/>
          <w:i w:val="0"/>
          <w:sz w:val="24"/>
          <w:u w:val="none"/>
        </w:rPr>
        <w:t>教师签字：___________</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u w:val="none"/>
      </w:rPr>
      <w:t xml:space="preserve">第 </w:t>
    </w:r>
    <w:r>
      <w:fldChar w:fldCharType="begin"/>
    </w:r>
    <w:r>
      <w:instrText xml:space="preserve"> PAGE </w:instrText>
    </w:r>
    <w:r>
      <w:fldChar w:fldCharType="end"/>
    </w:r>
    <w:r>
      <w:rPr>
        <w:rFonts w:ascii="Times New Roman" w:hAnsi="Times New Roman" w:eastAsia="宋体"/>
        <w:b w:val="0"/>
        <w:i w:val="0"/>
        <w:sz w:val="18"/>
        <w:u w:val="none"/>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