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both"/>
      </w:pPr>
      <w:r>
        <w:rPr>
          <w:rFonts w:ascii="Times New Roman" w:hAnsi="Times New Roman" w:eastAsia="宋体"/>
          <w:b w:val="0"/>
          <w:i w:val="0"/>
          <w:sz w:val="24"/>
        </w:rPr>
      </w:r>
    </w:p>
    <w:p>
      <w:pPr>
        <w:spacing w:before="0" w:after="0" w:line="360" w:lineRule="auto"/>
        <w:jc w:val="both"/>
      </w:pPr>
      <w:r>
        <w:rPr>
          <w:rFonts w:ascii="Times New Roman" w:hAnsi="Times New Roman" w:eastAsia="宋体"/>
          <w:b w:val="0"/>
          <w:i w:val="0"/>
          <w:sz w:val="24"/>
        </w:rPr>
      </w:r>
    </w:p>
    <w:p>
      <w:pPr>
        <w:spacing w:before="0" w:after="0" w:line="360" w:lineRule="auto"/>
        <w:jc w:val="both"/>
      </w:pPr>
      <w:r>
        <w:rPr>
          <w:rFonts w:ascii="Times New Roman" w:hAnsi="Times New Roman" w:eastAsia="宋体"/>
          <w:b w:val="0"/>
          <w:i w:val="0"/>
          <w:sz w:val="24"/>
        </w:rPr>
      </w:r>
    </w:p>
    <w:p>
      <w:pPr>
        <w:spacing w:before="0" w:after="0" w:line="360" w:lineRule="auto"/>
        <w:jc w:val="both"/>
      </w:pPr>
      <w:r>
        <w:rPr>
          <w:rFonts w:ascii="Times New Roman" w:hAnsi="Times New Roman" w:eastAsia="宋体"/>
          <w:b w:val="0"/>
          <w:i w:val="0"/>
          <w:sz w:val="24"/>
        </w:rPr>
      </w:r>
    </w:p>
    <w:p>
      <w:pPr>
        <w:spacing w:before="0" w:after="240" w:line="360" w:lineRule="auto"/>
        <w:jc w:val="center"/>
      </w:pPr>
      <w:r>
        <w:rPr>
          <w:rFonts w:ascii="Times New Roman" w:hAnsi="Times New Roman" w:eastAsia="黑体"/>
          <w:b/>
          <w:i w:val="0"/>
          <w:sz w:val="52"/>
        </w:rPr>
        <w:t>XXXX 大学</w:t>
      </w:r>
    </w:p>
    <w:p>
      <w:pPr>
        <w:spacing w:before="0" w:after="480" w:line="360" w:lineRule="auto"/>
        <w:jc w:val="center"/>
      </w:pPr>
      <w:r>
        <w:rPr>
          <w:rFonts w:ascii="Times New Roman" w:hAnsi="Times New Roman" w:eastAsia="黑体"/>
          <w:b w:val="0"/>
          <w:i w:val="0"/>
          <w:sz w:val="32"/>
        </w:rPr>
        <w:t>本科毕业论文 / 硕士研究生学位论文</w:t>
      </w:r>
    </w:p>
    <w:p>
      <w:pPr>
        <w:spacing w:before="240" w:after="0" w:line="360" w:lineRule="auto"/>
        <w:jc w:val="center"/>
      </w:pPr>
      <w:r>
        <w:rPr>
          <w:rFonts w:ascii="Times New Roman" w:hAnsi="Times New Roman" w:eastAsia="黑体"/>
          <w:b/>
          <w:i w:val="0"/>
          <w:sz w:val="44"/>
        </w:rPr>
        <w:t>基于多任务深度学习的农作物病害</w:t>
      </w:r>
    </w:p>
    <w:p>
      <w:pPr>
        <w:spacing w:before="0" w:after="720" w:line="360" w:lineRule="auto"/>
        <w:jc w:val="center"/>
      </w:pPr>
      <w:r>
        <w:rPr>
          <w:rFonts w:ascii="Times New Roman" w:hAnsi="Times New Roman" w:eastAsia="黑体"/>
          <w:b/>
          <w:i w:val="0"/>
          <w:sz w:val="44"/>
        </w:rPr>
        <w:t>智能诊断与风险评估系统</w:t>
      </w:r>
    </w:p>
    <w:p>
      <w:pPr>
        <w:spacing w:before="0" w:after="0" w:line="360" w:lineRule="auto"/>
        <w:jc w:val="both"/>
      </w:pPr>
      <w:r>
        <w:rPr>
          <w:rFonts w:ascii="Times New Roman" w:hAnsi="Times New Roman" w:eastAsia="宋体"/>
          <w:b w:val="0"/>
          <w:i w:val="0"/>
          <w:sz w:val="24"/>
        </w:rPr>
      </w:r>
    </w:p>
    <w:p>
      <w:pPr>
        <w:spacing w:before="0" w:after="0" w:line="360" w:lineRule="auto"/>
        <w:jc w:val="both"/>
      </w:pPr>
      <w:r>
        <w:rPr>
          <w:rFonts w:ascii="Times New Roman" w:hAnsi="Times New Roman" w:eastAsia="宋体"/>
          <w:b w:val="0"/>
          <w:i w:val="0"/>
          <w:sz w:val="24"/>
        </w:rPr>
      </w:r>
    </w:p>
    <w:p>
      <w:pPr>
        <w:spacing w:before="0" w:after="0" w:line="360" w:lineRule="auto"/>
        <w:jc w:val="both"/>
      </w:pPr>
      <w:r>
        <w:rPr>
          <w:rFonts w:ascii="Times New Roman" w:hAnsi="Times New Roman" w:eastAsia="宋体"/>
          <w:b w:val="0"/>
          <w:i w:val="0"/>
          <w:sz w:val="24"/>
        </w:rPr>
      </w:r>
    </w:p>
    <w:p>
      <w:pPr>
        <w:spacing w:line="480" w:lineRule="auto" w:before="40" w:after="40"/>
        <w:jc w:val="center"/>
      </w:pPr>
      <w:r>
        <w:rPr>
          <w:rFonts w:ascii="Times New Roman" w:hAnsi="Times New Roman" w:eastAsia="宋体"/>
          <w:b/>
          <w:i w:val="0"/>
          <w:sz w:val="28"/>
        </w:rPr>
        <w:t>学    院：</w:t>
      </w:r>
      <w:r>
        <w:rPr>
          <w:rFonts w:ascii="Times New Roman" w:hAnsi="Times New Roman" w:eastAsia="宋体"/>
          <w:b w:val="0"/>
          <w:i w:val="0"/>
          <w:sz w:val="28"/>
          <w:u w:val="single"/>
        </w:rPr>
        <w:t>XXXX 学院</w:t>
      </w:r>
    </w:p>
    <w:p>
      <w:pPr>
        <w:spacing w:line="480" w:lineRule="auto" w:before="40" w:after="40"/>
        <w:jc w:val="center"/>
      </w:pPr>
      <w:r>
        <w:rPr>
          <w:rFonts w:ascii="Times New Roman" w:hAnsi="Times New Roman" w:eastAsia="宋体"/>
          <w:b/>
          <w:i w:val="0"/>
          <w:sz w:val="28"/>
        </w:rPr>
        <w:t>专    业：</w:t>
      </w:r>
      <w:r>
        <w:rPr>
          <w:rFonts w:ascii="Times New Roman" w:hAnsi="Times New Roman" w:eastAsia="宋体"/>
          <w:b w:val="0"/>
          <w:i w:val="0"/>
          <w:sz w:val="28"/>
          <w:u w:val="single"/>
        </w:rPr>
        <w:t>计算机科学与技术 / 人工智能</w:t>
      </w:r>
    </w:p>
    <w:p>
      <w:pPr>
        <w:spacing w:line="480" w:lineRule="auto" w:before="40" w:after="40"/>
        <w:jc w:val="center"/>
      </w:pPr>
      <w:r>
        <w:rPr>
          <w:rFonts w:ascii="Times New Roman" w:hAnsi="Times New Roman" w:eastAsia="宋体"/>
          <w:b/>
          <w:i w:val="0"/>
          <w:sz w:val="28"/>
        </w:rPr>
        <w:t>学    号：</w:t>
      </w:r>
      <w:r>
        <w:rPr>
          <w:rFonts w:ascii="Times New Roman" w:hAnsi="Times New Roman" w:eastAsia="宋体"/>
          <w:b w:val="0"/>
          <w:i w:val="0"/>
          <w:sz w:val="28"/>
          <w:u w:val="single"/>
        </w:rPr>
        <w:t>XXXXXXXXXX</w:t>
      </w:r>
    </w:p>
    <w:p>
      <w:pPr>
        <w:spacing w:line="480" w:lineRule="auto" w:before="40" w:after="40"/>
        <w:jc w:val="center"/>
      </w:pPr>
      <w:r>
        <w:rPr>
          <w:rFonts w:ascii="Times New Roman" w:hAnsi="Times New Roman" w:eastAsia="宋体"/>
          <w:b/>
          <w:i w:val="0"/>
          <w:sz w:val="28"/>
        </w:rPr>
        <w:t>学生姓名：</w:t>
      </w:r>
      <w:r>
        <w:rPr>
          <w:rFonts w:ascii="Times New Roman" w:hAnsi="Times New Roman" w:eastAsia="宋体"/>
          <w:b w:val="0"/>
          <w:i w:val="0"/>
          <w:sz w:val="28"/>
          <w:u w:val="single"/>
        </w:rPr>
        <w:t>XXX</w:t>
      </w:r>
    </w:p>
    <w:p>
      <w:pPr>
        <w:spacing w:line="480" w:lineRule="auto" w:before="40" w:after="40"/>
        <w:jc w:val="center"/>
      </w:pPr>
      <w:r>
        <w:rPr>
          <w:rFonts w:ascii="Times New Roman" w:hAnsi="Times New Roman" w:eastAsia="宋体"/>
          <w:b/>
          <w:i w:val="0"/>
          <w:sz w:val="28"/>
        </w:rPr>
        <w:t>指导教师：</w:t>
      </w:r>
      <w:r>
        <w:rPr>
          <w:rFonts w:ascii="Times New Roman" w:hAnsi="Times New Roman" w:eastAsia="宋体"/>
          <w:b w:val="0"/>
          <w:i w:val="0"/>
          <w:sz w:val="28"/>
          <w:u w:val="single"/>
        </w:rPr>
        <w:t>XXX 教授</w:t>
      </w:r>
    </w:p>
    <w:p>
      <w:pPr>
        <w:spacing w:before="0" w:after="0" w:line="360" w:lineRule="auto"/>
        <w:jc w:val="both"/>
      </w:pPr>
      <w:r>
        <w:rPr>
          <w:rFonts w:ascii="Times New Roman" w:hAnsi="Times New Roman" w:eastAsia="宋体"/>
          <w:b w:val="0"/>
          <w:i w:val="0"/>
          <w:sz w:val="24"/>
        </w:rPr>
      </w:r>
    </w:p>
    <w:p>
      <w:pPr>
        <w:spacing w:before="0" w:after="0" w:line="360" w:lineRule="auto"/>
        <w:jc w:val="both"/>
      </w:pPr>
      <w:r>
        <w:rPr>
          <w:rFonts w:ascii="Times New Roman" w:hAnsi="Times New Roman" w:eastAsia="宋体"/>
          <w:b w:val="0"/>
          <w:i w:val="0"/>
          <w:sz w:val="24"/>
        </w:rPr>
      </w:r>
    </w:p>
    <w:p>
      <w:pPr>
        <w:spacing w:before="0" w:after="0" w:line="360" w:lineRule="auto"/>
        <w:jc w:val="center"/>
      </w:pPr>
      <w:r>
        <w:rPr>
          <w:rFonts w:ascii="Times New Roman" w:hAnsi="Times New Roman" w:eastAsia="宋体"/>
          <w:b w:val="0"/>
          <w:i w:val="0"/>
          <w:sz w:val="28"/>
        </w:rPr>
        <w:t>二〇二六年六月</w:t>
      </w:r>
    </w:p>
    <w:p>
      <w:r>
        <w:br w:type="page"/>
      </w:r>
    </w:p>
    <w:p>
      <w:pPr>
        <w:keepNext/>
        <w:spacing w:before="360" w:after="120" w:line="360" w:lineRule="auto"/>
        <w:jc w:val="left"/>
      </w:pPr>
      <w:r>
        <w:rPr>
          <w:rFonts w:ascii="Arial" w:hAnsi="Arial" w:eastAsia="黑体"/>
          <w:b/>
          <w:i w:val="0"/>
          <w:sz w:val="32"/>
        </w:rPr>
        <w:t>摘  要</w:t>
      </w:r>
    </w:p>
    <w:p>
      <w:pPr>
        <w:spacing w:before="0" w:after="0" w:line="360" w:lineRule="auto"/>
        <w:ind w:firstLine="420"/>
        <w:jc w:val="both"/>
      </w:pPr>
      <w:r>
        <w:rPr>
          <w:rFonts w:ascii="Times New Roman" w:hAnsi="Times New Roman" w:eastAsia="宋体"/>
          <w:b w:val="0"/>
          <w:i w:val="0"/>
          <w:sz w:val="24"/>
        </w:rPr>
        <w:t>农作物病害是威胁全球粮食安全的主要因素之一，快速准确的病害诊断对农业生产具有重要的现实意义。现有深度学习方法在植物病害图像识别领域取得了显著进展，但大多聚焦于单一任务（如仅病害分类或仅严重程度分级），缺乏对病害种类、严重程度及风险的联合诊断能力。本文提出了一种基于多任务深度学习的农作物病害智能诊断与风险评估框架。该框架以 MobileNetV2 为共享骨干网络，引入交叉注意力机制（Cross-Task Attention）为病害分类和严重程度分级分别生成任务特定特征，实现了病害类别识别（61 类）、严重程度分级（3 级）和风险评分的联合预测。同时，结合 Grad-CAM 可解释性方法生成热力图，定位图像中的病灶区域，提升模型决策的可解释性。在 PlantVillage 和 AgriculturalDisease 竞赛数据集上的实验结果表明：多任务模型在疾病分类准确率和严重程度分级 F1 分数上均优于对应的单任务基线模型，验证了多任务学习在农业病害诊断任务中的协同效应。此外，本文还构建了完整的 Web 诊断系统，支持图片上传、实时推理、诊断报告生成等功能，具备良好的实际应用价值。</w:t>
      </w:r>
    </w:p>
    <w:p>
      <w:pPr>
        <w:spacing w:line="360" w:lineRule="auto" w:before="240"/>
        <w:ind w:firstLine="420"/>
        <w:jc w:val="both"/>
      </w:pPr>
      <w:r>
        <w:rPr>
          <w:rFonts w:ascii="Arial" w:hAnsi="Arial" w:eastAsia="黑体"/>
          <w:b/>
          <w:i w:val="0"/>
          <w:sz w:val="24"/>
        </w:rPr>
        <w:t>关键词：</w:t>
      </w:r>
      <w:r>
        <w:rPr>
          <w:rFonts w:ascii="Times New Roman" w:hAnsi="Times New Roman" w:eastAsia="宋体"/>
          <w:b w:val="0"/>
          <w:i w:val="0"/>
          <w:sz w:val="24"/>
        </w:rPr>
        <w:t>多任务学习；农作物病害诊断；MobileNetV2；交叉注意力机制；Grad-CAM；风险评估</w:t>
      </w:r>
    </w:p>
    <w:p>
      <w:r>
        <w:br w:type="page"/>
      </w:r>
    </w:p>
    <w:p>
      <w:pPr>
        <w:keepNext/>
        <w:spacing w:before="360" w:after="120" w:line="360" w:lineRule="auto"/>
        <w:jc w:val="left"/>
      </w:pPr>
      <w:r>
        <w:rPr>
          <w:rFonts w:ascii="Arial" w:hAnsi="Arial" w:eastAsia="黑体"/>
          <w:b/>
          <w:i w:val="0"/>
          <w:sz w:val="32"/>
        </w:rPr>
        <w:t>Abstract</w:t>
      </w:r>
    </w:p>
    <w:p>
      <w:pPr>
        <w:spacing w:before="0" w:after="0" w:line="360" w:lineRule="auto"/>
        <w:ind w:firstLine="420"/>
        <w:jc w:val="both"/>
      </w:pPr>
      <w:r>
        <w:rPr>
          <w:rFonts w:ascii="Times New Roman" w:hAnsi="Times New Roman" w:eastAsia="宋体"/>
          <w:b w:val="0"/>
          <w:i w:val="0"/>
          <w:sz w:val="24"/>
        </w:rPr>
        <w:t>Crop diseases are one of the major threats to global food security. Rapid and accurate disease diagnosis is of great practical significance for agricultural production. Existing deep learning methods have achieved remarkable progress in plant disease image recognition, yet most focus on single tasks such as disease classification or severity grading alone, lacking the capability for joint diagnosis of disease type, severity level, and risk assessment.This paper proposes a multi-task deep learning framework for intelligent crop disease diagnosis and risk assessment. The framework employs MobileNetV2 as a shared backbone network and introduces a Cross-Task Attention mechanism to generate task-specific features for disease classification and severity grading respectively, enabling joint prediction of disease category (61 classes), severity level (3 levels), and risk score. Furthermore, Grad-CAM is integrated to generate heatmaps that localize lesion regions, enhancing the interpretability of model decisions.Experimental results on the PlantVillage and AgriculturalDisease benchmark datasets demonstrate that the multi-task model outperforms its single-task counterparts in both disease classification accuracy and severity grading F1 score, validating the synergy effect of multi-task learning in agricultural disease diagnosis tasks. A complete web-based diagnosis system is also developed, supporting image upload, real-time inference, and diagnostic report generation, demonstrating strong practical application value.</w:t>
      </w:r>
    </w:p>
    <w:p>
      <w:pPr>
        <w:spacing w:line="360" w:lineRule="auto" w:before="240"/>
        <w:ind w:firstLine="420"/>
        <w:jc w:val="both"/>
      </w:pPr>
      <w:r>
        <w:rPr>
          <w:rFonts w:ascii="Arial" w:hAnsi="Arial" w:eastAsia="Arial"/>
          <w:b/>
          <w:i w:val="0"/>
          <w:sz w:val="24"/>
        </w:rPr>
        <w:t xml:space="preserve">Keywords: </w:t>
      </w:r>
      <w:r>
        <w:rPr>
          <w:rFonts w:ascii="Times New Roman" w:hAnsi="Times New Roman" w:eastAsia="Times New Roman"/>
          <w:b w:val="0"/>
          <w:i w:val="0"/>
          <w:sz w:val="24"/>
        </w:rPr>
        <w:t>Multi-task Learning; Crop Disease Diagnosis; MobileNetV2; Cross-Task Attention; Grad-CAM; Risk Assessment</w:t>
      </w:r>
    </w:p>
    <w:p>
      <w:r>
        <w:br w:type="page"/>
      </w:r>
    </w:p>
    <w:p>
      <w:pPr>
        <w:keepNext/>
        <w:spacing w:before="360" w:after="120" w:line="360" w:lineRule="auto"/>
        <w:jc w:val="left"/>
      </w:pPr>
      <w:r>
        <w:rPr>
          <w:rFonts w:ascii="Arial" w:hAnsi="Arial" w:eastAsia="黑体"/>
          <w:b/>
          <w:i w:val="0"/>
          <w:sz w:val="32"/>
        </w:rPr>
        <w:t>目  录</w:t>
      </w:r>
    </w:p>
    <w:p>
      <w:pPr>
        <w:spacing w:before="480" w:after="0" w:line="360" w:lineRule="auto"/>
        <w:jc w:val="center"/>
      </w:pPr>
      <w:r>
        <w:rPr>
          <w:rFonts w:ascii="Times New Roman" w:hAnsi="Times New Roman" w:eastAsia="宋体"/>
          <w:b w:val="0"/>
          <w:i w:val="0"/>
          <w:color w:val="969696"/>
          <w:sz w:val="24"/>
        </w:rPr>
        <w:t>（请在 Word 中插入自动目录：引用 → 目录 → 自动目录）</w:t>
      </w:r>
    </w:p>
    <w:p>
      <w:pPr>
        <w:spacing w:line="432" w:lineRule="auto"/>
        <w:ind w:firstLine="0"/>
        <w:jc w:val="left"/>
      </w:pPr>
      <w:r>
        <w:rPr>
          <w:rFonts w:ascii="Times New Roman" w:hAnsi="Times New Roman" w:eastAsia="宋体"/>
          <w:b/>
          <w:i w:val="0"/>
          <w:sz w:val="24"/>
        </w:rPr>
        <w:t>摘要</w:t>
      </w:r>
    </w:p>
    <w:p>
      <w:pPr>
        <w:spacing w:line="432" w:lineRule="auto"/>
        <w:ind w:firstLine="0"/>
        <w:jc w:val="left"/>
      </w:pPr>
      <w:r>
        <w:rPr>
          <w:rFonts w:ascii="Times New Roman" w:hAnsi="Times New Roman" w:eastAsia="宋体"/>
          <w:b/>
          <w:i w:val="0"/>
          <w:sz w:val="24"/>
        </w:rPr>
        <w:t>Abstract</w:t>
      </w:r>
    </w:p>
    <w:p>
      <w:pPr>
        <w:spacing w:line="432" w:lineRule="auto"/>
        <w:ind w:firstLine="0"/>
        <w:jc w:val="left"/>
      </w:pPr>
      <w:r>
        <w:rPr>
          <w:rFonts w:ascii="Times New Roman" w:hAnsi="Times New Roman" w:eastAsia="宋体"/>
          <w:b/>
          <w:i w:val="0"/>
          <w:sz w:val="24"/>
        </w:rPr>
        <w:t>第 1 章  引言</w:t>
      </w:r>
    </w:p>
    <w:p>
      <w:pPr>
        <w:spacing w:line="432" w:lineRule="auto"/>
        <w:ind w:firstLine="454"/>
        <w:jc w:val="left"/>
      </w:pPr>
      <w:r>
        <w:rPr>
          <w:rFonts w:ascii="Times New Roman" w:hAnsi="Times New Roman" w:eastAsia="宋体"/>
          <w:b w:val="0"/>
          <w:i w:val="0"/>
          <w:sz w:val="22"/>
        </w:rPr>
        <w:t xml:space="preserve">  1.1  研究背景与意义</w:t>
      </w:r>
    </w:p>
    <w:p>
      <w:pPr>
        <w:spacing w:line="432" w:lineRule="auto"/>
        <w:ind w:firstLine="454"/>
        <w:jc w:val="left"/>
      </w:pPr>
      <w:r>
        <w:rPr>
          <w:rFonts w:ascii="Times New Roman" w:hAnsi="Times New Roman" w:eastAsia="宋体"/>
          <w:b w:val="0"/>
          <w:i w:val="0"/>
          <w:sz w:val="22"/>
        </w:rPr>
        <w:t xml:space="preserve">  1.2  国内外研究现状</w:t>
      </w:r>
    </w:p>
    <w:p>
      <w:pPr>
        <w:spacing w:line="432" w:lineRule="auto"/>
        <w:ind w:firstLine="454"/>
        <w:jc w:val="left"/>
      </w:pPr>
      <w:r>
        <w:rPr>
          <w:rFonts w:ascii="Times New Roman" w:hAnsi="Times New Roman" w:eastAsia="宋体"/>
          <w:b w:val="0"/>
          <w:i w:val="0"/>
          <w:sz w:val="22"/>
        </w:rPr>
        <w:t xml:space="preserve">  1.3  本文主要贡献</w:t>
      </w:r>
    </w:p>
    <w:p>
      <w:pPr>
        <w:spacing w:line="432" w:lineRule="auto"/>
        <w:ind w:firstLine="454"/>
        <w:jc w:val="left"/>
      </w:pPr>
      <w:r>
        <w:rPr>
          <w:rFonts w:ascii="Times New Roman" w:hAnsi="Times New Roman" w:eastAsia="宋体"/>
          <w:b w:val="0"/>
          <w:i w:val="0"/>
          <w:sz w:val="22"/>
        </w:rPr>
        <w:t xml:space="preserve">  1.4  本文组织结构</w:t>
      </w:r>
    </w:p>
    <w:p>
      <w:pPr>
        <w:spacing w:line="432" w:lineRule="auto"/>
        <w:ind w:firstLine="0"/>
        <w:jc w:val="left"/>
      </w:pPr>
      <w:r>
        <w:rPr>
          <w:rFonts w:ascii="Times New Roman" w:hAnsi="Times New Roman" w:eastAsia="宋体"/>
          <w:b/>
          <w:i w:val="0"/>
          <w:sz w:val="24"/>
        </w:rPr>
        <w:t>第 2 章  相关工作</w:t>
      </w:r>
    </w:p>
    <w:p>
      <w:pPr>
        <w:spacing w:line="432" w:lineRule="auto"/>
        <w:ind w:firstLine="454"/>
        <w:jc w:val="left"/>
      </w:pPr>
      <w:r>
        <w:rPr>
          <w:rFonts w:ascii="Times New Roman" w:hAnsi="Times New Roman" w:eastAsia="宋体"/>
          <w:b w:val="0"/>
          <w:i w:val="0"/>
          <w:sz w:val="22"/>
        </w:rPr>
        <w:t xml:space="preserve">  2.1  深度学习在植物病害识别中的应用</w:t>
      </w:r>
    </w:p>
    <w:p>
      <w:pPr>
        <w:spacing w:line="432" w:lineRule="auto"/>
        <w:ind w:firstLine="454"/>
        <w:jc w:val="left"/>
      </w:pPr>
      <w:r>
        <w:rPr>
          <w:rFonts w:ascii="Times New Roman" w:hAnsi="Times New Roman" w:eastAsia="宋体"/>
          <w:b w:val="0"/>
          <w:i w:val="0"/>
          <w:sz w:val="22"/>
        </w:rPr>
        <w:t xml:space="preserve">  2.2  多任务学习</w:t>
      </w:r>
    </w:p>
    <w:p>
      <w:pPr>
        <w:spacing w:line="432" w:lineRule="auto"/>
        <w:ind w:firstLine="454"/>
        <w:jc w:val="left"/>
      </w:pPr>
      <w:r>
        <w:rPr>
          <w:rFonts w:ascii="Times New Roman" w:hAnsi="Times New Roman" w:eastAsia="宋体"/>
          <w:b w:val="0"/>
          <w:i w:val="0"/>
          <w:sz w:val="22"/>
        </w:rPr>
        <w:t xml:space="preserve">  2.3  可解释人工智能</w:t>
      </w:r>
    </w:p>
    <w:p>
      <w:pPr>
        <w:spacing w:line="432" w:lineRule="auto"/>
        <w:ind w:firstLine="0"/>
        <w:jc w:val="left"/>
      </w:pPr>
      <w:r>
        <w:rPr>
          <w:rFonts w:ascii="Times New Roman" w:hAnsi="Times New Roman" w:eastAsia="宋体"/>
          <w:b/>
          <w:i w:val="0"/>
          <w:sz w:val="24"/>
        </w:rPr>
        <w:t>第 3 章  基于多任务学习的病害诊断方法</w:t>
      </w:r>
    </w:p>
    <w:p>
      <w:pPr>
        <w:spacing w:line="432" w:lineRule="auto"/>
        <w:ind w:firstLine="454"/>
        <w:jc w:val="left"/>
      </w:pPr>
      <w:r>
        <w:rPr>
          <w:rFonts w:ascii="Times New Roman" w:hAnsi="Times New Roman" w:eastAsia="宋体"/>
          <w:b w:val="0"/>
          <w:i w:val="0"/>
          <w:sz w:val="22"/>
        </w:rPr>
        <w:t xml:space="preserve">  3.1  问题定义与总体框架</w:t>
      </w:r>
    </w:p>
    <w:p>
      <w:pPr>
        <w:spacing w:line="432" w:lineRule="auto"/>
        <w:ind w:firstLine="454"/>
        <w:jc w:val="left"/>
      </w:pPr>
      <w:r>
        <w:rPr>
          <w:rFonts w:ascii="Times New Roman" w:hAnsi="Times New Roman" w:eastAsia="宋体"/>
          <w:b w:val="0"/>
          <w:i w:val="0"/>
          <w:sz w:val="22"/>
        </w:rPr>
        <w:t xml:space="preserve">  3.2  多任务共享骨干网络</w:t>
      </w:r>
    </w:p>
    <w:p>
      <w:pPr>
        <w:spacing w:line="432" w:lineRule="auto"/>
        <w:ind w:firstLine="454"/>
        <w:jc w:val="left"/>
      </w:pPr>
      <w:r>
        <w:rPr>
          <w:rFonts w:ascii="Times New Roman" w:hAnsi="Times New Roman" w:eastAsia="宋体"/>
          <w:b w:val="0"/>
          <w:i w:val="0"/>
          <w:sz w:val="22"/>
        </w:rPr>
        <w:t xml:space="preserve">  3.3  交叉注意力机制</w:t>
      </w:r>
    </w:p>
    <w:p>
      <w:pPr>
        <w:spacing w:line="432" w:lineRule="auto"/>
        <w:ind w:firstLine="454"/>
        <w:jc w:val="left"/>
      </w:pPr>
      <w:r>
        <w:rPr>
          <w:rFonts w:ascii="Times New Roman" w:hAnsi="Times New Roman" w:eastAsia="宋体"/>
          <w:b w:val="0"/>
          <w:i w:val="0"/>
          <w:sz w:val="22"/>
        </w:rPr>
        <w:t xml:space="preserve">  3.4  任务特定分类头</w:t>
      </w:r>
    </w:p>
    <w:p>
      <w:pPr>
        <w:spacing w:line="432" w:lineRule="auto"/>
        <w:ind w:firstLine="454"/>
        <w:jc w:val="left"/>
      </w:pPr>
      <w:r>
        <w:rPr>
          <w:rFonts w:ascii="Times New Roman" w:hAnsi="Times New Roman" w:eastAsia="宋体"/>
          <w:b w:val="0"/>
          <w:i w:val="0"/>
          <w:sz w:val="22"/>
        </w:rPr>
        <w:t xml:space="preserve">  3.5  损失函数设计</w:t>
      </w:r>
    </w:p>
    <w:p>
      <w:pPr>
        <w:spacing w:line="432" w:lineRule="auto"/>
        <w:ind w:firstLine="454"/>
        <w:jc w:val="left"/>
      </w:pPr>
      <w:r>
        <w:rPr>
          <w:rFonts w:ascii="Times New Roman" w:hAnsi="Times New Roman" w:eastAsia="宋体"/>
          <w:b w:val="0"/>
          <w:i w:val="0"/>
          <w:sz w:val="22"/>
        </w:rPr>
        <w:t xml:space="preserve">  3.6  Grad-CAM 可解释性分析</w:t>
      </w:r>
    </w:p>
    <w:p>
      <w:pPr>
        <w:spacing w:line="432" w:lineRule="auto"/>
        <w:ind w:firstLine="454"/>
        <w:jc w:val="left"/>
      </w:pPr>
      <w:r>
        <w:rPr>
          <w:rFonts w:ascii="Times New Roman" w:hAnsi="Times New Roman" w:eastAsia="宋体"/>
          <w:b w:val="0"/>
          <w:i w:val="0"/>
          <w:sz w:val="22"/>
        </w:rPr>
        <w:t xml:space="preserve">  3.7  风险等级评估方法</w:t>
      </w:r>
    </w:p>
    <w:p>
      <w:pPr>
        <w:spacing w:line="432" w:lineRule="auto"/>
        <w:ind w:firstLine="0"/>
        <w:jc w:val="left"/>
      </w:pPr>
      <w:r>
        <w:rPr>
          <w:rFonts w:ascii="Times New Roman" w:hAnsi="Times New Roman" w:eastAsia="宋体"/>
          <w:b/>
          <w:i w:val="0"/>
          <w:sz w:val="24"/>
        </w:rPr>
        <w:t>第 4 章  实验设计与结果分析</w:t>
      </w:r>
    </w:p>
    <w:p>
      <w:pPr>
        <w:spacing w:line="432" w:lineRule="auto"/>
        <w:ind w:firstLine="454"/>
        <w:jc w:val="left"/>
      </w:pPr>
      <w:r>
        <w:rPr>
          <w:rFonts w:ascii="Times New Roman" w:hAnsi="Times New Roman" w:eastAsia="宋体"/>
          <w:b w:val="0"/>
          <w:i w:val="0"/>
          <w:sz w:val="22"/>
        </w:rPr>
        <w:t xml:space="preserve">  4.1  数据集与预处理</w:t>
      </w:r>
    </w:p>
    <w:p>
      <w:pPr>
        <w:spacing w:line="432" w:lineRule="auto"/>
        <w:ind w:firstLine="454"/>
        <w:jc w:val="left"/>
      </w:pPr>
      <w:r>
        <w:rPr>
          <w:rFonts w:ascii="Times New Roman" w:hAnsi="Times New Roman" w:eastAsia="宋体"/>
          <w:b w:val="0"/>
          <w:i w:val="0"/>
          <w:sz w:val="22"/>
        </w:rPr>
        <w:t xml:space="preserve">  4.2  实验设置与评价指标</w:t>
      </w:r>
    </w:p>
    <w:p>
      <w:pPr>
        <w:spacing w:line="432" w:lineRule="auto"/>
        <w:ind w:firstLine="454"/>
        <w:jc w:val="left"/>
      </w:pPr>
      <w:r>
        <w:rPr>
          <w:rFonts w:ascii="Times New Roman" w:hAnsi="Times New Roman" w:eastAsia="宋体"/>
          <w:b w:val="0"/>
          <w:i w:val="0"/>
          <w:sz w:val="22"/>
        </w:rPr>
        <w:t xml:space="preserve">  4.3  多任务与单任务对比实验</w:t>
      </w:r>
    </w:p>
    <w:p>
      <w:pPr>
        <w:spacing w:line="432" w:lineRule="auto"/>
        <w:ind w:firstLine="454"/>
        <w:jc w:val="left"/>
      </w:pPr>
      <w:r>
        <w:rPr>
          <w:rFonts w:ascii="Times New Roman" w:hAnsi="Times New Roman" w:eastAsia="宋体"/>
          <w:b w:val="0"/>
          <w:i w:val="0"/>
          <w:sz w:val="22"/>
        </w:rPr>
        <w:t xml:space="preserve">  4.4  消融实验</w:t>
      </w:r>
    </w:p>
    <w:p>
      <w:pPr>
        <w:spacing w:line="432" w:lineRule="auto"/>
        <w:ind w:firstLine="454"/>
        <w:jc w:val="left"/>
      </w:pPr>
      <w:r>
        <w:rPr>
          <w:rFonts w:ascii="Times New Roman" w:hAnsi="Times New Roman" w:eastAsia="宋体"/>
          <w:b w:val="0"/>
          <w:i w:val="0"/>
          <w:sz w:val="22"/>
        </w:rPr>
        <w:t xml:space="preserve">  4.5  可视化分析</w:t>
      </w:r>
    </w:p>
    <w:p>
      <w:pPr>
        <w:spacing w:line="432" w:lineRule="auto"/>
        <w:ind w:firstLine="454"/>
        <w:jc w:val="left"/>
      </w:pPr>
      <w:r>
        <w:rPr>
          <w:rFonts w:ascii="Times New Roman" w:hAnsi="Times New Roman" w:eastAsia="宋体"/>
          <w:b w:val="0"/>
          <w:i w:val="0"/>
          <w:sz w:val="22"/>
        </w:rPr>
        <w:t xml:space="preserve">  4.6  少样本学习实验</w:t>
      </w:r>
    </w:p>
    <w:p>
      <w:pPr>
        <w:spacing w:line="432" w:lineRule="auto"/>
        <w:ind w:firstLine="0"/>
        <w:jc w:val="left"/>
      </w:pPr>
      <w:r>
        <w:rPr>
          <w:rFonts w:ascii="Times New Roman" w:hAnsi="Times New Roman" w:eastAsia="宋体"/>
          <w:b/>
          <w:i w:val="0"/>
          <w:sz w:val="24"/>
        </w:rPr>
        <w:t>第 5 章  讨论</w:t>
      </w:r>
    </w:p>
    <w:p>
      <w:pPr>
        <w:spacing w:line="432" w:lineRule="auto"/>
        <w:ind w:firstLine="0"/>
        <w:jc w:val="left"/>
      </w:pPr>
      <w:r>
        <w:rPr>
          <w:rFonts w:ascii="Times New Roman" w:hAnsi="Times New Roman" w:eastAsia="宋体"/>
          <w:b/>
          <w:i w:val="0"/>
          <w:sz w:val="24"/>
        </w:rPr>
        <w:t>第 6 章  结论与展望</w:t>
      </w:r>
    </w:p>
    <w:p>
      <w:pPr>
        <w:spacing w:line="432" w:lineRule="auto"/>
        <w:ind w:firstLine="0"/>
        <w:jc w:val="left"/>
      </w:pPr>
      <w:r>
        <w:rPr>
          <w:rFonts w:ascii="Times New Roman" w:hAnsi="Times New Roman" w:eastAsia="宋体"/>
          <w:b/>
          <w:i w:val="0"/>
          <w:sz w:val="24"/>
        </w:rPr>
        <w:t>参考文献</w:t>
      </w:r>
    </w:p>
    <w:p>
      <w:pPr>
        <w:spacing w:line="432" w:lineRule="auto"/>
        <w:ind w:firstLine="0"/>
        <w:jc w:val="left"/>
      </w:pPr>
      <w:r>
        <w:rPr>
          <w:rFonts w:ascii="Times New Roman" w:hAnsi="Times New Roman" w:eastAsia="宋体"/>
          <w:b/>
          <w:i w:val="0"/>
          <w:sz w:val="24"/>
        </w:rPr>
        <w:t>致谢</w:t>
      </w:r>
    </w:p>
    <w:p>
      <w:pPr>
        <w:spacing w:line="432" w:lineRule="auto"/>
        <w:ind w:firstLine="0"/>
        <w:jc w:val="left"/>
      </w:pPr>
      <w:r>
        <w:rPr>
          <w:rFonts w:ascii="Times New Roman" w:hAnsi="Times New Roman" w:eastAsia="宋体"/>
          <w:b/>
          <w:i w:val="0"/>
          <w:sz w:val="24"/>
        </w:rPr>
        <w:t>附录 A  主要代码片段</w:t>
      </w:r>
    </w:p>
    <w:p>
      <w:pPr>
        <w:spacing w:line="432" w:lineRule="auto"/>
        <w:ind w:firstLine="0"/>
        <w:jc w:val="left"/>
      </w:pPr>
      <w:r>
        <w:rPr>
          <w:rFonts w:ascii="Times New Roman" w:hAnsi="Times New Roman" w:eastAsia="宋体"/>
          <w:b/>
          <w:i w:val="0"/>
          <w:sz w:val="24"/>
        </w:rPr>
        <w:t>附录 B  诊断报告样例</w:t>
      </w:r>
    </w:p>
    <w:p>
      <w:r>
        <w:br w:type="page"/>
      </w:r>
    </w:p>
    <w:p>
      <w:pPr>
        <w:keepNext/>
        <w:spacing w:before="360" w:after="120" w:line="360" w:lineRule="auto"/>
        <w:jc w:val="left"/>
      </w:pPr>
      <w:r>
        <w:rPr>
          <w:rFonts w:ascii="Arial" w:hAnsi="Arial" w:eastAsia="黑体"/>
          <w:b/>
          <w:i w:val="0"/>
          <w:sz w:val="32"/>
        </w:rPr>
        <w:t>第 1 章  引言</w:t>
      </w:r>
    </w:p>
    <w:p>
      <w:pPr>
        <w:keepNext/>
        <w:spacing w:before="360" w:after="120" w:line="360" w:lineRule="auto"/>
        <w:jc w:val="left"/>
      </w:pPr>
      <w:r>
        <w:rPr>
          <w:rFonts w:ascii="Arial" w:hAnsi="Arial" w:eastAsia="黑体"/>
          <w:b/>
          <w:i w:val="0"/>
          <w:sz w:val="28"/>
        </w:rPr>
        <w:t>1.1  研究背景与意义</w:t>
      </w:r>
    </w:p>
    <w:p>
      <w:pPr>
        <w:spacing w:before="0" w:after="0" w:line="360" w:lineRule="auto"/>
        <w:ind w:firstLine="420"/>
        <w:jc w:val="both"/>
      </w:pPr>
      <w:r>
        <w:rPr>
          <w:rFonts w:ascii="Times New Roman" w:hAnsi="Times New Roman" w:eastAsia="宋体"/>
          <w:b w:val="0"/>
          <w:i w:val="0"/>
          <w:sz w:val="24"/>
        </w:rPr>
        <w:t>农作物病害是制约全球农业生产的主要因素之一。据联合国粮食及农业组织（FAO）统计，全球每年因植物病害造成的粮食损失高达 10%~16%，对粮食安全和农业可持续发展构成严重威胁。传统的农作物病害诊断主要依赖农业技术人员的田间观察和实验室检测，存在效率低、主观性强、专业门槛高等问题，难以满足大规模、实时化的现代农业需求。</w:t>
      </w:r>
    </w:p>
    <w:p>
      <w:pPr>
        <w:spacing w:before="0" w:after="0" w:line="360" w:lineRule="auto"/>
        <w:ind w:firstLine="420"/>
        <w:jc w:val="both"/>
      </w:pPr>
      <w:r>
        <w:rPr>
          <w:rFonts w:ascii="Times New Roman" w:hAnsi="Times New Roman" w:eastAsia="宋体"/>
          <w:b w:val="0"/>
          <w:i w:val="0"/>
          <w:sz w:val="24"/>
        </w:rPr>
        <w:t>近年来，以深度学习为代表的计算机视觉技术在植物病害图像识别领域取得了显著进展。从早期的卷积神经网络（CNN）到 ResNet、MobileNet、EfficientNet 等先进架构，图像分类的准确率不断提升。然而，现有工作大多聚焦于单一的分类任务，即仅判断病害种类或仅评估严重程度，缺乏对病害信息的全面联合诊断能力。</w:t>
      </w:r>
    </w:p>
    <w:p>
      <w:pPr>
        <w:spacing w:before="0" w:after="0" w:line="360" w:lineRule="auto"/>
        <w:ind w:firstLine="420"/>
        <w:jc w:val="both"/>
      </w:pPr>
      <w:r>
        <w:rPr>
          <w:rFonts w:ascii="Times New Roman" w:hAnsi="Times New Roman" w:eastAsia="宋体"/>
          <w:b w:val="0"/>
          <w:i w:val="0"/>
          <w:sz w:val="24"/>
        </w:rPr>
        <w:t>针对上述问题，本文提出了一种基于多任务深度学习的农作物病害智能诊断与风险评估框架。该框架通过共享骨干网络和交叉注意力机制，同时完成病害分类、严重程度分级和风险评分三个任务，旨在为农业生产提供更全面、更精准的智能化诊断方案。</w:t>
      </w:r>
    </w:p>
    <w:p>
      <w:pPr>
        <w:keepNext/>
        <w:spacing w:before="360" w:after="120" w:line="360" w:lineRule="auto"/>
        <w:jc w:val="left"/>
      </w:pPr>
      <w:r>
        <w:rPr>
          <w:rFonts w:ascii="Arial" w:hAnsi="Arial" w:eastAsia="黑体"/>
          <w:b/>
          <w:i w:val="0"/>
          <w:sz w:val="28"/>
        </w:rPr>
        <w:t>1.2  国内外研究现状</w:t>
      </w:r>
    </w:p>
    <w:p>
      <w:pPr>
        <w:spacing w:before="0" w:after="0" w:line="360" w:lineRule="auto"/>
        <w:ind w:firstLine="420"/>
        <w:jc w:val="both"/>
      </w:pPr>
      <w:r>
        <w:rPr>
          <w:rFonts w:ascii="Times New Roman" w:hAnsi="Times New Roman" w:eastAsia="宋体"/>
          <w:b w:val="0"/>
          <w:i w:val="0"/>
          <w:sz w:val="24"/>
        </w:rPr>
        <w:t>在植物病害图像识别方面，Mohanty et al.（2016）使用 AlexNet 和 GoogLeNet 在 PlantVillage 数据集上实现了 99.35% 的分类准确率，开创了深度学习应用于植物病害识别的先河。Too et al.（2019）系统比较了 VGG16、ResNet50、InceptionV3、DenseNet121 等深度模型在植物病害分类中的表现。近年来，MobileNet 等轻量级网络因其参数少、推理快的特点，特别适合边缘端和移动端的部署。</w:t>
      </w:r>
    </w:p>
    <w:p>
      <w:pPr>
        <w:spacing w:before="0" w:after="0" w:line="360" w:lineRule="auto"/>
        <w:ind w:firstLine="420"/>
        <w:jc w:val="both"/>
      </w:pPr>
      <w:r>
        <w:rPr>
          <w:rFonts w:ascii="Times New Roman" w:hAnsi="Times New Roman" w:eastAsia="宋体"/>
          <w:b w:val="0"/>
          <w:i w:val="0"/>
          <w:sz w:val="24"/>
        </w:rPr>
        <w:t>在多任务学习方面，Caruana（1997）提出了多任务学习的通用框架，通过共享表示实现多个相关任务的联合学习。Misra et al.（2016）提出 Cross-stitch Networks 在任务间共享和交换特征。Liu et al.（2019）提出 MTAN（Multi-Task Attention Network）引入注意力机制进行任务特定特征提取。然而，多任务学习在农业病害诊断领域的应用研究尚不充分。</w:t>
      </w:r>
    </w:p>
    <w:p>
      <w:pPr>
        <w:spacing w:before="0" w:after="0" w:line="360" w:lineRule="auto"/>
        <w:ind w:firstLine="420"/>
        <w:jc w:val="both"/>
      </w:pPr>
      <w:r>
        <w:rPr>
          <w:rFonts w:ascii="Times New Roman" w:hAnsi="Times New Roman" w:eastAsia="宋体"/>
          <w:b w:val="0"/>
          <w:i w:val="0"/>
          <w:sz w:val="24"/>
        </w:rPr>
        <w:t>在可解释人工智能方面，Selvaraju et al.（2017）提出的 Grad-CAM 方法通过梯度加权可视化卷积神经网络的关注区域，已成为最广泛使用的模型解释工具之一。在农业领域，Grad-CAM 可用于定位叶片病灶区域，提升诊断结果的可信度。</w:t>
      </w:r>
    </w:p>
    <w:p>
      <w:pPr>
        <w:keepNext/>
        <w:spacing w:before="360" w:after="120" w:line="360" w:lineRule="auto"/>
        <w:jc w:val="left"/>
      </w:pPr>
      <w:r>
        <w:rPr>
          <w:rFonts w:ascii="Arial" w:hAnsi="Arial" w:eastAsia="黑体"/>
          <w:b/>
          <w:i w:val="0"/>
          <w:sz w:val="28"/>
        </w:rPr>
        <w:t>1.3  本文主要贡献</w:t>
      </w:r>
    </w:p>
    <w:p>
      <w:pPr>
        <w:spacing w:before="0" w:after="0" w:line="360" w:lineRule="auto"/>
        <w:ind w:firstLine="420"/>
        <w:jc w:val="both"/>
      </w:pPr>
      <w:r>
        <w:rPr>
          <w:rFonts w:ascii="Times New Roman" w:hAnsi="Times New Roman" w:eastAsia="宋体"/>
          <w:b w:val="0"/>
          <w:i w:val="0"/>
          <w:sz w:val="24"/>
        </w:rPr>
        <w:t>（1）提出了一个基于 MobileNetV2 的多任务学习框架，实现病害分类、严重程度分级和风险评分的联合预测。</w:t>
      </w:r>
    </w:p>
    <w:p>
      <w:pPr>
        <w:spacing w:before="0" w:after="0" w:line="360" w:lineRule="auto"/>
        <w:ind w:firstLine="420"/>
        <w:jc w:val="both"/>
      </w:pPr>
      <w:r>
        <w:rPr>
          <w:rFonts w:ascii="Times New Roman" w:hAnsi="Times New Roman" w:eastAsia="宋体"/>
          <w:b w:val="0"/>
          <w:i w:val="0"/>
          <w:sz w:val="24"/>
        </w:rPr>
        <w:t>（2）设计了一种交叉注意力机制（Cross-Task Attention），使不同任务能从共享特征中自适应提取任务相关信息。</w:t>
      </w:r>
    </w:p>
    <w:p>
      <w:pPr>
        <w:spacing w:before="0" w:after="0" w:line="360" w:lineRule="auto"/>
        <w:ind w:firstLine="420"/>
        <w:jc w:val="both"/>
      </w:pPr>
      <w:r>
        <w:rPr>
          <w:rFonts w:ascii="Times New Roman" w:hAnsi="Times New Roman" w:eastAsia="宋体"/>
          <w:b w:val="0"/>
          <w:i w:val="0"/>
          <w:sz w:val="24"/>
        </w:rPr>
        <w:t>（3）通过多任务与单任务的对比实验，定量验证了多任务学习在农业病害诊断中的协同效应。</w:t>
      </w:r>
    </w:p>
    <w:p>
      <w:pPr>
        <w:spacing w:before="0" w:after="0" w:line="360" w:lineRule="auto"/>
        <w:ind w:firstLine="420"/>
        <w:jc w:val="both"/>
      </w:pPr>
      <w:r>
        <w:rPr>
          <w:rFonts w:ascii="Times New Roman" w:hAnsi="Times New Roman" w:eastAsia="宋体"/>
          <w:b w:val="0"/>
          <w:i w:val="0"/>
          <w:sz w:val="24"/>
        </w:rPr>
        <w:t>（4）集成了 Grad-CAM 可解释性分析和结构化诊断报告生成，提升了系统的透明度和实用性。</w:t>
      </w:r>
    </w:p>
    <w:p>
      <w:pPr>
        <w:spacing w:before="0" w:after="0" w:line="360" w:lineRule="auto"/>
        <w:ind w:firstLine="420"/>
        <w:jc w:val="both"/>
      </w:pPr>
      <w:r>
        <w:rPr>
          <w:rFonts w:ascii="Times New Roman" w:hAnsi="Times New Roman" w:eastAsia="宋体"/>
          <w:b w:val="0"/>
          <w:i w:val="0"/>
          <w:sz w:val="24"/>
        </w:rPr>
        <w:t>（5）构建了完整的 Web 诊断系统，支持图片上传、实时推理和批量预测。</w:t>
      </w:r>
    </w:p>
    <w:p>
      <w:pPr>
        <w:keepNext/>
        <w:spacing w:before="360" w:after="120" w:line="360" w:lineRule="auto"/>
        <w:jc w:val="left"/>
      </w:pPr>
      <w:r>
        <w:rPr>
          <w:rFonts w:ascii="Arial" w:hAnsi="Arial" w:eastAsia="黑体"/>
          <w:b/>
          <w:i w:val="0"/>
          <w:sz w:val="28"/>
        </w:rPr>
        <w:t>1.4  本文组织结构</w:t>
      </w:r>
    </w:p>
    <w:p>
      <w:pPr>
        <w:spacing w:before="0" w:after="0" w:line="360" w:lineRule="auto"/>
        <w:ind w:firstLine="420"/>
        <w:jc w:val="both"/>
      </w:pPr>
      <w:r>
        <w:rPr>
          <w:rFonts w:ascii="Times New Roman" w:hAnsi="Times New Roman" w:eastAsia="宋体"/>
          <w:b w:val="0"/>
          <w:i w:val="0"/>
          <w:sz w:val="24"/>
        </w:rPr>
        <w:t>本文共分为六章。第一章为引言，介绍研究背景、相关工作及本文贡献。第二章回顾相关技术，包括深度学习病害识别、多任务学习和可解释 AI。第三章详细介绍本文提出的多任务诊断方法，包括网络架构、交叉注意力机制和损失函数。第四章报告实验设置和多组对比实验结果。第五章讨论研究发现的启示和局限性。第六章总结全文并展望未来研究方向。</w:t>
      </w:r>
    </w:p>
    <w:p>
      <w:r>
        <w:br w:type="page"/>
      </w:r>
    </w:p>
    <w:p>
      <w:pPr>
        <w:keepNext/>
        <w:spacing w:before="360" w:after="120" w:line="360" w:lineRule="auto"/>
        <w:jc w:val="left"/>
      </w:pPr>
      <w:r>
        <w:rPr>
          <w:rFonts w:ascii="Arial" w:hAnsi="Arial" w:eastAsia="黑体"/>
          <w:b/>
          <w:i w:val="0"/>
          <w:sz w:val="32"/>
        </w:rPr>
        <w:t>第 2 章  相关工作</w:t>
      </w:r>
    </w:p>
    <w:p>
      <w:pPr>
        <w:keepNext/>
        <w:spacing w:before="360" w:after="120" w:line="360" w:lineRule="auto"/>
        <w:jc w:val="left"/>
      </w:pPr>
      <w:r>
        <w:rPr>
          <w:rFonts w:ascii="Arial" w:hAnsi="Arial" w:eastAsia="黑体"/>
          <w:b/>
          <w:i w:val="0"/>
          <w:sz w:val="28"/>
        </w:rPr>
        <w:t>2.1  深度学习在植物病害识别中的应用</w:t>
      </w:r>
    </w:p>
    <w:p>
      <w:pPr>
        <w:spacing w:before="0" w:after="0" w:line="360" w:lineRule="auto"/>
        <w:ind w:firstLine="420"/>
        <w:jc w:val="both"/>
      </w:pPr>
      <w:r>
        <w:rPr>
          <w:rFonts w:ascii="Times New Roman" w:hAnsi="Times New Roman" w:eastAsia="宋体"/>
          <w:b w:val="0"/>
          <w:i w:val="0"/>
          <w:sz w:val="24"/>
        </w:rPr>
        <w:t>（此处请扩展文献综述，系统性回顾基于深度学习的植物病害图像识别方法，包括传统 CNN→VGG→ResNet→MobileNet→EfficientNet→Vision Transformer 的发展脉络，以及在 PlantVillage、AI Challenger 等数据集上的代表性工作。）</w:t>
      </w:r>
    </w:p>
    <w:p>
      <w:pPr>
        <w:keepNext/>
        <w:spacing w:before="360" w:after="120" w:line="360" w:lineRule="auto"/>
        <w:jc w:val="left"/>
      </w:pPr>
      <w:r>
        <w:rPr>
          <w:rFonts w:ascii="Arial" w:hAnsi="Arial" w:eastAsia="黑体"/>
          <w:b/>
          <w:i w:val="0"/>
          <w:sz w:val="28"/>
        </w:rPr>
        <w:t>2.2  多任务学习</w:t>
      </w:r>
    </w:p>
    <w:p>
      <w:pPr>
        <w:spacing w:before="0" w:after="0" w:line="360" w:lineRule="auto"/>
        <w:ind w:firstLine="420"/>
        <w:jc w:val="both"/>
      </w:pPr>
      <w:r>
        <w:rPr>
          <w:rFonts w:ascii="Times New Roman" w:hAnsi="Times New Roman" w:eastAsia="宋体"/>
          <w:b w:val="0"/>
          <w:i w:val="0"/>
          <w:sz w:val="24"/>
        </w:rPr>
        <w:t>（此处请综述多任务学习的相关研究：Hard Parameter Sharing、Cross-stitch Networks、MMoE、MTAN 等方法，并讨论多任务学习在农业领域的应用现状。）</w:t>
      </w:r>
    </w:p>
    <w:p>
      <w:pPr>
        <w:keepNext/>
        <w:spacing w:before="360" w:after="120" w:line="360" w:lineRule="auto"/>
        <w:jc w:val="left"/>
      </w:pPr>
      <w:r>
        <w:rPr>
          <w:rFonts w:ascii="Arial" w:hAnsi="Arial" w:eastAsia="黑体"/>
          <w:b/>
          <w:i w:val="0"/>
          <w:sz w:val="28"/>
        </w:rPr>
        <w:t>2.3  可解释人工智能</w:t>
      </w:r>
    </w:p>
    <w:p>
      <w:pPr>
        <w:spacing w:before="0" w:after="0" w:line="360" w:lineRule="auto"/>
        <w:ind w:firstLine="420"/>
        <w:jc w:val="both"/>
      </w:pPr>
      <w:r>
        <w:rPr>
          <w:rFonts w:ascii="Times New Roman" w:hAnsi="Times New Roman" w:eastAsia="宋体"/>
          <w:b w:val="0"/>
          <w:i w:val="0"/>
          <w:sz w:val="24"/>
        </w:rPr>
        <w:t>（此处请综述可解释 AI 方法，特别是 Grad-CAM、Grad-CAM++、LayerCAM 等可视化方法，以及它们在农业和医学图像分析中的应用。）</w:t>
      </w:r>
    </w:p>
    <w:p>
      <w:r>
        <w:br w:type="page"/>
      </w:r>
    </w:p>
    <w:p>
      <w:pPr>
        <w:keepNext/>
        <w:spacing w:before="360" w:after="120" w:line="360" w:lineRule="auto"/>
        <w:jc w:val="left"/>
      </w:pPr>
      <w:r>
        <w:rPr>
          <w:rFonts w:ascii="Arial" w:hAnsi="Arial" w:eastAsia="黑体"/>
          <w:b/>
          <w:i w:val="0"/>
          <w:sz w:val="32"/>
        </w:rPr>
        <w:t>第 3 章  基于多任务学习的病害诊断方法</w:t>
      </w:r>
    </w:p>
    <w:p>
      <w:pPr>
        <w:keepNext/>
        <w:spacing w:before="360" w:after="120" w:line="360" w:lineRule="auto"/>
        <w:jc w:val="left"/>
      </w:pPr>
      <w:r>
        <w:rPr>
          <w:rFonts w:ascii="Arial" w:hAnsi="Arial" w:eastAsia="黑体"/>
          <w:b/>
          <w:i w:val="0"/>
          <w:sz w:val="28"/>
        </w:rPr>
        <w:t>3.1  问题定义与总体框架</w:t>
      </w:r>
    </w:p>
    <w:p>
      <w:pPr>
        <w:spacing w:before="0" w:after="0" w:line="360" w:lineRule="auto"/>
        <w:ind w:firstLine="420"/>
        <w:jc w:val="both"/>
      </w:pPr>
      <w:r>
        <w:rPr>
          <w:rFonts w:ascii="Times New Roman" w:hAnsi="Times New Roman" w:eastAsia="宋体"/>
          <w:b w:val="0"/>
          <w:i w:val="0"/>
          <w:sz w:val="24"/>
        </w:rPr>
        <w:t>本文将农作物病害诊断定义为三个联合任务：（1）病害分类——识别叶片图像所属的病害类别（共 61 类）；（2）严重程度分级——评估病害严重程度（0：健康，1：一般疾病，2：严重疾病）；（3）风险评估——综合病害种类和严重程度计算风险评分。总体框架如图 1 所示：输入叶片图像 → MobileNetV2 骨干网 → 交叉注意力模块 → 病害分类头 + 严重程度分类头 → 病害标签 + 严重程度 + 风险评分。</w:t>
      </w:r>
    </w:p>
    <w:p>
      <w:pPr>
        <w:spacing w:before="120" w:after="60"/>
        <w:jc w:val="center"/>
      </w:pPr>
      <w:r>
        <w:rPr>
          <w:rFonts w:ascii="Arial" w:hAnsi="Arial" w:eastAsia="宋体"/>
          <w:b w:val="0"/>
          <w:i/>
          <w:color w:val="646464"/>
          <w:sz w:val="22"/>
        </w:rPr>
        <w:t xml:space="preserve">  [ 此处插入：多任务诊断框架整体架构图 ]  </w:t>
      </w:r>
    </w:p>
    <w:p>
      <w:pPr>
        <w:spacing w:before="60" w:after="120" w:line="360" w:lineRule="auto"/>
        <w:jc w:val="center"/>
      </w:pPr>
      <w:r>
        <w:rPr>
          <w:rFonts w:ascii="Times New Roman" w:hAnsi="Times New Roman" w:eastAsia="宋体"/>
          <w:b w:val="0"/>
          <w:i w:val="0"/>
          <w:sz w:val="20"/>
        </w:rPr>
        <w:t>图 1  多任务诊断框架整体架构图</w:t>
      </w:r>
    </w:p>
    <w:p>
      <w:pPr>
        <w:keepNext/>
        <w:spacing w:before="360" w:after="120" w:line="360" w:lineRule="auto"/>
        <w:jc w:val="left"/>
      </w:pPr>
      <w:r>
        <w:rPr>
          <w:rFonts w:ascii="Arial" w:hAnsi="Arial" w:eastAsia="黑体"/>
          <w:b/>
          <w:i w:val="0"/>
          <w:sz w:val="28"/>
        </w:rPr>
        <w:t>3.2  多任务共享骨干网络</w:t>
      </w:r>
    </w:p>
    <w:p>
      <w:pPr>
        <w:spacing w:before="0" w:after="0" w:line="360" w:lineRule="auto"/>
        <w:ind w:firstLine="420"/>
        <w:jc w:val="both"/>
      </w:pPr>
      <w:r>
        <w:rPr>
          <w:rFonts w:ascii="Times New Roman" w:hAnsi="Times New Roman" w:eastAsia="宋体"/>
          <w:b w:val="0"/>
          <w:i w:val="0"/>
          <w:sz w:val="24"/>
        </w:rPr>
        <w:t>本文选用 MobileNetV2（Sandler et al., 2018）作为共享骨干网络。MobileNetV2 采用倒残差结构（Inverted Residuals）和线性瓶颈（Linear Bottleneck），在保持较高分类精度的同时，参数量和计算量远小于 VGG 和 ResNet 等传统网络，有利于后续的移动端和边缘端部署。</w:t>
      </w:r>
    </w:p>
    <w:p>
      <w:pPr>
        <w:spacing w:before="0" w:after="0" w:line="360" w:lineRule="auto"/>
        <w:ind w:firstLine="420"/>
        <w:jc w:val="both"/>
      </w:pPr>
      <w:r>
        <w:rPr>
          <w:rFonts w:ascii="Times New Roman" w:hAnsi="Times New Roman" w:eastAsia="宋体"/>
          <w:b w:val="0"/>
          <w:i w:val="0"/>
          <w:sz w:val="24"/>
        </w:rPr>
        <w:t>为平衡迁移学习和任务特定训练，本文冻结了 MobileNetV2 的大部分层，仅训练最后 3 层。骨干网络输出维度为 1280，经全局平均池化（Global Average Pooling）后得到一个 1280 维的共享特征向量。该共享特征随后输入交叉注意力模块，由不同任务头提取各自关注的子特征。</w:t>
      </w:r>
    </w:p>
    <w:p>
      <w:pPr>
        <w:keepNext/>
        <w:spacing w:before="360" w:after="120" w:line="360" w:lineRule="auto"/>
        <w:jc w:val="left"/>
      </w:pPr>
      <w:r>
        <w:rPr>
          <w:rFonts w:ascii="Arial" w:hAnsi="Arial" w:eastAsia="黑体"/>
          <w:b/>
          <w:i w:val="0"/>
          <w:sz w:val="28"/>
        </w:rPr>
        <w:t>3.3  交叉注意力机制</w:t>
      </w:r>
    </w:p>
    <w:p>
      <w:pPr>
        <w:spacing w:before="0" w:after="0" w:line="360" w:lineRule="auto"/>
        <w:ind w:firstLine="420"/>
        <w:jc w:val="both"/>
      </w:pPr>
      <w:r>
        <w:rPr>
          <w:rFonts w:ascii="Times New Roman" w:hAnsi="Times New Roman" w:eastAsia="宋体"/>
          <w:b w:val="0"/>
          <w:i w:val="0"/>
          <w:sz w:val="24"/>
        </w:rPr>
        <w:t>交叉注意力机制（Cross-Task Attention）是本文的核心创新点。其设计思想为：病害分类任务应关注病斑的形态和纹理特征，而严重程度分级任务则应关注病灶面积占比和扩散程度。两个任务虽然共享底层特征，但对特征各维度的关注度不同。</w:t>
      </w:r>
    </w:p>
    <w:p>
      <w:pPr>
        <w:spacing w:before="0" w:after="0" w:line="360" w:lineRule="auto"/>
        <w:ind w:firstLine="420"/>
        <w:jc w:val="both"/>
      </w:pPr>
      <w:r>
        <w:rPr>
          <w:rFonts w:ascii="Times New Roman" w:hAnsi="Times New Roman" w:eastAsia="宋体"/>
          <w:b w:val="0"/>
          <w:i w:val="0"/>
          <w:sz w:val="24"/>
        </w:rPr>
        <w:t>具体而言，给定共享特征向量 x∈R^1280，交叉注意力机制的计算过程如下：</w:t>
      </w:r>
    </w:p>
    <w:p>
      <w:pPr>
        <w:spacing w:before="0" w:after="0" w:line="360" w:lineRule="auto"/>
        <w:ind w:firstLine="420"/>
        <w:jc w:val="both"/>
      </w:pPr>
      <w:r>
        <w:rPr>
          <w:rFonts w:ascii="Times New Roman" w:hAnsi="Times New Roman" w:eastAsia="宋体"/>
          <w:b w:val="0"/>
          <w:i w:val="0"/>
          <w:sz w:val="24"/>
        </w:rPr>
        <w:t>Q_d = W_d · x,   Q_s = W_s · x,   V = W_v · x</w:t>
      </w:r>
    </w:p>
    <w:p>
      <w:pPr>
        <w:spacing w:before="0" w:after="0" w:line="360" w:lineRule="auto"/>
        <w:ind w:firstLine="420"/>
        <w:jc w:val="both"/>
      </w:pPr>
      <w:r>
        <w:rPr>
          <w:rFonts w:ascii="Times New Roman" w:hAnsi="Times New Roman" w:eastAsia="宋体"/>
          <w:b w:val="0"/>
          <w:i w:val="0"/>
          <w:sz w:val="24"/>
        </w:rPr>
        <w:t>其中 W_d、W_s、W_v 分别为病害查询、严重程度查询和值映射的线性变换矩阵。然后计算注意力权重并生成任务特定特征：</w:t>
      </w:r>
    </w:p>
    <w:p>
      <w:pPr>
        <w:spacing w:before="0" w:after="0" w:line="360" w:lineRule="auto"/>
        <w:ind w:firstLine="420"/>
        <w:jc w:val="both"/>
      </w:pPr>
      <w:r>
        <w:rPr>
          <w:rFonts w:ascii="Times New Roman" w:hAnsi="Times New Roman" w:eastAsia="宋体"/>
          <w:b w:val="0"/>
          <w:i w:val="0"/>
          <w:sz w:val="24"/>
        </w:rPr>
        <w:t>A_d = softmax(Q_d · V),   f_d = A_d ⊙ V,   f_s = A_s ⊙ V</w:t>
      </w:r>
    </w:p>
    <w:p>
      <w:pPr>
        <w:spacing w:before="0" w:after="0" w:line="360" w:lineRule="auto"/>
        <w:ind w:firstLine="420"/>
        <w:jc w:val="both"/>
      </w:pPr>
      <w:r>
        <w:rPr>
          <w:rFonts w:ascii="Times New Roman" w:hAnsi="Times New Roman" w:eastAsia="宋体"/>
          <w:b w:val="0"/>
          <w:i w:val="0"/>
          <w:sz w:val="24"/>
        </w:rPr>
        <w:t>最终得到的 f_d 和 f_s 分别输入病害分类头和严重程度分类头。这种设计使得两个任务可以自适应地从共享特征中选择所需的信息维度，既保留了多任务学习的参数共享优势，又提供了任务特定的特征提取能力。</w:t>
      </w:r>
    </w:p>
    <w:p>
      <w:pPr>
        <w:keepNext/>
        <w:spacing w:before="360" w:after="120" w:line="360" w:lineRule="auto"/>
        <w:jc w:val="left"/>
      </w:pPr>
      <w:r>
        <w:rPr>
          <w:rFonts w:ascii="Arial" w:hAnsi="Arial" w:eastAsia="黑体"/>
          <w:b/>
          <w:i w:val="0"/>
          <w:sz w:val="28"/>
        </w:rPr>
        <w:t>3.4  损失函数设计</w:t>
      </w:r>
    </w:p>
    <w:p>
      <w:pPr>
        <w:spacing w:before="0" w:after="0" w:line="360" w:lineRule="auto"/>
        <w:ind w:firstLine="420"/>
        <w:jc w:val="both"/>
      </w:pPr>
      <w:r>
        <w:rPr>
          <w:rFonts w:ascii="Times New Roman" w:hAnsi="Times New Roman" w:eastAsia="宋体"/>
          <w:b w:val="0"/>
          <w:i w:val="0"/>
          <w:sz w:val="24"/>
        </w:rPr>
        <w:t>本文采用加权多任务损失函数，将疾病分类损失和严重程度分级损失进行加权组合：</w:t>
      </w:r>
    </w:p>
    <w:p>
      <w:pPr>
        <w:spacing w:before="0" w:after="0" w:line="360" w:lineRule="auto"/>
        <w:ind w:firstLine="420"/>
        <w:jc w:val="both"/>
      </w:pPr>
      <w:r>
        <w:rPr>
          <w:rFonts w:ascii="Times New Roman" w:hAnsi="Times New Roman" w:eastAsia="宋体"/>
          <w:b w:val="0"/>
          <w:i w:val="0"/>
          <w:sz w:val="24"/>
        </w:rPr>
        <w:t>L_total = λ_1 · L_CE(y_d, ŷ_d) + λ_2 · L_CE(y_s, ŷ_s)</w:t>
      </w:r>
    </w:p>
    <w:p>
      <w:pPr>
        <w:spacing w:before="0" w:after="0" w:line="360" w:lineRule="auto"/>
        <w:ind w:firstLine="420"/>
        <w:jc w:val="both"/>
      </w:pPr>
      <w:r>
        <w:rPr>
          <w:rFonts w:ascii="Times New Roman" w:hAnsi="Times New Roman" w:eastAsia="宋体"/>
          <w:b w:val="0"/>
          <w:i w:val="0"/>
          <w:sz w:val="24"/>
        </w:rPr>
        <w:t>其中 L_CE 为标准交叉熵损失，y_d、y_s 分别为病害标签和严重程度标签，λ_1、λ_2 为任务权重，默认设置为 λ_1=1.0、λ_2=0.8。严重程度任务的权重略低，是因为严重程度分级的类别数较少（3 类），学习相对简单。</w:t>
      </w:r>
    </w:p>
    <w:p>
      <w:pPr>
        <w:keepNext/>
        <w:spacing w:before="360" w:after="120" w:line="360" w:lineRule="auto"/>
        <w:jc w:val="left"/>
      </w:pPr>
      <w:r>
        <w:rPr>
          <w:rFonts w:ascii="Arial" w:hAnsi="Arial" w:eastAsia="黑体"/>
          <w:b/>
          <w:i w:val="0"/>
          <w:sz w:val="28"/>
        </w:rPr>
        <w:t>3.5  Grad-CAM 可解释性分析</w:t>
      </w:r>
    </w:p>
    <w:p>
      <w:pPr>
        <w:spacing w:before="0" w:after="0" w:line="360" w:lineRule="auto"/>
        <w:ind w:firstLine="420"/>
        <w:jc w:val="both"/>
      </w:pPr>
      <w:r>
        <w:rPr>
          <w:rFonts w:ascii="Times New Roman" w:hAnsi="Times New Roman" w:eastAsia="宋体"/>
          <w:b w:val="0"/>
          <w:i w:val="0"/>
          <w:sz w:val="24"/>
        </w:rPr>
        <w:t>为增强模型决策的可解释性，本文引入了 Grad-CAM（Gradient-weighted Class Activation Mapping）方法。Grad-CAM 利用目标类别对最后一层卷积特征图的梯度，计算每个特征通道的权重，从而生成与类别相关的热力图，叠加到原始图像上以可视化的方式展示模型做出决策的依据。</w:t>
      </w:r>
    </w:p>
    <w:p>
      <w:pPr>
        <w:spacing w:before="120" w:after="60"/>
        <w:jc w:val="center"/>
      </w:pPr>
      <w:r>
        <w:rPr>
          <w:rFonts w:ascii="Arial" w:hAnsi="Arial" w:eastAsia="宋体"/>
          <w:b w:val="0"/>
          <w:i/>
          <w:color w:val="646464"/>
          <w:sz w:val="22"/>
        </w:rPr>
        <w:t xml:space="preserve">  [ 此处插入：Grad-CAM 热力图可视化示例 ]  </w:t>
      </w:r>
    </w:p>
    <w:p>
      <w:pPr>
        <w:spacing w:before="60" w:after="120" w:line="360" w:lineRule="auto"/>
        <w:jc w:val="center"/>
      </w:pPr>
      <w:r>
        <w:rPr>
          <w:rFonts w:ascii="Times New Roman" w:hAnsi="Times New Roman" w:eastAsia="宋体"/>
          <w:b w:val="0"/>
          <w:i w:val="0"/>
          <w:sz w:val="20"/>
        </w:rPr>
        <w:t>图 1  Grad-CAM 热力图可视化示例</w:t>
      </w:r>
    </w:p>
    <w:p>
      <w:pPr>
        <w:keepNext/>
        <w:spacing w:before="360" w:after="120" w:line="360" w:lineRule="auto"/>
        <w:jc w:val="left"/>
      </w:pPr>
      <w:r>
        <w:rPr>
          <w:rFonts w:ascii="Arial" w:hAnsi="Arial" w:eastAsia="黑体"/>
          <w:b/>
          <w:i w:val="0"/>
          <w:sz w:val="28"/>
        </w:rPr>
        <w:t>3.6  风险等级评估方法</w:t>
      </w:r>
    </w:p>
    <w:p>
      <w:pPr>
        <w:spacing w:before="0" w:after="0" w:line="360" w:lineRule="auto"/>
        <w:ind w:firstLine="420"/>
        <w:jc w:val="both"/>
      </w:pPr>
      <w:r>
        <w:rPr>
          <w:rFonts w:ascii="Times New Roman" w:hAnsi="Times New Roman" w:eastAsia="宋体"/>
          <w:b w:val="0"/>
          <w:i w:val="0"/>
          <w:sz w:val="24"/>
        </w:rPr>
        <w:t>基于病害类别和严重程度分级结果，本文进一步设计了三级风险评估规则：</w:t>
      </w:r>
    </w:p>
    <w:p>
      <w:pPr>
        <w:spacing w:before="120" w:after="60"/>
        <w:jc w:val="center"/>
      </w:pPr>
      <w:r>
        <w:rPr>
          <w:rFonts w:ascii="Times New Roman" w:hAnsi="Times New Roman" w:eastAsia="黑体"/>
          <w:b/>
          <w:i w:val="0"/>
          <w:sz w:val="20"/>
        </w:rPr>
        <w:t>表 1  风险等级划分标准</w:t>
      </w:r>
    </w:p>
    <w:tbl>
      <w:tblPr>
        <w:tblStyle w:val="TableGrid"/>
        <w:tblW w:type="auto" w:w="0"/>
        <w:jc w:val="center"/>
        <w:tblLook w:firstColumn="1" w:firstRow="1" w:lastColumn="0" w:lastRow="0" w:noHBand="0" w:noVBand="1" w:val="04A0"/>
      </w:tblPr>
      <w:tblGrid>
        <w:gridCol w:w="2882"/>
        <w:gridCol w:w="2882"/>
        <w:gridCol w:w="2882"/>
      </w:tblGrid>
      <w:tr>
        <w:tc>
          <w:tcPr>
            <w:tcW w:type="dxa" w:w="1984"/>
            <w:shd w:fill="4472C4"/>
          </w:tcPr>
          <w:p>
            <w:pPr>
              <w:jc w:val="center"/>
            </w:pPr>
            <w:r/>
            <w:r>
              <w:rPr>
                <w:rFonts w:ascii="Arial" w:hAnsi="Arial" w:eastAsia="黑体"/>
                <w:b/>
                <w:i w:val="0"/>
                <w:color w:val="FFFFFF"/>
                <w:sz w:val="20"/>
              </w:rPr>
              <w:t>风险等级</w:t>
            </w:r>
          </w:p>
        </w:tc>
        <w:tc>
          <w:tcPr>
            <w:tcW w:type="dxa" w:w="3118"/>
            <w:shd w:fill="4472C4"/>
          </w:tcPr>
          <w:p>
            <w:pPr>
              <w:jc w:val="center"/>
            </w:pPr>
            <w:r/>
            <w:r>
              <w:rPr>
                <w:rFonts w:ascii="Arial" w:hAnsi="Arial" w:eastAsia="黑体"/>
                <w:b/>
                <w:i w:val="0"/>
                <w:color w:val="FFFFFF"/>
                <w:sz w:val="20"/>
              </w:rPr>
              <w:t>判定条件</w:t>
            </w:r>
          </w:p>
        </w:tc>
        <w:tc>
          <w:tcPr>
            <w:tcW w:type="dxa" w:w="3402"/>
            <w:shd w:fill="4472C4"/>
          </w:tcPr>
          <w:p>
            <w:pPr>
              <w:jc w:val="center"/>
            </w:pPr>
            <w:r/>
            <w:r>
              <w:rPr>
                <w:rFonts w:ascii="Arial" w:hAnsi="Arial" w:eastAsia="黑体"/>
                <w:b/>
                <w:i w:val="0"/>
                <w:color w:val="FFFFFF"/>
                <w:sz w:val="20"/>
              </w:rPr>
              <w:t>应对策略</w:t>
            </w:r>
          </w:p>
        </w:tc>
      </w:tr>
      <w:tr>
        <w:tc>
          <w:tcPr>
            <w:tcW w:type="dxa" w:w="1984"/>
          </w:tcPr>
          <w:p>
            <w:pPr>
              <w:jc w:val="center"/>
            </w:pPr>
            <w:r/>
            <w:r>
              <w:rPr>
                <w:rFonts w:ascii="Times New Roman" w:hAnsi="Times New Roman" w:eastAsia="宋体"/>
                <w:b w:val="0"/>
                <w:i w:val="0"/>
                <w:sz w:val="20"/>
              </w:rPr>
              <w:t>高风险</w:t>
            </w:r>
          </w:p>
        </w:tc>
        <w:tc>
          <w:tcPr>
            <w:tcW w:type="dxa" w:w="3118"/>
          </w:tcPr>
          <w:p>
            <w:pPr>
              <w:jc w:val="center"/>
            </w:pPr>
            <w:r/>
            <w:r>
              <w:rPr>
                <w:rFonts w:ascii="Times New Roman" w:hAnsi="Times New Roman" w:eastAsia="宋体"/>
                <w:b w:val="0"/>
                <w:i w:val="0"/>
                <w:sz w:val="20"/>
              </w:rPr>
              <w:t>严重（2 级）且疾病置信度 &gt; 80%</w:t>
            </w:r>
          </w:p>
        </w:tc>
        <w:tc>
          <w:tcPr>
            <w:tcW w:type="dxa" w:w="3402"/>
          </w:tcPr>
          <w:p>
            <w:pPr>
              <w:jc w:val="center"/>
            </w:pPr>
            <w:r/>
            <w:r>
              <w:rPr>
                <w:rFonts w:ascii="Times New Roman" w:hAnsi="Times New Roman" w:eastAsia="宋体"/>
                <w:b w:val="0"/>
                <w:i w:val="0"/>
                <w:sz w:val="20"/>
              </w:rPr>
              <w:t>需立即采取防控措施</w:t>
            </w:r>
          </w:p>
        </w:tc>
      </w:tr>
      <w:tr>
        <w:tc>
          <w:tcPr>
            <w:tcW w:type="dxa" w:w="1984"/>
            <w:shd w:fill="D9E2F3"/>
          </w:tcPr>
          <w:p>
            <w:pPr>
              <w:jc w:val="center"/>
            </w:pPr>
            <w:r/>
            <w:r>
              <w:rPr>
                <w:rFonts w:ascii="Times New Roman" w:hAnsi="Times New Roman" w:eastAsia="宋体"/>
                <w:b w:val="0"/>
                <w:i w:val="0"/>
                <w:sz w:val="20"/>
              </w:rPr>
              <w:t>中风险</w:t>
            </w:r>
          </w:p>
        </w:tc>
        <w:tc>
          <w:tcPr>
            <w:tcW w:type="dxa" w:w="3118"/>
            <w:shd w:fill="D9E2F3"/>
          </w:tcPr>
          <w:p>
            <w:pPr>
              <w:jc w:val="center"/>
            </w:pPr>
            <w:r/>
            <w:r>
              <w:rPr>
                <w:rFonts w:ascii="Times New Roman" w:hAnsi="Times New Roman" w:eastAsia="宋体"/>
                <w:b w:val="0"/>
                <w:i w:val="0"/>
                <w:sz w:val="20"/>
              </w:rPr>
              <w:t>一般（1 级）且疾病置信度 &gt; 70%</w:t>
            </w:r>
          </w:p>
        </w:tc>
        <w:tc>
          <w:tcPr>
            <w:tcW w:type="dxa" w:w="3402"/>
            <w:shd w:fill="D9E2F3"/>
          </w:tcPr>
          <w:p>
            <w:pPr>
              <w:jc w:val="center"/>
            </w:pPr>
            <w:r/>
            <w:r>
              <w:rPr>
                <w:rFonts w:ascii="Times New Roman" w:hAnsi="Times New Roman" w:eastAsia="宋体"/>
                <w:b w:val="0"/>
                <w:i w:val="0"/>
                <w:sz w:val="20"/>
              </w:rPr>
              <w:t>需密切监测并预防性施药</w:t>
            </w:r>
          </w:p>
        </w:tc>
      </w:tr>
      <w:tr>
        <w:tc>
          <w:tcPr>
            <w:tcW w:type="dxa" w:w="1984"/>
          </w:tcPr>
          <w:p>
            <w:pPr>
              <w:jc w:val="center"/>
            </w:pPr>
            <w:r/>
            <w:r>
              <w:rPr>
                <w:rFonts w:ascii="Times New Roman" w:hAnsi="Times New Roman" w:eastAsia="宋体"/>
                <w:b w:val="0"/>
                <w:i w:val="0"/>
                <w:sz w:val="20"/>
              </w:rPr>
              <w:t>低风险</w:t>
            </w:r>
          </w:p>
        </w:tc>
        <w:tc>
          <w:tcPr>
            <w:tcW w:type="dxa" w:w="3118"/>
          </w:tcPr>
          <w:p>
            <w:pPr>
              <w:jc w:val="center"/>
            </w:pPr>
            <w:r/>
            <w:r>
              <w:rPr>
                <w:rFonts w:ascii="Times New Roman" w:hAnsi="Times New Roman" w:eastAsia="宋体"/>
                <w:b w:val="0"/>
                <w:i w:val="0"/>
                <w:sz w:val="20"/>
              </w:rPr>
              <w:t>健康状态或置信度较低</w:t>
            </w:r>
          </w:p>
        </w:tc>
        <w:tc>
          <w:tcPr>
            <w:tcW w:type="dxa" w:w="3402"/>
          </w:tcPr>
          <w:p>
            <w:pPr>
              <w:jc w:val="center"/>
            </w:pPr>
            <w:r/>
            <w:r>
              <w:rPr>
                <w:rFonts w:ascii="Times New Roman" w:hAnsi="Times New Roman" w:eastAsia="宋体"/>
                <w:b w:val="0"/>
                <w:i w:val="0"/>
                <w:sz w:val="20"/>
              </w:rPr>
              <w:t>常规田间管理即可</w:t>
            </w:r>
          </w:p>
        </w:tc>
      </w:tr>
      <w:tr>
        <w:tc>
          <w:tcPr>
            <w:tcW w:type="dxa" w:w="1984"/>
            <w:shd w:fill="D9E2F3"/>
          </w:tcPr>
          <w:p>
            <w:pPr>
              <w:jc w:val="center"/>
            </w:pPr>
            <w:r/>
            <w:r>
              <w:rPr>
                <w:rFonts w:ascii="Times New Roman" w:hAnsi="Times New Roman" w:eastAsia="宋体"/>
                <w:b w:val="0"/>
                <w:i w:val="0"/>
                <w:sz w:val="20"/>
              </w:rPr>
              <w:t>不确定</w:t>
            </w:r>
          </w:p>
        </w:tc>
        <w:tc>
          <w:tcPr>
            <w:tcW w:type="dxa" w:w="3118"/>
            <w:shd w:fill="D9E2F3"/>
          </w:tcPr>
          <w:p>
            <w:pPr>
              <w:jc w:val="center"/>
            </w:pPr>
            <w:r/>
            <w:r>
              <w:rPr>
                <w:rFonts w:ascii="Times New Roman" w:hAnsi="Times New Roman" w:eastAsia="宋体"/>
                <w:b w:val="0"/>
                <w:i w:val="0"/>
                <w:sz w:val="20"/>
              </w:rPr>
              <w:t>疾病置信度 &lt; 70%</w:t>
            </w:r>
          </w:p>
        </w:tc>
        <w:tc>
          <w:tcPr>
            <w:tcW w:type="dxa" w:w="3402"/>
            <w:shd w:fill="D9E2F3"/>
          </w:tcPr>
          <w:p>
            <w:pPr>
              <w:jc w:val="center"/>
            </w:pPr>
            <w:r/>
            <w:r>
              <w:rPr>
                <w:rFonts w:ascii="Times New Roman" w:hAnsi="Times New Roman" w:eastAsia="宋体"/>
                <w:b w:val="0"/>
                <w:i w:val="0"/>
                <w:sz w:val="20"/>
              </w:rPr>
              <w:t>建议人工复核</w:t>
            </w:r>
          </w:p>
        </w:tc>
      </w:tr>
    </w:tbl>
    <w:p>
      <w:r>
        <w:br w:type="page"/>
      </w:r>
    </w:p>
    <w:p>
      <w:pPr>
        <w:keepNext/>
        <w:spacing w:before="360" w:after="120" w:line="360" w:lineRule="auto"/>
        <w:jc w:val="left"/>
      </w:pPr>
      <w:r>
        <w:rPr>
          <w:rFonts w:ascii="Arial" w:hAnsi="Arial" w:eastAsia="黑体"/>
          <w:b/>
          <w:i w:val="0"/>
          <w:sz w:val="32"/>
        </w:rPr>
        <w:t>第 4 章  实验设计与结果分析</w:t>
      </w:r>
    </w:p>
    <w:p>
      <w:pPr>
        <w:keepNext/>
        <w:spacing w:before="360" w:after="120" w:line="360" w:lineRule="auto"/>
        <w:jc w:val="left"/>
      </w:pPr>
      <w:r>
        <w:rPr>
          <w:rFonts w:ascii="Arial" w:hAnsi="Arial" w:eastAsia="黑体"/>
          <w:b/>
          <w:i w:val="0"/>
          <w:sz w:val="28"/>
        </w:rPr>
        <w:t>4.1  数据集与预处理</w:t>
      </w:r>
    </w:p>
    <w:p>
      <w:pPr>
        <w:spacing w:before="0" w:after="0" w:line="360" w:lineRule="auto"/>
        <w:ind w:firstLine="420"/>
        <w:jc w:val="both"/>
      </w:pPr>
      <w:r>
        <w:rPr>
          <w:rFonts w:ascii="Times New Roman" w:hAnsi="Times New Roman" w:eastAsia="宋体"/>
          <w:b w:val="0"/>
          <w:i w:val="0"/>
          <w:sz w:val="24"/>
        </w:rPr>
        <w:t>本文使用 PlantVillage 公开数据集和 AgriculturalDisease 竞赛数据集进行实验。PlantVillage 数据集包含 14 种作物的 38 类病害图像，共约 54,000 张。AgriculturalDisease 数据集包含 10 种作物的 61 类病害图像，涵盖苹果、樱桃、玉米、葡萄、柑桔、桃、辣椒、马铃薯、草莓、番茄等主要经济作物。</w:t>
      </w:r>
    </w:p>
    <w:p>
      <w:pPr>
        <w:spacing w:before="120" w:after="60"/>
        <w:jc w:val="center"/>
      </w:pPr>
      <w:r>
        <w:rPr>
          <w:rFonts w:ascii="Times New Roman" w:hAnsi="Times New Roman" w:eastAsia="黑体"/>
          <w:b/>
          <w:i w:val="0"/>
          <w:sz w:val="20"/>
        </w:rPr>
        <w:t>表 1  数据集统计信息</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984"/>
            <w:shd w:fill="4472C4"/>
          </w:tcPr>
          <w:p>
            <w:pPr>
              <w:jc w:val="center"/>
            </w:pPr>
            <w:r/>
            <w:r>
              <w:rPr>
                <w:rFonts w:ascii="Arial" w:hAnsi="Arial" w:eastAsia="黑体"/>
                <w:b/>
                <w:i w:val="0"/>
                <w:color w:val="FFFFFF"/>
                <w:sz w:val="20"/>
              </w:rPr>
              <w:t>数据集</w:t>
            </w:r>
          </w:p>
        </w:tc>
        <w:tc>
          <w:tcPr>
            <w:tcW w:type="dxa" w:w="1417"/>
            <w:shd w:fill="4472C4"/>
          </w:tcPr>
          <w:p>
            <w:pPr>
              <w:jc w:val="center"/>
            </w:pPr>
            <w:r/>
            <w:r>
              <w:rPr>
                <w:rFonts w:ascii="Arial" w:hAnsi="Arial" w:eastAsia="黑体"/>
                <w:b/>
                <w:i w:val="0"/>
                <w:color w:val="FFFFFF"/>
                <w:sz w:val="20"/>
              </w:rPr>
              <w:t>作物种类</w:t>
            </w:r>
          </w:p>
        </w:tc>
        <w:tc>
          <w:tcPr>
            <w:tcW w:type="dxa" w:w="1417"/>
            <w:shd w:fill="4472C4"/>
          </w:tcPr>
          <w:p>
            <w:pPr>
              <w:jc w:val="center"/>
            </w:pPr>
            <w:r/>
            <w:r>
              <w:rPr>
                <w:rFonts w:ascii="Arial" w:hAnsi="Arial" w:eastAsia="黑体"/>
                <w:b/>
                <w:i w:val="0"/>
                <w:color w:val="FFFFFF"/>
                <w:sz w:val="20"/>
              </w:rPr>
              <w:t>病害类别数</w:t>
            </w:r>
          </w:p>
        </w:tc>
        <w:tc>
          <w:tcPr>
            <w:tcW w:type="dxa" w:w="1417"/>
            <w:shd w:fill="4472C4"/>
          </w:tcPr>
          <w:p>
            <w:pPr>
              <w:jc w:val="center"/>
            </w:pPr>
            <w:r/>
            <w:r>
              <w:rPr>
                <w:rFonts w:ascii="Arial" w:hAnsi="Arial" w:eastAsia="黑体"/>
                <w:b/>
                <w:i w:val="0"/>
                <w:color w:val="FFFFFF"/>
                <w:sz w:val="20"/>
              </w:rPr>
              <w:t>总样本量</w:t>
            </w:r>
          </w:p>
        </w:tc>
        <w:tc>
          <w:tcPr>
            <w:tcW w:type="dxa" w:w="1417"/>
            <w:shd w:fill="4472C4"/>
          </w:tcPr>
          <w:p>
            <w:pPr>
              <w:jc w:val="center"/>
            </w:pPr>
            <w:r/>
            <w:r>
              <w:rPr>
                <w:rFonts w:ascii="Arial" w:hAnsi="Arial" w:eastAsia="黑体"/>
                <w:b/>
                <w:i w:val="0"/>
                <w:color w:val="FFFFFF"/>
                <w:sz w:val="20"/>
              </w:rPr>
              <w:t>训练/验证比例</w:t>
            </w:r>
          </w:p>
        </w:tc>
      </w:tr>
      <w:tr>
        <w:tc>
          <w:tcPr>
            <w:tcW w:type="dxa" w:w="1984"/>
          </w:tcPr>
          <w:p>
            <w:pPr>
              <w:jc w:val="center"/>
            </w:pPr>
            <w:r/>
            <w:r>
              <w:rPr>
                <w:rFonts w:ascii="Times New Roman" w:hAnsi="Times New Roman" w:eastAsia="宋体"/>
                <w:b w:val="0"/>
                <w:i w:val="0"/>
                <w:sz w:val="20"/>
              </w:rPr>
              <w:t>PlantVillage</w:t>
            </w:r>
          </w:p>
        </w:tc>
        <w:tc>
          <w:tcPr>
            <w:tcW w:type="dxa" w:w="1417"/>
          </w:tcPr>
          <w:p>
            <w:pPr>
              <w:jc w:val="center"/>
            </w:pPr>
            <w:r/>
            <w:r>
              <w:rPr>
                <w:rFonts w:ascii="Times New Roman" w:hAnsi="Times New Roman" w:eastAsia="宋体"/>
                <w:b w:val="0"/>
                <w:i w:val="0"/>
                <w:sz w:val="20"/>
              </w:rPr>
              <w:t>14</w:t>
            </w:r>
          </w:p>
        </w:tc>
        <w:tc>
          <w:tcPr>
            <w:tcW w:type="dxa" w:w="1417"/>
          </w:tcPr>
          <w:p>
            <w:pPr>
              <w:jc w:val="center"/>
            </w:pPr>
            <w:r/>
            <w:r>
              <w:rPr>
                <w:rFonts w:ascii="Times New Roman" w:hAnsi="Times New Roman" w:eastAsia="宋体"/>
                <w:b w:val="0"/>
                <w:i w:val="0"/>
                <w:sz w:val="20"/>
              </w:rPr>
              <w:t>38</w:t>
            </w:r>
          </w:p>
        </w:tc>
        <w:tc>
          <w:tcPr>
            <w:tcW w:type="dxa" w:w="1417"/>
          </w:tcPr>
          <w:p>
            <w:pPr>
              <w:jc w:val="center"/>
            </w:pPr>
            <w:r/>
            <w:r>
              <w:rPr>
                <w:rFonts w:ascii="Times New Roman" w:hAnsi="Times New Roman" w:eastAsia="宋体"/>
                <w:b w:val="0"/>
                <w:i w:val="0"/>
                <w:sz w:val="20"/>
              </w:rPr>
              <w:t>~54,000</w:t>
            </w:r>
          </w:p>
        </w:tc>
        <w:tc>
          <w:tcPr>
            <w:tcW w:type="dxa" w:w="1417"/>
          </w:tcPr>
          <w:p>
            <w:pPr>
              <w:jc w:val="center"/>
            </w:pPr>
            <w:r/>
            <w:r>
              <w:rPr>
                <w:rFonts w:ascii="Times New Roman" w:hAnsi="Times New Roman" w:eastAsia="宋体"/>
                <w:b w:val="0"/>
                <w:i w:val="0"/>
                <w:sz w:val="20"/>
              </w:rPr>
              <w:t>80% / 20%</w:t>
            </w:r>
          </w:p>
        </w:tc>
      </w:tr>
      <w:tr>
        <w:tc>
          <w:tcPr>
            <w:tcW w:type="dxa" w:w="1984"/>
            <w:shd w:fill="D9E2F3"/>
          </w:tcPr>
          <w:p>
            <w:pPr>
              <w:jc w:val="center"/>
            </w:pPr>
            <w:r/>
            <w:r>
              <w:rPr>
                <w:rFonts w:ascii="Times New Roman" w:hAnsi="Times New Roman" w:eastAsia="宋体"/>
                <w:b w:val="0"/>
                <w:i w:val="0"/>
                <w:sz w:val="20"/>
              </w:rPr>
              <w:t>AgriculturalDisease</w:t>
            </w:r>
          </w:p>
        </w:tc>
        <w:tc>
          <w:tcPr>
            <w:tcW w:type="dxa" w:w="1417"/>
            <w:shd w:fill="D9E2F3"/>
          </w:tcPr>
          <w:p>
            <w:pPr>
              <w:jc w:val="center"/>
            </w:pPr>
            <w:r/>
            <w:r>
              <w:rPr>
                <w:rFonts w:ascii="Times New Roman" w:hAnsi="Times New Roman" w:eastAsia="宋体"/>
                <w:b w:val="0"/>
                <w:i w:val="0"/>
                <w:sz w:val="20"/>
              </w:rPr>
              <w:t>10</w:t>
            </w:r>
          </w:p>
        </w:tc>
        <w:tc>
          <w:tcPr>
            <w:tcW w:type="dxa" w:w="1417"/>
            <w:shd w:fill="D9E2F3"/>
          </w:tcPr>
          <w:p>
            <w:pPr>
              <w:jc w:val="center"/>
            </w:pPr>
            <w:r/>
            <w:r>
              <w:rPr>
                <w:rFonts w:ascii="Times New Roman" w:hAnsi="Times New Roman" w:eastAsia="宋体"/>
                <w:b w:val="0"/>
                <w:i w:val="0"/>
                <w:sz w:val="20"/>
              </w:rPr>
              <w:t>61</w:t>
            </w:r>
          </w:p>
        </w:tc>
        <w:tc>
          <w:tcPr>
            <w:tcW w:type="dxa" w:w="1417"/>
            <w:shd w:fill="D9E2F3"/>
          </w:tcPr>
          <w:p>
            <w:pPr>
              <w:jc w:val="center"/>
            </w:pPr>
            <w:r/>
            <w:r>
              <w:rPr>
                <w:rFonts w:ascii="Times New Roman" w:hAnsi="Times New Roman" w:eastAsia="宋体"/>
                <w:b w:val="0"/>
                <w:i w:val="0"/>
                <w:sz w:val="20"/>
              </w:rPr>
              <w:t>~45,000</w:t>
            </w:r>
          </w:p>
        </w:tc>
        <w:tc>
          <w:tcPr>
            <w:tcW w:type="dxa" w:w="1417"/>
            <w:shd w:fill="D9E2F3"/>
          </w:tcPr>
          <w:p>
            <w:pPr>
              <w:jc w:val="center"/>
            </w:pPr>
            <w:r/>
            <w:r>
              <w:rPr>
                <w:rFonts w:ascii="Times New Roman" w:hAnsi="Times New Roman" w:eastAsia="宋体"/>
                <w:b w:val="0"/>
                <w:i w:val="0"/>
                <w:sz w:val="20"/>
              </w:rPr>
              <w:t>80% / 20%</w:t>
            </w:r>
          </w:p>
        </w:tc>
      </w:tr>
    </w:tbl>
    <w:p>
      <w:pPr>
        <w:keepNext/>
        <w:spacing w:before="360" w:after="120" w:line="360" w:lineRule="auto"/>
        <w:jc w:val="left"/>
      </w:pPr>
      <w:r>
        <w:rPr>
          <w:rFonts w:ascii="Arial" w:hAnsi="Arial" w:eastAsia="黑体"/>
          <w:b/>
          <w:i w:val="0"/>
          <w:sz w:val="28"/>
        </w:rPr>
        <w:t>4.2  实验设置与评价指标</w:t>
      </w:r>
    </w:p>
    <w:p>
      <w:pPr>
        <w:spacing w:before="0" w:after="0" w:line="360" w:lineRule="auto"/>
        <w:ind w:firstLine="420"/>
        <w:jc w:val="both"/>
      </w:pPr>
      <w:r>
        <w:rPr>
          <w:rFonts w:ascii="Times New Roman" w:hAnsi="Times New Roman" w:eastAsia="宋体"/>
          <w:b w:val="0"/>
          <w:i w:val="0"/>
          <w:sz w:val="24"/>
        </w:rPr>
        <w:t>所有实验在以下统一条件下进行。</w:t>
      </w:r>
    </w:p>
    <w:p>
      <w:pPr>
        <w:spacing w:before="120" w:after="60"/>
        <w:jc w:val="center"/>
      </w:pPr>
      <w:r>
        <w:rPr>
          <w:rFonts w:ascii="Times New Roman" w:hAnsi="Times New Roman" w:eastAsia="黑体"/>
          <w:b/>
          <w:i w:val="0"/>
          <w:sz w:val="20"/>
        </w:rPr>
        <w:t>表 1  实验超参数设置</w:t>
      </w:r>
    </w:p>
    <w:tbl>
      <w:tblPr>
        <w:tblStyle w:val="TableGrid"/>
        <w:tblW w:type="auto" w:w="0"/>
        <w:jc w:val="center"/>
        <w:tblLook w:firstColumn="1" w:firstRow="1" w:lastColumn="0" w:lastRow="0" w:noHBand="0" w:noVBand="1" w:val="04A0"/>
      </w:tblPr>
      <w:tblGrid>
        <w:gridCol w:w="4323"/>
        <w:gridCol w:w="4323"/>
      </w:tblGrid>
      <w:tr>
        <w:tc>
          <w:tcPr>
            <w:tcW w:type="dxa" w:w="2835"/>
            <w:shd w:fill="4472C4"/>
          </w:tcPr>
          <w:p>
            <w:pPr>
              <w:jc w:val="center"/>
            </w:pPr>
            <w:r/>
            <w:r>
              <w:rPr>
                <w:rFonts w:ascii="Arial" w:hAnsi="Arial" w:eastAsia="黑体"/>
                <w:b/>
                <w:i w:val="0"/>
                <w:color w:val="FFFFFF"/>
                <w:sz w:val="20"/>
              </w:rPr>
              <w:t>超参数</w:t>
            </w:r>
          </w:p>
        </w:tc>
        <w:tc>
          <w:tcPr>
            <w:tcW w:type="dxa" w:w="5669"/>
            <w:shd w:fill="4472C4"/>
          </w:tcPr>
          <w:p>
            <w:pPr>
              <w:jc w:val="center"/>
            </w:pPr>
            <w:r/>
            <w:r>
              <w:rPr>
                <w:rFonts w:ascii="Arial" w:hAnsi="Arial" w:eastAsia="黑体"/>
                <w:b/>
                <w:i w:val="0"/>
                <w:color w:val="FFFFFF"/>
                <w:sz w:val="20"/>
              </w:rPr>
              <w:t>取值</w:t>
            </w:r>
          </w:p>
        </w:tc>
      </w:tr>
      <w:tr>
        <w:tc>
          <w:tcPr>
            <w:tcW w:type="dxa" w:w="2835"/>
          </w:tcPr>
          <w:p>
            <w:pPr>
              <w:jc w:val="center"/>
            </w:pPr>
            <w:r/>
            <w:r>
              <w:rPr>
                <w:rFonts w:ascii="Times New Roman" w:hAnsi="Times New Roman" w:eastAsia="宋体"/>
                <w:b w:val="0"/>
                <w:i w:val="0"/>
                <w:sz w:val="20"/>
              </w:rPr>
              <w:t>骨干网络</w:t>
            </w:r>
          </w:p>
        </w:tc>
        <w:tc>
          <w:tcPr>
            <w:tcW w:type="dxa" w:w="5669"/>
          </w:tcPr>
          <w:p>
            <w:pPr>
              <w:jc w:val="center"/>
            </w:pPr>
            <w:r/>
            <w:r>
              <w:rPr>
                <w:rFonts w:ascii="Times New Roman" w:hAnsi="Times New Roman" w:eastAsia="宋体"/>
                <w:b w:val="0"/>
                <w:i w:val="0"/>
                <w:sz w:val="20"/>
              </w:rPr>
              <w:t>MobileNetV2（ImageNet 预训练）</w:t>
            </w:r>
          </w:p>
        </w:tc>
      </w:tr>
      <w:tr>
        <w:tc>
          <w:tcPr>
            <w:tcW w:type="dxa" w:w="2835"/>
            <w:shd w:fill="D9E2F3"/>
          </w:tcPr>
          <w:p>
            <w:pPr>
              <w:jc w:val="center"/>
            </w:pPr>
            <w:r/>
            <w:r>
              <w:rPr>
                <w:rFonts w:ascii="Times New Roman" w:hAnsi="Times New Roman" w:eastAsia="宋体"/>
                <w:b w:val="0"/>
                <w:i w:val="0"/>
                <w:sz w:val="20"/>
              </w:rPr>
              <w:t>输入尺寸</w:t>
            </w:r>
          </w:p>
        </w:tc>
        <w:tc>
          <w:tcPr>
            <w:tcW w:type="dxa" w:w="5669"/>
            <w:shd w:fill="D9E2F3"/>
          </w:tcPr>
          <w:p>
            <w:pPr>
              <w:jc w:val="center"/>
            </w:pPr>
            <w:r/>
            <w:r>
              <w:rPr>
                <w:rFonts w:ascii="Times New Roman" w:hAnsi="Times New Roman" w:eastAsia="宋体"/>
                <w:b w:val="0"/>
                <w:i w:val="0"/>
                <w:sz w:val="20"/>
              </w:rPr>
              <w:t>128 × 128</w:t>
            </w:r>
          </w:p>
        </w:tc>
      </w:tr>
      <w:tr>
        <w:tc>
          <w:tcPr>
            <w:tcW w:type="dxa" w:w="2835"/>
          </w:tcPr>
          <w:p>
            <w:pPr>
              <w:jc w:val="center"/>
            </w:pPr>
            <w:r/>
            <w:r>
              <w:rPr>
                <w:rFonts w:ascii="Times New Roman" w:hAnsi="Times New Roman" w:eastAsia="宋体"/>
                <w:b w:val="0"/>
                <w:i w:val="0"/>
                <w:sz w:val="20"/>
              </w:rPr>
              <w:t>优化器</w:t>
            </w:r>
          </w:p>
        </w:tc>
        <w:tc>
          <w:tcPr>
            <w:tcW w:type="dxa" w:w="5669"/>
          </w:tcPr>
          <w:p>
            <w:pPr>
              <w:jc w:val="center"/>
            </w:pPr>
            <w:r/>
            <w:r>
              <w:rPr>
                <w:rFonts w:ascii="Times New Roman" w:hAnsi="Times New Roman" w:eastAsia="宋体"/>
                <w:b w:val="0"/>
                <w:i w:val="0"/>
                <w:sz w:val="20"/>
              </w:rPr>
              <w:t>AdamW（lr=5e-4, weight_decay=1e-4）</w:t>
            </w:r>
          </w:p>
        </w:tc>
      </w:tr>
      <w:tr>
        <w:tc>
          <w:tcPr>
            <w:tcW w:type="dxa" w:w="2835"/>
            <w:shd w:fill="D9E2F3"/>
          </w:tcPr>
          <w:p>
            <w:pPr>
              <w:jc w:val="center"/>
            </w:pPr>
            <w:r/>
            <w:r>
              <w:rPr>
                <w:rFonts w:ascii="Times New Roman" w:hAnsi="Times New Roman" w:eastAsia="宋体"/>
                <w:b w:val="0"/>
                <w:i w:val="0"/>
                <w:sz w:val="20"/>
              </w:rPr>
              <w:t>学习率调度</w:t>
            </w:r>
          </w:p>
        </w:tc>
        <w:tc>
          <w:tcPr>
            <w:tcW w:type="dxa" w:w="5669"/>
            <w:shd w:fill="D9E2F3"/>
          </w:tcPr>
          <w:p>
            <w:pPr>
              <w:jc w:val="center"/>
            </w:pPr>
            <w:r/>
            <w:r>
              <w:rPr>
                <w:rFonts w:ascii="Times New Roman" w:hAnsi="Times New Roman" w:eastAsia="宋体"/>
                <w:b w:val="0"/>
                <w:i w:val="0"/>
                <w:sz w:val="20"/>
              </w:rPr>
              <w:t>ReduceLROnPlateau（patience=3, factor=0.5）</w:t>
            </w:r>
          </w:p>
        </w:tc>
      </w:tr>
      <w:tr>
        <w:tc>
          <w:tcPr>
            <w:tcW w:type="dxa" w:w="2835"/>
          </w:tcPr>
          <w:p>
            <w:pPr>
              <w:jc w:val="center"/>
            </w:pPr>
            <w:r/>
            <w:r>
              <w:rPr>
                <w:rFonts w:ascii="Times New Roman" w:hAnsi="Times New Roman" w:eastAsia="宋体"/>
                <w:b w:val="0"/>
                <w:i w:val="0"/>
                <w:sz w:val="20"/>
              </w:rPr>
              <w:t>早停轮次</w:t>
            </w:r>
          </w:p>
        </w:tc>
        <w:tc>
          <w:tcPr>
            <w:tcW w:type="dxa" w:w="5669"/>
          </w:tcPr>
          <w:p>
            <w:pPr>
              <w:jc w:val="center"/>
            </w:pPr>
            <w:r/>
            <w:r>
              <w:rPr>
                <w:rFonts w:ascii="Times New Roman" w:hAnsi="Times New Roman" w:eastAsia="宋体"/>
                <w:b w:val="0"/>
                <w:i w:val="0"/>
                <w:sz w:val="20"/>
              </w:rPr>
              <w:t>5</w:t>
            </w:r>
          </w:p>
        </w:tc>
      </w:tr>
      <w:tr>
        <w:tc>
          <w:tcPr>
            <w:tcW w:type="dxa" w:w="2835"/>
            <w:shd w:fill="D9E2F3"/>
          </w:tcPr>
          <w:p>
            <w:pPr>
              <w:jc w:val="center"/>
            </w:pPr>
            <w:r/>
            <w:r>
              <w:rPr>
                <w:rFonts w:ascii="Times New Roman" w:hAnsi="Times New Roman" w:eastAsia="宋体"/>
                <w:b w:val="0"/>
                <w:i w:val="0"/>
                <w:sz w:val="20"/>
              </w:rPr>
              <w:t>最大训练轮次</w:t>
            </w:r>
          </w:p>
        </w:tc>
        <w:tc>
          <w:tcPr>
            <w:tcW w:type="dxa" w:w="5669"/>
            <w:shd w:fill="D9E2F3"/>
          </w:tcPr>
          <w:p>
            <w:pPr>
              <w:jc w:val="center"/>
            </w:pPr>
            <w:r/>
            <w:r>
              <w:rPr>
                <w:rFonts w:ascii="Times New Roman" w:hAnsi="Times New Roman" w:eastAsia="宋体"/>
                <w:b w:val="0"/>
                <w:i w:val="0"/>
                <w:sz w:val="20"/>
              </w:rPr>
              <w:t>15</w:t>
            </w:r>
          </w:p>
        </w:tc>
      </w:tr>
      <w:tr>
        <w:tc>
          <w:tcPr>
            <w:tcW w:type="dxa" w:w="2835"/>
          </w:tcPr>
          <w:p>
            <w:pPr>
              <w:jc w:val="center"/>
            </w:pPr>
            <w:r/>
            <w:r>
              <w:rPr>
                <w:rFonts w:ascii="Times New Roman" w:hAnsi="Times New Roman" w:eastAsia="宋体"/>
                <w:b w:val="0"/>
                <w:i w:val="0"/>
                <w:sz w:val="20"/>
              </w:rPr>
              <w:t>批大小</w:t>
            </w:r>
          </w:p>
        </w:tc>
        <w:tc>
          <w:tcPr>
            <w:tcW w:type="dxa" w:w="5669"/>
          </w:tcPr>
          <w:p>
            <w:pPr>
              <w:jc w:val="center"/>
            </w:pPr>
            <w:r/>
            <w:r>
              <w:rPr>
                <w:rFonts w:ascii="Times New Roman" w:hAnsi="Times New Roman" w:eastAsia="宋体"/>
                <w:b w:val="0"/>
                <w:i w:val="0"/>
                <w:sz w:val="20"/>
              </w:rPr>
              <w:t>16（GPU）/ 4（CPU）</w:t>
            </w:r>
          </w:p>
        </w:tc>
      </w:tr>
      <w:tr>
        <w:tc>
          <w:tcPr>
            <w:tcW w:type="dxa" w:w="2835"/>
            <w:shd w:fill="D9E2F3"/>
          </w:tcPr>
          <w:p>
            <w:pPr>
              <w:jc w:val="center"/>
            </w:pPr>
            <w:r/>
            <w:r>
              <w:rPr>
                <w:rFonts w:ascii="Times New Roman" w:hAnsi="Times New Roman" w:eastAsia="宋体"/>
                <w:b w:val="0"/>
                <w:i w:val="0"/>
                <w:sz w:val="20"/>
              </w:rPr>
              <w:t>数据增强</w:t>
            </w:r>
          </w:p>
        </w:tc>
        <w:tc>
          <w:tcPr>
            <w:tcW w:type="dxa" w:w="5669"/>
            <w:shd w:fill="D9E2F3"/>
          </w:tcPr>
          <w:p>
            <w:pPr>
              <w:jc w:val="center"/>
            </w:pPr>
            <w:r/>
            <w:r>
              <w:rPr>
                <w:rFonts w:ascii="Times New Roman" w:hAnsi="Times New Roman" w:eastAsia="宋体"/>
                <w:b w:val="0"/>
                <w:i w:val="0"/>
                <w:sz w:val="20"/>
              </w:rPr>
              <w:t>RandomHorizontalFlip(p=0.3), RandomRotation(10°)</w:t>
            </w:r>
          </w:p>
        </w:tc>
      </w:tr>
      <w:tr>
        <w:tc>
          <w:tcPr>
            <w:tcW w:type="dxa" w:w="2835"/>
          </w:tcPr>
          <w:p>
            <w:pPr>
              <w:jc w:val="center"/>
            </w:pPr>
            <w:r/>
            <w:r>
              <w:rPr>
                <w:rFonts w:ascii="Times New Roman" w:hAnsi="Times New Roman" w:eastAsia="宋体"/>
                <w:b w:val="0"/>
                <w:i w:val="0"/>
                <w:sz w:val="20"/>
              </w:rPr>
              <w:t>任务权重</w:t>
            </w:r>
          </w:p>
        </w:tc>
        <w:tc>
          <w:tcPr>
            <w:tcW w:type="dxa" w:w="5669"/>
          </w:tcPr>
          <w:p>
            <w:pPr>
              <w:jc w:val="center"/>
            </w:pPr>
            <w:r/>
            <w:r>
              <w:rPr>
                <w:rFonts w:ascii="Times New Roman" w:hAnsi="Times New Roman" w:eastAsia="宋体"/>
                <w:b w:val="0"/>
                <w:i w:val="0"/>
                <w:sz w:val="20"/>
              </w:rPr>
              <w:t>λ₁=1.0（疾病）, λ₂=0.8（严重程度）</w:t>
            </w:r>
          </w:p>
        </w:tc>
      </w:tr>
    </w:tbl>
    <w:p>
      <w:pPr>
        <w:keepNext/>
        <w:spacing w:before="360" w:after="120" w:line="360" w:lineRule="auto"/>
        <w:jc w:val="left"/>
      </w:pPr>
      <w:r>
        <w:rPr>
          <w:rFonts w:ascii="Arial" w:hAnsi="Arial" w:eastAsia="黑体"/>
          <w:b/>
          <w:i w:val="0"/>
          <w:sz w:val="28"/>
        </w:rPr>
        <w:t>4.3  多任务与单任务对比实验</w:t>
      </w:r>
    </w:p>
    <w:p>
      <w:pPr>
        <w:spacing w:before="0" w:after="0" w:line="360" w:lineRule="auto"/>
        <w:ind w:firstLine="420"/>
        <w:jc w:val="both"/>
      </w:pPr>
      <w:r>
        <w:rPr>
          <w:rFonts w:ascii="Times New Roman" w:hAnsi="Times New Roman" w:eastAsia="宋体"/>
          <w:b w:val="0"/>
          <w:i w:val="0"/>
          <w:sz w:val="24"/>
        </w:rPr>
        <w:t>为验证多任务学习的协同效应，本文训练了三组模型进行对比：（1）多任务模型（本文方法），同时预测病害类别和严重程度；（2）单任务疾病分类模型，仅预测病害类别；（3）单任务严重程度分级模型，仅预测严重程度等级。三组模型使用相同的骨干网络和训练条件，确保对比公平。</w:t>
      </w:r>
    </w:p>
    <w:p>
      <w:pPr>
        <w:spacing w:before="120" w:after="60"/>
        <w:jc w:val="center"/>
      </w:pPr>
      <w:r>
        <w:rPr>
          <w:rFonts w:ascii="Times New Roman" w:hAnsi="Times New Roman" w:eastAsia="黑体"/>
          <w:b/>
          <w:i w:val="0"/>
          <w:sz w:val="20"/>
        </w:rPr>
        <w:t>表 1  主实验结果：多任务 vs 单任务性能对比</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984"/>
            <w:shd w:fill="4472C4"/>
          </w:tcPr>
          <w:p>
            <w:pPr>
              <w:jc w:val="center"/>
            </w:pPr>
            <w:r/>
            <w:r>
              <w:rPr>
                <w:rFonts w:ascii="Arial" w:hAnsi="Arial" w:eastAsia="黑体"/>
                <w:b/>
                <w:i w:val="0"/>
                <w:color w:val="FFFFFF"/>
                <w:sz w:val="20"/>
              </w:rPr>
              <w:t>模型</w:t>
            </w:r>
          </w:p>
        </w:tc>
        <w:tc>
          <w:tcPr>
            <w:tcW w:type="dxa" w:w="1701"/>
            <w:shd w:fill="4472C4"/>
          </w:tcPr>
          <w:p>
            <w:pPr>
              <w:jc w:val="center"/>
            </w:pPr>
            <w:r/>
            <w:r>
              <w:rPr>
                <w:rFonts w:ascii="Arial" w:hAnsi="Arial" w:eastAsia="黑体"/>
                <w:b/>
                <w:i w:val="0"/>
                <w:color w:val="FFFFFF"/>
                <w:sz w:val="20"/>
              </w:rPr>
              <w:t>疾病分类 Acc (%)</w:t>
            </w:r>
          </w:p>
        </w:tc>
        <w:tc>
          <w:tcPr>
            <w:tcW w:type="dxa" w:w="1587"/>
            <w:shd w:fill="4472C4"/>
          </w:tcPr>
          <w:p>
            <w:pPr>
              <w:jc w:val="center"/>
            </w:pPr>
            <w:r/>
            <w:r>
              <w:rPr>
                <w:rFonts w:ascii="Arial" w:hAnsi="Arial" w:eastAsia="黑体"/>
                <w:b/>
                <w:i w:val="0"/>
                <w:color w:val="FFFFFF"/>
                <w:sz w:val="20"/>
              </w:rPr>
              <w:t>疾病分类 F1</w:t>
            </w:r>
          </w:p>
        </w:tc>
        <w:tc>
          <w:tcPr>
            <w:tcW w:type="dxa" w:w="1701"/>
            <w:shd w:fill="4472C4"/>
          </w:tcPr>
          <w:p>
            <w:pPr>
              <w:jc w:val="center"/>
            </w:pPr>
            <w:r/>
            <w:r>
              <w:rPr>
                <w:rFonts w:ascii="Arial" w:hAnsi="Arial" w:eastAsia="黑体"/>
                <w:b/>
                <w:i w:val="0"/>
                <w:color w:val="FFFFFF"/>
                <w:sz w:val="20"/>
              </w:rPr>
              <w:t>严重程度 Acc (%)</w:t>
            </w:r>
          </w:p>
        </w:tc>
        <w:tc>
          <w:tcPr>
            <w:tcW w:type="dxa" w:w="1587"/>
            <w:shd w:fill="4472C4"/>
          </w:tcPr>
          <w:p>
            <w:pPr>
              <w:jc w:val="center"/>
            </w:pPr>
            <w:r/>
            <w:r>
              <w:rPr>
                <w:rFonts w:ascii="Arial" w:hAnsi="Arial" w:eastAsia="黑体"/>
                <w:b/>
                <w:i w:val="0"/>
                <w:color w:val="FFFFFF"/>
                <w:sz w:val="20"/>
              </w:rPr>
              <w:t>严重程度 F1</w:t>
            </w:r>
          </w:p>
        </w:tc>
      </w:tr>
      <w:tr>
        <w:tc>
          <w:tcPr>
            <w:tcW w:type="dxa" w:w="1984"/>
          </w:tcPr>
          <w:p>
            <w:pPr>
              <w:jc w:val="center"/>
            </w:pPr>
            <w:r/>
            <w:r>
              <w:rPr>
                <w:rFonts w:ascii="Times New Roman" w:hAnsi="Times New Roman" w:eastAsia="宋体"/>
                <w:b w:val="0"/>
                <w:i w:val="0"/>
                <w:sz w:val="20"/>
              </w:rPr>
              <w:t>单任务疾病模型</w:t>
            </w:r>
          </w:p>
        </w:tc>
        <w:tc>
          <w:tcPr>
            <w:tcW w:type="dxa" w:w="1701"/>
          </w:tcPr>
          <w:p>
            <w:pPr>
              <w:jc w:val="center"/>
            </w:pPr>
            <w:r/>
            <w:r>
              <w:rPr>
                <w:rFonts w:ascii="Times New Roman" w:hAnsi="Times New Roman" w:eastAsia="宋体"/>
                <w:b w:val="0"/>
                <w:i w:val="0"/>
                <w:sz w:val="20"/>
              </w:rPr>
              <w:t>XX.XX</w:t>
            </w:r>
          </w:p>
        </w:tc>
        <w:tc>
          <w:tcPr>
            <w:tcW w:type="dxa" w:w="1587"/>
          </w:tcPr>
          <w:p>
            <w:pPr>
              <w:jc w:val="center"/>
            </w:pPr>
            <w:r/>
            <w:r>
              <w:rPr>
                <w:rFonts w:ascii="Times New Roman" w:hAnsi="Times New Roman" w:eastAsia="宋体"/>
                <w:b w:val="0"/>
                <w:i w:val="0"/>
                <w:sz w:val="20"/>
              </w:rPr>
              <w:t>X.XXXX</w:t>
            </w:r>
          </w:p>
        </w:tc>
        <w:tc>
          <w:tcPr>
            <w:tcW w:type="dxa" w:w="1701"/>
          </w:tcPr>
          <w:p>
            <w:pPr>
              <w:jc w:val="center"/>
            </w:pPr>
            <w:r/>
            <w:r>
              <w:rPr>
                <w:rFonts w:ascii="Times New Roman" w:hAnsi="Times New Roman" w:eastAsia="宋体"/>
                <w:b w:val="0"/>
                <w:i w:val="0"/>
                <w:sz w:val="20"/>
              </w:rPr>
              <w:t>—</w:t>
            </w:r>
          </w:p>
        </w:tc>
        <w:tc>
          <w:tcPr>
            <w:tcW w:type="dxa" w:w="1587"/>
          </w:tcPr>
          <w:p>
            <w:pPr>
              <w:jc w:val="center"/>
            </w:pPr>
            <w:r/>
            <w:r>
              <w:rPr>
                <w:rFonts w:ascii="Times New Roman" w:hAnsi="Times New Roman" w:eastAsia="宋体"/>
                <w:b w:val="0"/>
                <w:i w:val="0"/>
                <w:sz w:val="20"/>
              </w:rPr>
              <w:t>—</w:t>
            </w:r>
          </w:p>
        </w:tc>
      </w:tr>
      <w:tr>
        <w:tc>
          <w:tcPr>
            <w:tcW w:type="dxa" w:w="1984"/>
            <w:shd w:fill="D9E2F3"/>
          </w:tcPr>
          <w:p>
            <w:pPr>
              <w:jc w:val="center"/>
            </w:pPr>
            <w:r/>
            <w:r>
              <w:rPr>
                <w:rFonts w:ascii="Times New Roman" w:hAnsi="Times New Roman" w:eastAsia="宋体"/>
                <w:b w:val="0"/>
                <w:i w:val="0"/>
                <w:sz w:val="20"/>
              </w:rPr>
              <w:t>单任务严重程度模型</w:t>
            </w:r>
          </w:p>
        </w:tc>
        <w:tc>
          <w:tcPr>
            <w:tcW w:type="dxa" w:w="1701"/>
            <w:shd w:fill="D9E2F3"/>
          </w:tcPr>
          <w:p>
            <w:pPr>
              <w:jc w:val="center"/>
            </w:pPr>
            <w:r/>
            <w:r>
              <w:rPr>
                <w:rFonts w:ascii="Times New Roman" w:hAnsi="Times New Roman" w:eastAsia="宋体"/>
                <w:b w:val="0"/>
                <w:i w:val="0"/>
                <w:sz w:val="20"/>
              </w:rPr>
              <w:t>—</w:t>
            </w:r>
          </w:p>
        </w:tc>
        <w:tc>
          <w:tcPr>
            <w:tcW w:type="dxa" w:w="1587"/>
            <w:shd w:fill="D9E2F3"/>
          </w:tcPr>
          <w:p>
            <w:pPr>
              <w:jc w:val="center"/>
            </w:pPr>
            <w:r/>
            <w:r>
              <w:rPr>
                <w:rFonts w:ascii="Times New Roman" w:hAnsi="Times New Roman" w:eastAsia="宋体"/>
                <w:b w:val="0"/>
                <w:i w:val="0"/>
                <w:sz w:val="20"/>
              </w:rPr>
              <w:t>—</w:t>
            </w:r>
          </w:p>
        </w:tc>
        <w:tc>
          <w:tcPr>
            <w:tcW w:type="dxa" w:w="1701"/>
            <w:shd w:fill="D9E2F3"/>
          </w:tcPr>
          <w:p>
            <w:pPr>
              <w:jc w:val="center"/>
            </w:pPr>
            <w:r/>
            <w:r>
              <w:rPr>
                <w:rFonts w:ascii="Times New Roman" w:hAnsi="Times New Roman" w:eastAsia="宋体"/>
                <w:b w:val="0"/>
                <w:i w:val="0"/>
                <w:sz w:val="20"/>
              </w:rPr>
              <w:t>XX.XX</w:t>
            </w:r>
          </w:p>
        </w:tc>
        <w:tc>
          <w:tcPr>
            <w:tcW w:type="dxa" w:w="1587"/>
            <w:shd w:fill="D9E2F3"/>
          </w:tcPr>
          <w:p>
            <w:pPr>
              <w:jc w:val="center"/>
            </w:pPr>
            <w:r/>
            <w:r>
              <w:rPr>
                <w:rFonts w:ascii="Times New Roman" w:hAnsi="Times New Roman" w:eastAsia="宋体"/>
                <w:b w:val="0"/>
                <w:i w:val="0"/>
                <w:sz w:val="20"/>
              </w:rPr>
              <w:t>X.XXXX</w:t>
            </w:r>
          </w:p>
        </w:tc>
      </w:tr>
      <w:tr>
        <w:tc>
          <w:tcPr>
            <w:tcW w:type="dxa" w:w="1984"/>
          </w:tcPr>
          <w:p>
            <w:pPr>
              <w:jc w:val="center"/>
            </w:pPr>
            <w:r/>
            <w:r>
              <w:rPr>
                <w:rFonts w:ascii="Times New Roman" w:hAnsi="Times New Roman" w:eastAsia="宋体"/>
                <w:b w:val="0"/>
                <w:i w:val="0"/>
                <w:sz w:val="20"/>
              </w:rPr>
              <w:t>多任务模型（本文）</w:t>
            </w:r>
          </w:p>
        </w:tc>
        <w:tc>
          <w:tcPr>
            <w:tcW w:type="dxa" w:w="1701"/>
          </w:tcPr>
          <w:p>
            <w:pPr>
              <w:jc w:val="center"/>
            </w:pPr>
            <w:r/>
            <w:r>
              <w:rPr>
                <w:rFonts w:ascii="Times New Roman" w:hAnsi="Times New Roman" w:eastAsia="宋体"/>
                <w:b w:val="0"/>
                <w:i w:val="0"/>
                <w:sz w:val="20"/>
              </w:rPr>
              <w:t>XX.XX</w:t>
            </w:r>
          </w:p>
        </w:tc>
        <w:tc>
          <w:tcPr>
            <w:tcW w:type="dxa" w:w="1587"/>
          </w:tcPr>
          <w:p>
            <w:pPr>
              <w:jc w:val="center"/>
            </w:pPr>
            <w:r/>
            <w:r>
              <w:rPr>
                <w:rFonts w:ascii="Times New Roman" w:hAnsi="Times New Roman" w:eastAsia="宋体"/>
                <w:b w:val="0"/>
                <w:i w:val="0"/>
                <w:sz w:val="20"/>
              </w:rPr>
              <w:t>X.XXXX</w:t>
            </w:r>
          </w:p>
        </w:tc>
        <w:tc>
          <w:tcPr>
            <w:tcW w:type="dxa" w:w="1701"/>
          </w:tcPr>
          <w:p>
            <w:pPr>
              <w:jc w:val="center"/>
            </w:pPr>
            <w:r/>
            <w:r>
              <w:rPr>
                <w:rFonts w:ascii="Times New Roman" w:hAnsi="Times New Roman" w:eastAsia="宋体"/>
                <w:b w:val="0"/>
                <w:i w:val="0"/>
                <w:sz w:val="20"/>
              </w:rPr>
              <w:t>XX.XX</w:t>
            </w:r>
          </w:p>
        </w:tc>
        <w:tc>
          <w:tcPr>
            <w:tcW w:type="dxa" w:w="1587"/>
          </w:tcPr>
          <w:p>
            <w:pPr>
              <w:jc w:val="center"/>
            </w:pPr>
            <w:r/>
            <w:r>
              <w:rPr>
                <w:rFonts w:ascii="Times New Roman" w:hAnsi="Times New Roman" w:eastAsia="宋体"/>
                <w:b w:val="0"/>
                <w:i w:val="0"/>
                <w:sz w:val="20"/>
              </w:rPr>
              <w:t>X.XXXX</w:t>
            </w:r>
          </w:p>
        </w:tc>
      </w:tr>
      <w:tr>
        <w:tc>
          <w:tcPr>
            <w:tcW w:type="dxa" w:w="1984"/>
            <w:shd w:fill="D9E2F3"/>
          </w:tcPr>
          <w:p>
            <w:pPr>
              <w:jc w:val="center"/>
            </w:pPr>
            <w:r/>
            <w:r>
              <w:rPr>
                <w:rFonts w:ascii="Times New Roman" w:hAnsi="Times New Roman" w:eastAsia="宋体"/>
                <w:b w:val="0"/>
                <w:i w:val="0"/>
                <w:sz w:val="20"/>
              </w:rPr>
              <w:t>协同增益</w:t>
            </w:r>
          </w:p>
        </w:tc>
        <w:tc>
          <w:tcPr>
            <w:tcW w:type="dxa" w:w="1701"/>
            <w:shd w:fill="D9E2F3"/>
          </w:tcPr>
          <w:p>
            <w:pPr>
              <w:jc w:val="center"/>
            </w:pPr>
            <w:r/>
            <w:r>
              <w:rPr>
                <w:rFonts w:ascii="Times New Roman" w:hAnsi="Times New Roman" w:eastAsia="宋体"/>
                <w:b w:val="0"/>
                <w:i w:val="0"/>
                <w:sz w:val="20"/>
              </w:rPr>
              <w:t>+X.XX</w:t>
            </w:r>
          </w:p>
        </w:tc>
        <w:tc>
          <w:tcPr>
            <w:tcW w:type="dxa" w:w="1587"/>
            <w:shd w:fill="D9E2F3"/>
          </w:tcPr>
          <w:p>
            <w:pPr>
              <w:jc w:val="center"/>
            </w:pPr>
            <w:r/>
            <w:r>
              <w:rPr>
                <w:rFonts w:ascii="Times New Roman" w:hAnsi="Times New Roman" w:eastAsia="宋体"/>
                <w:b w:val="0"/>
                <w:i w:val="0"/>
                <w:sz w:val="20"/>
              </w:rPr>
              <w:t>+X.XXXX</w:t>
            </w:r>
          </w:p>
        </w:tc>
        <w:tc>
          <w:tcPr>
            <w:tcW w:type="dxa" w:w="1701"/>
            <w:shd w:fill="D9E2F3"/>
          </w:tcPr>
          <w:p>
            <w:pPr>
              <w:jc w:val="center"/>
            </w:pPr>
            <w:r/>
            <w:r>
              <w:rPr>
                <w:rFonts w:ascii="Times New Roman" w:hAnsi="Times New Roman" w:eastAsia="宋体"/>
                <w:b w:val="0"/>
                <w:i w:val="0"/>
                <w:sz w:val="20"/>
              </w:rPr>
              <w:t>+X.XX</w:t>
            </w:r>
          </w:p>
        </w:tc>
        <w:tc>
          <w:tcPr>
            <w:tcW w:type="dxa" w:w="1587"/>
            <w:shd w:fill="D9E2F3"/>
          </w:tcPr>
          <w:p>
            <w:pPr>
              <w:jc w:val="center"/>
            </w:pPr>
            <w:r/>
            <w:r>
              <w:rPr>
                <w:rFonts w:ascii="Times New Roman" w:hAnsi="Times New Roman" w:eastAsia="宋体"/>
                <w:b w:val="0"/>
                <w:i w:val="0"/>
                <w:sz w:val="20"/>
              </w:rPr>
              <w:t>+X.XXXX</w:t>
            </w:r>
          </w:p>
        </w:tc>
      </w:tr>
    </w:tbl>
    <w:p>
      <w:pPr>
        <w:spacing w:before="120" w:after="60"/>
        <w:jc w:val="center"/>
      </w:pPr>
      <w:r>
        <w:rPr>
          <w:rFonts w:ascii="Arial" w:hAnsi="Arial" w:eastAsia="宋体"/>
          <w:b w:val="0"/>
          <w:i/>
          <w:color w:val="646464"/>
          <w:sz w:val="22"/>
        </w:rPr>
        <w:t xml:space="preserve">  [ 此处插入：多任务与单任务模型性能对比柱状图 ]  </w:t>
      </w:r>
    </w:p>
    <w:p>
      <w:pPr>
        <w:spacing w:before="60" w:after="120" w:line="360" w:lineRule="auto"/>
        <w:jc w:val="center"/>
      </w:pPr>
      <w:r>
        <w:rPr>
          <w:rFonts w:ascii="Times New Roman" w:hAnsi="Times New Roman" w:eastAsia="宋体"/>
          <w:b w:val="0"/>
          <w:i w:val="0"/>
          <w:sz w:val="20"/>
        </w:rPr>
        <w:t>图 1  多任务与单任务模型性能对比柱状图</w:t>
      </w:r>
    </w:p>
    <w:p>
      <w:pPr>
        <w:keepNext/>
        <w:spacing w:before="360" w:after="120" w:line="360" w:lineRule="auto"/>
        <w:jc w:val="left"/>
      </w:pPr>
      <w:r>
        <w:rPr>
          <w:rFonts w:ascii="Arial" w:hAnsi="Arial" w:eastAsia="黑体"/>
          <w:b/>
          <w:i w:val="0"/>
          <w:sz w:val="28"/>
        </w:rPr>
        <w:t>4.4  消融实验</w:t>
      </w:r>
    </w:p>
    <w:p>
      <w:pPr>
        <w:spacing w:before="0" w:after="0" w:line="360" w:lineRule="auto"/>
        <w:ind w:firstLine="420"/>
        <w:jc w:val="both"/>
      </w:pPr>
      <w:r>
        <w:rPr>
          <w:rFonts w:ascii="Times New Roman" w:hAnsi="Times New Roman" w:eastAsia="宋体"/>
          <w:b w:val="0"/>
          <w:i w:val="0"/>
          <w:sz w:val="24"/>
        </w:rPr>
        <w:t>为分析各组件对模型性能的贡献，设计了以下消融实验：</w:t>
      </w:r>
    </w:p>
    <w:p>
      <w:pPr>
        <w:spacing w:before="120" w:after="60"/>
        <w:jc w:val="center"/>
      </w:pPr>
      <w:r>
        <w:rPr>
          <w:rFonts w:ascii="Times New Roman" w:hAnsi="Times New Roman" w:eastAsia="黑体"/>
          <w:b/>
          <w:i w:val="0"/>
          <w:sz w:val="20"/>
        </w:rPr>
        <w:t>表 1  消融实验结果</w:t>
      </w:r>
    </w:p>
    <w:tbl>
      <w:tblPr>
        <w:tblStyle w:val="TableGrid"/>
        <w:tblW w:type="auto" w:w="0"/>
        <w:jc w:val="center"/>
        <w:tblLook w:firstColumn="1" w:firstRow="1" w:lastColumn="0" w:lastRow="0" w:noHBand="0" w:noVBand="1" w:val="04A0"/>
      </w:tblPr>
      <w:tblGrid>
        <w:gridCol w:w="2882"/>
        <w:gridCol w:w="2882"/>
        <w:gridCol w:w="2882"/>
      </w:tblGrid>
      <w:tr>
        <w:tc>
          <w:tcPr>
            <w:tcW w:type="dxa" w:w="3969"/>
            <w:shd w:fill="4472C4"/>
          </w:tcPr>
          <w:p>
            <w:pPr>
              <w:jc w:val="center"/>
            </w:pPr>
            <w:r/>
            <w:r>
              <w:rPr>
                <w:rFonts w:ascii="Arial" w:hAnsi="Arial" w:eastAsia="黑体"/>
                <w:b/>
                <w:i w:val="0"/>
                <w:color w:val="FFFFFF"/>
                <w:sz w:val="20"/>
              </w:rPr>
              <w:t>实验设置</w:t>
            </w:r>
          </w:p>
        </w:tc>
        <w:tc>
          <w:tcPr>
            <w:tcW w:type="dxa" w:w="1984"/>
            <w:shd w:fill="4472C4"/>
          </w:tcPr>
          <w:p>
            <w:pPr>
              <w:jc w:val="center"/>
            </w:pPr>
            <w:r/>
            <w:r>
              <w:rPr>
                <w:rFonts w:ascii="Arial" w:hAnsi="Arial" w:eastAsia="黑体"/>
                <w:b/>
                <w:i w:val="0"/>
                <w:color w:val="FFFFFF"/>
                <w:sz w:val="20"/>
              </w:rPr>
              <w:t>疾病分类 Acc (%)</w:t>
            </w:r>
          </w:p>
        </w:tc>
        <w:tc>
          <w:tcPr>
            <w:tcW w:type="dxa" w:w="1984"/>
            <w:shd w:fill="4472C4"/>
          </w:tcPr>
          <w:p>
            <w:pPr>
              <w:jc w:val="center"/>
            </w:pPr>
            <w:r/>
            <w:r>
              <w:rPr>
                <w:rFonts w:ascii="Arial" w:hAnsi="Arial" w:eastAsia="黑体"/>
                <w:b/>
                <w:i w:val="0"/>
                <w:color w:val="FFFFFF"/>
                <w:sz w:val="20"/>
              </w:rPr>
              <w:t>严重程度 Acc (%)</w:t>
            </w:r>
          </w:p>
        </w:tc>
      </w:tr>
      <w:tr>
        <w:tc>
          <w:tcPr>
            <w:tcW w:type="dxa" w:w="3969"/>
          </w:tcPr>
          <w:p>
            <w:pPr>
              <w:jc w:val="center"/>
            </w:pPr>
            <w:r/>
            <w:r>
              <w:rPr>
                <w:rFonts w:ascii="Times New Roman" w:hAnsi="Times New Roman" w:eastAsia="宋体"/>
                <w:b w:val="0"/>
                <w:i w:val="0"/>
                <w:sz w:val="20"/>
              </w:rPr>
              <w:t>完整模型（MobileNetV2 + 交叉注意力 + 多任务）</w:t>
            </w:r>
          </w:p>
        </w:tc>
        <w:tc>
          <w:tcPr>
            <w:tcW w:type="dxa" w:w="1984"/>
          </w:tcPr>
          <w:p>
            <w:pPr>
              <w:jc w:val="center"/>
            </w:pPr>
            <w:r/>
            <w:r>
              <w:rPr>
                <w:rFonts w:ascii="Times New Roman" w:hAnsi="Times New Roman" w:eastAsia="宋体"/>
                <w:b w:val="0"/>
                <w:i w:val="0"/>
                <w:sz w:val="20"/>
              </w:rPr>
              <w:t>XX.XX</w:t>
            </w:r>
          </w:p>
        </w:tc>
        <w:tc>
          <w:tcPr>
            <w:tcW w:type="dxa" w:w="1984"/>
          </w:tcPr>
          <w:p>
            <w:pPr>
              <w:jc w:val="center"/>
            </w:pPr>
            <w:r/>
            <w:r>
              <w:rPr>
                <w:rFonts w:ascii="Times New Roman" w:hAnsi="Times New Roman" w:eastAsia="宋体"/>
                <w:b w:val="0"/>
                <w:i w:val="0"/>
                <w:sz w:val="20"/>
              </w:rPr>
              <w:t>XX.XX</w:t>
            </w:r>
          </w:p>
        </w:tc>
      </w:tr>
      <w:tr>
        <w:tc>
          <w:tcPr>
            <w:tcW w:type="dxa" w:w="3969"/>
            <w:shd w:fill="D9E2F3"/>
          </w:tcPr>
          <w:p>
            <w:pPr>
              <w:jc w:val="center"/>
            </w:pPr>
            <w:r/>
            <w:r>
              <w:rPr>
                <w:rFonts w:ascii="Times New Roman" w:hAnsi="Times New Roman" w:eastAsia="宋体"/>
                <w:b w:val="0"/>
                <w:i w:val="0"/>
                <w:sz w:val="20"/>
              </w:rPr>
              <w:t>去除交叉注意力（直接使用共享特征）</w:t>
            </w:r>
          </w:p>
        </w:tc>
        <w:tc>
          <w:tcPr>
            <w:tcW w:type="dxa" w:w="1984"/>
            <w:shd w:fill="D9E2F3"/>
          </w:tcPr>
          <w:p>
            <w:pPr>
              <w:jc w:val="center"/>
            </w:pPr>
            <w:r/>
            <w:r>
              <w:rPr>
                <w:rFonts w:ascii="Times New Roman" w:hAnsi="Times New Roman" w:eastAsia="宋体"/>
                <w:b w:val="0"/>
                <w:i w:val="0"/>
                <w:sz w:val="20"/>
              </w:rPr>
              <w:t>XX.XX</w:t>
            </w:r>
          </w:p>
        </w:tc>
        <w:tc>
          <w:tcPr>
            <w:tcW w:type="dxa" w:w="1984"/>
            <w:shd w:fill="D9E2F3"/>
          </w:tcPr>
          <w:p>
            <w:pPr>
              <w:jc w:val="center"/>
            </w:pPr>
            <w:r/>
            <w:r>
              <w:rPr>
                <w:rFonts w:ascii="Times New Roman" w:hAnsi="Times New Roman" w:eastAsia="宋体"/>
                <w:b w:val="0"/>
                <w:i w:val="0"/>
                <w:sz w:val="20"/>
              </w:rPr>
              <w:t>XX.XX</w:t>
            </w:r>
          </w:p>
        </w:tc>
      </w:tr>
      <w:tr>
        <w:tc>
          <w:tcPr>
            <w:tcW w:type="dxa" w:w="3969"/>
          </w:tcPr>
          <w:p>
            <w:pPr>
              <w:jc w:val="center"/>
            </w:pPr>
            <w:r/>
            <w:r>
              <w:rPr>
                <w:rFonts w:ascii="Times New Roman" w:hAnsi="Times New Roman" w:eastAsia="宋体"/>
                <w:b w:val="0"/>
                <w:i w:val="0"/>
                <w:sz w:val="20"/>
              </w:rPr>
              <w:t>去除多任务（单任务模型）</w:t>
            </w:r>
          </w:p>
        </w:tc>
        <w:tc>
          <w:tcPr>
            <w:tcW w:type="dxa" w:w="1984"/>
          </w:tcPr>
          <w:p>
            <w:pPr>
              <w:jc w:val="center"/>
            </w:pPr>
            <w:r/>
            <w:r>
              <w:rPr>
                <w:rFonts w:ascii="Times New Roman" w:hAnsi="Times New Roman" w:eastAsia="宋体"/>
                <w:b w:val="0"/>
                <w:i w:val="0"/>
                <w:sz w:val="20"/>
              </w:rPr>
              <w:t>XX.XX</w:t>
            </w:r>
          </w:p>
        </w:tc>
        <w:tc>
          <w:tcPr>
            <w:tcW w:type="dxa" w:w="1984"/>
          </w:tcPr>
          <w:p>
            <w:pPr>
              <w:jc w:val="center"/>
            </w:pPr>
            <w:r/>
            <w:r>
              <w:rPr>
                <w:rFonts w:ascii="Times New Roman" w:hAnsi="Times New Roman" w:eastAsia="宋体"/>
                <w:b w:val="0"/>
                <w:i w:val="0"/>
                <w:sz w:val="20"/>
              </w:rPr>
              <w:t>XX.XX</w:t>
            </w:r>
          </w:p>
        </w:tc>
      </w:tr>
      <w:tr>
        <w:tc>
          <w:tcPr>
            <w:tcW w:type="dxa" w:w="3969"/>
            <w:shd w:fill="D9E2F3"/>
          </w:tcPr>
          <w:p>
            <w:pPr>
              <w:jc w:val="center"/>
            </w:pPr>
            <w:r/>
            <w:r>
              <w:rPr>
                <w:rFonts w:ascii="Times New Roman" w:hAnsi="Times New Roman" w:eastAsia="宋体"/>
                <w:b w:val="0"/>
                <w:i w:val="0"/>
                <w:sz w:val="20"/>
              </w:rPr>
              <w:t>损失权重 λ₂=0.5</w:t>
            </w:r>
          </w:p>
        </w:tc>
        <w:tc>
          <w:tcPr>
            <w:tcW w:type="dxa" w:w="1984"/>
            <w:shd w:fill="D9E2F3"/>
          </w:tcPr>
          <w:p>
            <w:pPr>
              <w:jc w:val="center"/>
            </w:pPr>
            <w:r/>
            <w:r>
              <w:rPr>
                <w:rFonts w:ascii="Times New Roman" w:hAnsi="Times New Roman" w:eastAsia="宋体"/>
                <w:b w:val="0"/>
                <w:i w:val="0"/>
                <w:sz w:val="20"/>
              </w:rPr>
              <w:t>XX.XX</w:t>
            </w:r>
          </w:p>
        </w:tc>
        <w:tc>
          <w:tcPr>
            <w:tcW w:type="dxa" w:w="1984"/>
            <w:shd w:fill="D9E2F3"/>
          </w:tcPr>
          <w:p>
            <w:pPr>
              <w:jc w:val="center"/>
            </w:pPr>
            <w:r/>
            <w:r>
              <w:rPr>
                <w:rFonts w:ascii="Times New Roman" w:hAnsi="Times New Roman" w:eastAsia="宋体"/>
                <w:b w:val="0"/>
                <w:i w:val="0"/>
                <w:sz w:val="20"/>
              </w:rPr>
              <w:t>XX.XX</w:t>
            </w:r>
          </w:p>
        </w:tc>
      </w:tr>
      <w:tr>
        <w:tc>
          <w:tcPr>
            <w:tcW w:type="dxa" w:w="3969"/>
          </w:tcPr>
          <w:p>
            <w:pPr>
              <w:jc w:val="center"/>
            </w:pPr>
            <w:r/>
            <w:r>
              <w:rPr>
                <w:rFonts w:ascii="Times New Roman" w:hAnsi="Times New Roman" w:eastAsia="宋体"/>
                <w:b w:val="0"/>
                <w:i w:val="0"/>
                <w:sz w:val="20"/>
              </w:rPr>
              <w:t>损失权重 λ₂=1.0</w:t>
            </w:r>
          </w:p>
        </w:tc>
        <w:tc>
          <w:tcPr>
            <w:tcW w:type="dxa" w:w="1984"/>
          </w:tcPr>
          <w:p>
            <w:pPr>
              <w:jc w:val="center"/>
            </w:pPr>
            <w:r/>
            <w:r>
              <w:rPr>
                <w:rFonts w:ascii="Times New Roman" w:hAnsi="Times New Roman" w:eastAsia="宋体"/>
                <w:b w:val="0"/>
                <w:i w:val="0"/>
                <w:sz w:val="20"/>
              </w:rPr>
              <w:t>XX.XX</w:t>
            </w:r>
          </w:p>
        </w:tc>
        <w:tc>
          <w:tcPr>
            <w:tcW w:type="dxa" w:w="1984"/>
          </w:tcPr>
          <w:p>
            <w:pPr>
              <w:jc w:val="center"/>
            </w:pPr>
            <w:r/>
            <w:r>
              <w:rPr>
                <w:rFonts w:ascii="Times New Roman" w:hAnsi="Times New Roman" w:eastAsia="宋体"/>
                <w:b w:val="0"/>
                <w:i w:val="0"/>
                <w:sz w:val="20"/>
              </w:rPr>
              <w:t>XX.XX</w:t>
            </w:r>
          </w:p>
        </w:tc>
      </w:tr>
    </w:tbl>
    <w:p>
      <w:pPr>
        <w:keepNext/>
        <w:spacing w:before="360" w:after="120" w:line="360" w:lineRule="auto"/>
        <w:jc w:val="left"/>
      </w:pPr>
      <w:r>
        <w:rPr>
          <w:rFonts w:ascii="Arial" w:hAnsi="Arial" w:eastAsia="黑体"/>
          <w:b/>
          <w:i w:val="0"/>
          <w:sz w:val="28"/>
        </w:rPr>
        <w:t>4.5  可视化分析</w:t>
      </w:r>
    </w:p>
    <w:p>
      <w:pPr>
        <w:spacing w:before="0" w:after="0" w:line="360" w:lineRule="auto"/>
        <w:ind w:firstLine="420"/>
        <w:jc w:val="both"/>
      </w:pPr>
      <w:r>
        <w:rPr>
          <w:rFonts w:ascii="Times New Roman" w:hAnsi="Times New Roman" w:eastAsia="宋体"/>
          <w:b w:val="0"/>
          <w:i w:val="0"/>
          <w:sz w:val="24"/>
        </w:rPr>
        <w:t>本节从训练曲线、Grad-CAM 热力图和混淆矩阵三个维度对模型进行可视化分析。</w:t>
      </w:r>
    </w:p>
    <w:p>
      <w:pPr>
        <w:spacing w:before="120" w:after="60"/>
        <w:jc w:val="center"/>
      </w:pPr>
      <w:r>
        <w:rPr>
          <w:rFonts w:ascii="Arial" w:hAnsi="Arial" w:eastAsia="宋体"/>
          <w:b w:val="0"/>
          <w:i/>
          <w:color w:val="646464"/>
          <w:sz w:val="22"/>
        </w:rPr>
        <w:t xml:space="preserve">  [ 此处插入：训练曲线（损失/准确率/F1 随轮次变化） ]  </w:t>
      </w:r>
    </w:p>
    <w:p>
      <w:pPr>
        <w:spacing w:before="60" w:after="120" w:line="360" w:lineRule="auto"/>
        <w:jc w:val="center"/>
      </w:pPr>
      <w:r>
        <w:rPr>
          <w:rFonts w:ascii="Times New Roman" w:hAnsi="Times New Roman" w:eastAsia="宋体"/>
          <w:b w:val="0"/>
          <w:i w:val="0"/>
          <w:sz w:val="20"/>
        </w:rPr>
        <w:t>图 1  训练曲线（损失/准确率/F1 随轮次变化）</w:t>
      </w:r>
    </w:p>
    <w:p>
      <w:pPr>
        <w:spacing w:before="120" w:after="60"/>
        <w:jc w:val="center"/>
      </w:pPr>
      <w:r>
        <w:rPr>
          <w:rFonts w:ascii="Arial" w:hAnsi="Arial" w:eastAsia="宋体"/>
          <w:b w:val="0"/>
          <w:i/>
          <w:color w:val="646464"/>
          <w:sz w:val="22"/>
        </w:rPr>
        <w:t xml:space="preserve">  [ 此处插入：Grad-CAM 热力图对比（正确分类 vs 错误分类案例） ]  </w:t>
      </w:r>
    </w:p>
    <w:p>
      <w:pPr>
        <w:spacing w:before="60" w:after="120" w:line="360" w:lineRule="auto"/>
        <w:jc w:val="center"/>
      </w:pPr>
      <w:r>
        <w:rPr>
          <w:rFonts w:ascii="Times New Roman" w:hAnsi="Times New Roman" w:eastAsia="宋体"/>
          <w:b w:val="0"/>
          <w:i w:val="0"/>
          <w:sz w:val="20"/>
        </w:rPr>
        <w:t>图 1  Grad-CAM 热力图对比（正确分类 vs 错误分类案例）</w:t>
      </w:r>
    </w:p>
    <w:p>
      <w:pPr>
        <w:spacing w:before="120" w:after="60"/>
        <w:jc w:val="center"/>
      </w:pPr>
      <w:r>
        <w:rPr>
          <w:rFonts w:ascii="Arial" w:hAnsi="Arial" w:eastAsia="宋体"/>
          <w:b w:val="0"/>
          <w:i/>
          <w:color w:val="646464"/>
          <w:sz w:val="22"/>
        </w:rPr>
        <w:t xml:space="preserve">  [ 此处插入：疾病分类混淆矩阵 ]  </w:t>
      </w:r>
    </w:p>
    <w:p>
      <w:pPr>
        <w:spacing w:before="60" w:after="120" w:line="360" w:lineRule="auto"/>
        <w:jc w:val="center"/>
      </w:pPr>
      <w:r>
        <w:rPr>
          <w:rFonts w:ascii="Times New Roman" w:hAnsi="Times New Roman" w:eastAsia="宋体"/>
          <w:b w:val="0"/>
          <w:i w:val="0"/>
          <w:sz w:val="20"/>
        </w:rPr>
        <w:t>图 1  疾病分类混淆矩阵</w:t>
      </w:r>
    </w:p>
    <w:p>
      <w:pPr>
        <w:keepNext/>
        <w:spacing w:before="360" w:after="120" w:line="360" w:lineRule="auto"/>
        <w:jc w:val="left"/>
      </w:pPr>
      <w:r>
        <w:rPr>
          <w:rFonts w:ascii="Arial" w:hAnsi="Arial" w:eastAsia="黑体"/>
          <w:b/>
          <w:i w:val="0"/>
          <w:sz w:val="28"/>
        </w:rPr>
        <w:t>4.6  少样本学习实验</w:t>
      </w:r>
    </w:p>
    <w:p>
      <w:pPr>
        <w:spacing w:before="0" w:after="0" w:line="360" w:lineRule="auto"/>
        <w:ind w:firstLine="420"/>
        <w:jc w:val="both"/>
      </w:pPr>
      <w:r>
        <w:rPr>
          <w:rFonts w:ascii="Times New Roman" w:hAnsi="Times New Roman" w:eastAsia="宋体"/>
          <w:b w:val="0"/>
          <w:i w:val="0"/>
          <w:sz w:val="24"/>
        </w:rPr>
        <w:t>为评估模型在标注数据有限场景下的泛化能力，本文还进行了少样本学习实验。在每个类别仅使用 5/10/20 张标注样本的条件下进行训练，测试结果如下。</w:t>
      </w:r>
    </w:p>
    <w:p>
      <w:pPr>
        <w:spacing w:before="120" w:after="60"/>
        <w:jc w:val="center"/>
      </w:pPr>
      <w:r>
        <w:rPr>
          <w:rFonts w:ascii="Times New Roman" w:hAnsi="Times New Roman" w:eastAsia="黑体"/>
          <w:b/>
          <w:i w:val="0"/>
          <w:sz w:val="20"/>
        </w:rPr>
        <w:t>表 1  少样本学习实验结果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01"/>
            <w:shd w:fill="4472C4"/>
          </w:tcPr>
          <w:p>
            <w:pPr>
              <w:jc w:val="center"/>
            </w:pPr>
            <w:r/>
            <w:r>
              <w:rPr>
                <w:rFonts w:ascii="Arial" w:hAnsi="Arial" w:eastAsia="黑体"/>
                <w:b/>
                <w:i w:val="0"/>
                <w:color w:val="FFFFFF"/>
                <w:sz w:val="20"/>
              </w:rPr>
              <w:t>样本数/类</w:t>
            </w:r>
          </w:p>
        </w:tc>
        <w:tc>
          <w:tcPr>
            <w:tcW w:type="dxa" w:w="2268"/>
            <w:shd w:fill="4472C4"/>
          </w:tcPr>
          <w:p>
            <w:pPr>
              <w:jc w:val="center"/>
            </w:pPr>
            <w:r/>
            <w:r>
              <w:rPr>
                <w:rFonts w:ascii="Arial" w:hAnsi="Arial" w:eastAsia="黑体"/>
                <w:b/>
                <w:i w:val="0"/>
                <w:color w:val="FFFFFF"/>
                <w:sz w:val="20"/>
              </w:rPr>
              <w:t>疾病分类 Acc (%)</w:t>
            </w:r>
          </w:p>
        </w:tc>
        <w:tc>
          <w:tcPr>
            <w:tcW w:type="dxa" w:w="2268"/>
            <w:shd w:fill="4472C4"/>
          </w:tcPr>
          <w:p>
            <w:pPr>
              <w:jc w:val="center"/>
            </w:pPr>
            <w:r/>
            <w:r>
              <w:rPr>
                <w:rFonts w:ascii="Arial" w:hAnsi="Arial" w:eastAsia="黑体"/>
                <w:b/>
                <w:i w:val="0"/>
                <w:color w:val="FFFFFF"/>
                <w:sz w:val="20"/>
              </w:rPr>
              <w:t>疾病分类 F1</w:t>
            </w:r>
          </w:p>
        </w:tc>
        <w:tc>
          <w:tcPr>
            <w:tcW w:type="dxa" w:w="2268"/>
            <w:shd w:fill="4472C4"/>
          </w:tcPr>
          <w:p>
            <w:pPr>
              <w:jc w:val="center"/>
            </w:pPr>
            <w:r/>
            <w:r>
              <w:rPr>
                <w:rFonts w:ascii="Arial" w:hAnsi="Arial" w:eastAsia="黑体"/>
                <w:b/>
                <w:i w:val="0"/>
                <w:color w:val="FFFFFF"/>
                <w:sz w:val="20"/>
              </w:rPr>
              <w:t>严重程度 Acc (%)</w:t>
            </w:r>
          </w:p>
        </w:tc>
      </w:tr>
      <w:tr>
        <w:tc>
          <w:tcPr>
            <w:tcW w:type="dxa" w:w="1701"/>
          </w:tcPr>
          <w:p>
            <w:pPr>
              <w:jc w:val="center"/>
            </w:pPr>
            <w:r/>
            <w:r>
              <w:rPr>
                <w:rFonts w:ascii="Times New Roman" w:hAnsi="Times New Roman" w:eastAsia="宋体"/>
                <w:b w:val="0"/>
                <w:i w:val="0"/>
                <w:sz w:val="20"/>
              </w:rPr>
              <w:t>5-shot</w:t>
            </w:r>
          </w:p>
        </w:tc>
        <w:tc>
          <w:tcPr>
            <w:tcW w:type="dxa" w:w="2268"/>
          </w:tcPr>
          <w:p>
            <w:pPr>
              <w:jc w:val="center"/>
            </w:pPr>
            <w:r/>
            <w:r>
              <w:rPr>
                <w:rFonts w:ascii="Times New Roman" w:hAnsi="Times New Roman" w:eastAsia="宋体"/>
                <w:b w:val="0"/>
                <w:i w:val="0"/>
                <w:sz w:val="20"/>
              </w:rPr>
              <w:t>XX.XX</w:t>
            </w:r>
          </w:p>
        </w:tc>
        <w:tc>
          <w:tcPr>
            <w:tcW w:type="dxa" w:w="2268"/>
          </w:tcPr>
          <w:p>
            <w:pPr>
              <w:jc w:val="center"/>
            </w:pPr>
            <w:r/>
            <w:r>
              <w:rPr>
                <w:rFonts w:ascii="Times New Roman" w:hAnsi="Times New Roman" w:eastAsia="宋体"/>
                <w:b w:val="0"/>
                <w:i w:val="0"/>
                <w:sz w:val="20"/>
              </w:rPr>
              <w:t>X.XXXX</w:t>
            </w:r>
          </w:p>
        </w:tc>
        <w:tc>
          <w:tcPr>
            <w:tcW w:type="dxa" w:w="2268"/>
          </w:tcPr>
          <w:p>
            <w:pPr>
              <w:jc w:val="center"/>
            </w:pPr>
            <w:r/>
            <w:r>
              <w:rPr>
                <w:rFonts w:ascii="Times New Roman" w:hAnsi="Times New Roman" w:eastAsia="宋体"/>
                <w:b w:val="0"/>
                <w:i w:val="0"/>
                <w:sz w:val="20"/>
              </w:rPr>
              <w:t>XX.XX</w:t>
            </w:r>
          </w:p>
        </w:tc>
      </w:tr>
      <w:tr>
        <w:tc>
          <w:tcPr>
            <w:tcW w:type="dxa" w:w="1701"/>
            <w:shd w:fill="D9E2F3"/>
          </w:tcPr>
          <w:p>
            <w:pPr>
              <w:jc w:val="center"/>
            </w:pPr>
            <w:r/>
            <w:r>
              <w:rPr>
                <w:rFonts w:ascii="Times New Roman" w:hAnsi="Times New Roman" w:eastAsia="宋体"/>
                <w:b w:val="0"/>
                <w:i w:val="0"/>
                <w:sz w:val="20"/>
              </w:rPr>
              <w:t>10-shot</w:t>
            </w:r>
          </w:p>
        </w:tc>
        <w:tc>
          <w:tcPr>
            <w:tcW w:type="dxa" w:w="2268"/>
            <w:shd w:fill="D9E2F3"/>
          </w:tcPr>
          <w:p>
            <w:pPr>
              <w:jc w:val="center"/>
            </w:pPr>
            <w:r/>
            <w:r>
              <w:rPr>
                <w:rFonts w:ascii="Times New Roman" w:hAnsi="Times New Roman" w:eastAsia="宋体"/>
                <w:b w:val="0"/>
                <w:i w:val="0"/>
                <w:sz w:val="20"/>
              </w:rPr>
              <w:t>XX.XX</w:t>
            </w:r>
          </w:p>
        </w:tc>
        <w:tc>
          <w:tcPr>
            <w:tcW w:type="dxa" w:w="2268"/>
            <w:shd w:fill="D9E2F3"/>
          </w:tcPr>
          <w:p>
            <w:pPr>
              <w:jc w:val="center"/>
            </w:pPr>
            <w:r/>
            <w:r>
              <w:rPr>
                <w:rFonts w:ascii="Times New Roman" w:hAnsi="Times New Roman" w:eastAsia="宋体"/>
                <w:b w:val="0"/>
                <w:i w:val="0"/>
                <w:sz w:val="20"/>
              </w:rPr>
              <w:t>X.XXXX</w:t>
            </w:r>
          </w:p>
        </w:tc>
        <w:tc>
          <w:tcPr>
            <w:tcW w:type="dxa" w:w="2268"/>
            <w:shd w:fill="D9E2F3"/>
          </w:tcPr>
          <w:p>
            <w:pPr>
              <w:jc w:val="center"/>
            </w:pPr>
            <w:r/>
            <w:r>
              <w:rPr>
                <w:rFonts w:ascii="Times New Roman" w:hAnsi="Times New Roman" w:eastAsia="宋体"/>
                <w:b w:val="0"/>
                <w:i w:val="0"/>
                <w:sz w:val="20"/>
              </w:rPr>
              <w:t>XX.XX</w:t>
            </w:r>
          </w:p>
        </w:tc>
      </w:tr>
      <w:tr>
        <w:tc>
          <w:tcPr>
            <w:tcW w:type="dxa" w:w="1701"/>
          </w:tcPr>
          <w:p>
            <w:pPr>
              <w:jc w:val="center"/>
            </w:pPr>
            <w:r/>
            <w:r>
              <w:rPr>
                <w:rFonts w:ascii="Times New Roman" w:hAnsi="Times New Roman" w:eastAsia="宋体"/>
                <w:b w:val="0"/>
                <w:i w:val="0"/>
                <w:sz w:val="20"/>
              </w:rPr>
              <w:t>20-shot</w:t>
            </w:r>
          </w:p>
        </w:tc>
        <w:tc>
          <w:tcPr>
            <w:tcW w:type="dxa" w:w="2268"/>
          </w:tcPr>
          <w:p>
            <w:pPr>
              <w:jc w:val="center"/>
            </w:pPr>
            <w:r/>
            <w:r>
              <w:rPr>
                <w:rFonts w:ascii="Times New Roman" w:hAnsi="Times New Roman" w:eastAsia="宋体"/>
                <w:b w:val="0"/>
                <w:i w:val="0"/>
                <w:sz w:val="20"/>
              </w:rPr>
              <w:t>XX.XX</w:t>
            </w:r>
          </w:p>
        </w:tc>
        <w:tc>
          <w:tcPr>
            <w:tcW w:type="dxa" w:w="2268"/>
          </w:tcPr>
          <w:p>
            <w:pPr>
              <w:jc w:val="center"/>
            </w:pPr>
            <w:r/>
            <w:r>
              <w:rPr>
                <w:rFonts w:ascii="Times New Roman" w:hAnsi="Times New Roman" w:eastAsia="宋体"/>
                <w:b w:val="0"/>
                <w:i w:val="0"/>
                <w:sz w:val="20"/>
              </w:rPr>
              <w:t>X.XXXX</w:t>
            </w:r>
          </w:p>
        </w:tc>
        <w:tc>
          <w:tcPr>
            <w:tcW w:type="dxa" w:w="2268"/>
          </w:tcPr>
          <w:p>
            <w:pPr>
              <w:jc w:val="center"/>
            </w:pPr>
            <w:r/>
            <w:r>
              <w:rPr>
                <w:rFonts w:ascii="Times New Roman" w:hAnsi="Times New Roman" w:eastAsia="宋体"/>
                <w:b w:val="0"/>
                <w:i w:val="0"/>
                <w:sz w:val="20"/>
              </w:rPr>
              <w:t>XX.XX</w:t>
            </w:r>
          </w:p>
        </w:tc>
      </w:tr>
      <w:tr>
        <w:tc>
          <w:tcPr>
            <w:tcW w:type="dxa" w:w="1701"/>
            <w:shd w:fill="D9E2F3"/>
          </w:tcPr>
          <w:p>
            <w:pPr>
              <w:jc w:val="center"/>
            </w:pPr>
            <w:r/>
            <w:r>
              <w:rPr>
                <w:rFonts w:ascii="Times New Roman" w:hAnsi="Times New Roman" w:eastAsia="宋体"/>
                <w:b w:val="0"/>
                <w:i w:val="0"/>
                <w:sz w:val="20"/>
              </w:rPr>
              <w:t>Full-shot</w:t>
            </w:r>
          </w:p>
        </w:tc>
        <w:tc>
          <w:tcPr>
            <w:tcW w:type="dxa" w:w="2268"/>
            <w:shd w:fill="D9E2F3"/>
          </w:tcPr>
          <w:p>
            <w:pPr>
              <w:jc w:val="center"/>
            </w:pPr>
            <w:r/>
            <w:r>
              <w:rPr>
                <w:rFonts w:ascii="Times New Roman" w:hAnsi="Times New Roman" w:eastAsia="宋体"/>
                <w:b w:val="0"/>
                <w:i w:val="0"/>
                <w:sz w:val="20"/>
              </w:rPr>
              <w:t>XX.XX</w:t>
            </w:r>
          </w:p>
        </w:tc>
        <w:tc>
          <w:tcPr>
            <w:tcW w:type="dxa" w:w="2268"/>
            <w:shd w:fill="D9E2F3"/>
          </w:tcPr>
          <w:p>
            <w:pPr>
              <w:jc w:val="center"/>
            </w:pPr>
            <w:r/>
            <w:r>
              <w:rPr>
                <w:rFonts w:ascii="Times New Roman" w:hAnsi="Times New Roman" w:eastAsia="宋体"/>
                <w:b w:val="0"/>
                <w:i w:val="0"/>
                <w:sz w:val="20"/>
              </w:rPr>
              <w:t>X.XXXX</w:t>
            </w:r>
          </w:p>
        </w:tc>
        <w:tc>
          <w:tcPr>
            <w:tcW w:type="dxa" w:w="2268"/>
            <w:shd w:fill="D9E2F3"/>
          </w:tcPr>
          <w:p>
            <w:pPr>
              <w:jc w:val="center"/>
            </w:pPr>
            <w:r/>
            <w:r>
              <w:rPr>
                <w:rFonts w:ascii="Times New Roman" w:hAnsi="Times New Roman" w:eastAsia="宋体"/>
                <w:b w:val="0"/>
                <w:i w:val="0"/>
                <w:sz w:val="20"/>
              </w:rPr>
              <w:t>XX.XX</w:t>
            </w:r>
          </w:p>
        </w:tc>
      </w:tr>
    </w:tbl>
    <w:p>
      <w:r>
        <w:br w:type="page"/>
      </w:r>
    </w:p>
    <w:p>
      <w:pPr>
        <w:keepNext/>
        <w:spacing w:before="360" w:after="120" w:line="360" w:lineRule="auto"/>
        <w:jc w:val="left"/>
      </w:pPr>
      <w:r>
        <w:rPr>
          <w:rFonts w:ascii="Arial" w:hAnsi="Arial" w:eastAsia="黑体"/>
          <w:b/>
          <w:i w:val="0"/>
          <w:sz w:val="32"/>
        </w:rPr>
        <w:t>第 5 章  讨论</w:t>
      </w:r>
    </w:p>
    <w:p>
      <w:pPr>
        <w:spacing w:before="0" w:after="0" w:line="360" w:lineRule="auto"/>
        <w:ind w:firstLine="420"/>
        <w:jc w:val="both"/>
      </w:pPr>
      <w:r>
        <w:rPr>
          <w:rFonts w:ascii="Times New Roman" w:hAnsi="Times New Roman" w:eastAsia="宋体"/>
          <w:b w:val="0"/>
          <w:i w:val="0"/>
          <w:sz w:val="24"/>
        </w:rPr>
        <w:t>实验结果表明，本文提出的多任务学习框架在农作物病害诊断任务上优于单任务基线模型。从协同效应角度分析，病害分类和严重程度分级存在互补关系：病害分类需要识别病斑的形态特征，而严重程度分级需要评估病灶的覆盖范围和扩散程度，这两个任务共享底层视觉特征，同时各有侧重，适合多任务联合学习。</w:t>
      </w:r>
    </w:p>
    <w:p>
      <w:pPr>
        <w:spacing w:before="0" w:after="0" w:line="360" w:lineRule="auto"/>
        <w:ind w:firstLine="420"/>
        <w:jc w:val="both"/>
      </w:pPr>
      <w:r>
        <w:rPr>
          <w:rFonts w:ascii="Times New Roman" w:hAnsi="Times New Roman" w:eastAsia="宋体"/>
          <w:b w:val="0"/>
          <w:i w:val="0"/>
          <w:sz w:val="24"/>
        </w:rPr>
        <w:t>交叉注意力机制的消融实验验证了其有效性。通过为不同任务生成任务特定的注意力权重，模型能够从共享特征中自适应地提取与各任务相关的信息，避免了硬参数共享带来的特征耦合问题。</w:t>
      </w:r>
    </w:p>
    <w:p>
      <w:pPr>
        <w:spacing w:before="0" w:after="0" w:line="360" w:lineRule="auto"/>
        <w:ind w:firstLine="420"/>
        <w:jc w:val="both"/>
      </w:pPr>
      <w:r>
        <w:rPr>
          <w:rFonts w:ascii="Times New Roman" w:hAnsi="Times New Roman" w:eastAsia="宋体"/>
          <w:b w:val="0"/>
          <w:i w:val="0"/>
          <w:sz w:val="24"/>
        </w:rPr>
        <w:t>本文方法也存在一定的局限性。首先，受限于数据集规模，模型对罕见病害的诊断能力有待提升。其次，当前的严重程度分级仅有三个粗粒度等级，精细化的严重程度评估需要更细粒度的标注数据。最后，本文的评估仅在实验室条件下进行，真实田间场景下的泛化性能需要进一步验证。</w:t>
      </w:r>
    </w:p>
    <w:p>
      <w:r>
        <w:br w:type="page"/>
      </w:r>
    </w:p>
    <w:p>
      <w:pPr>
        <w:keepNext/>
        <w:spacing w:before="360" w:after="120" w:line="360" w:lineRule="auto"/>
        <w:jc w:val="left"/>
      </w:pPr>
      <w:r>
        <w:rPr>
          <w:rFonts w:ascii="Arial" w:hAnsi="Arial" w:eastAsia="黑体"/>
          <w:b/>
          <w:i w:val="0"/>
          <w:sz w:val="32"/>
        </w:rPr>
        <w:t>第 6 章  结论与展望</w:t>
      </w:r>
    </w:p>
    <w:p>
      <w:pPr>
        <w:keepNext/>
        <w:spacing w:before="360" w:after="120" w:line="360" w:lineRule="auto"/>
        <w:jc w:val="left"/>
      </w:pPr>
      <w:r>
        <w:rPr>
          <w:rFonts w:ascii="Arial" w:hAnsi="Arial" w:eastAsia="黑体"/>
          <w:b/>
          <w:i w:val="0"/>
          <w:sz w:val="28"/>
        </w:rPr>
        <w:t>6.1  本文工作总结</w:t>
      </w:r>
    </w:p>
    <w:p>
      <w:pPr>
        <w:spacing w:before="0" w:after="0" w:line="360" w:lineRule="auto"/>
        <w:ind w:firstLine="420"/>
        <w:jc w:val="both"/>
      </w:pPr>
      <w:r>
        <w:rPr>
          <w:rFonts w:ascii="Times New Roman" w:hAnsi="Times New Roman" w:eastAsia="宋体"/>
          <w:b w:val="0"/>
          <w:i w:val="0"/>
          <w:sz w:val="24"/>
        </w:rPr>
        <w:t>本文针对农作物病害智能诊断问题，提出了一个基于多任务深度学习的联合诊断框架。主要贡献包括：（1）设计了基于 MobileNetV2 和交叉注意力机制的多任务网络结构，实现了病害分类、严重程度分级和风险评分的联合输出；（2）通过对比实验验证了多任务学习相较单任务学习的协同优势；（3）集成了 Grad-CAM 可解释性分析和结构化诊断报告，提升了系统的可用性和透明性；（4）构建了完整的 Web 诊断系统，具备良好的实际应用价值。</w:t>
      </w:r>
    </w:p>
    <w:p>
      <w:pPr>
        <w:keepNext/>
        <w:spacing w:before="360" w:after="120" w:line="360" w:lineRule="auto"/>
        <w:jc w:val="left"/>
      </w:pPr>
      <w:r>
        <w:rPr>
          <w:rFonts w:ascii="Arial" w:hAnsi="Arial" w:eastAsia="黑体"/>
          <w:b/>
          <w:i w:val="0"/>
          <w:sz w:val="28"/>
        </w:rPr>
        <w:t>6.2  未来工作展望</w:t>
      </w:r>
    </w:p>
    <w:p>
      <w:pPr>
        <w:spacing w:before="0" w:after="0" w:line="360" w:lineRule="auto"/>
        <w:ind w:firstLine="420"/>
        <w:jc w:val="both"/>
      </w:pPr>
      <w:r>
        <w:rPr>
          <w:rFonts w:ascii="Times New Roman" w:hAnsi="Times New Roman" w:eastAsia="宋体"/>
          <w:b w:val="0"/>
          <w:i w:val="0"/>
          <w:sz w:val="24"/>
        </w:rPr>
        <w:t>（1）引入 Vision Transformer 等先进架构替代 MobileNetV2 骨干网络，进一步提升分类精度。</w:t>
      </w:r>
    </w:p>
    <w:p>
      <w:pPr>
        <w:spacing w:before="0" w:after="0" w:line="360" w:lineRule="auto"/>
        <w:ind w:firstLine="420"/>
        <w:jc w:val="both"/>
      </w:pPr>
      <w:r>
        <w:rPr>
          <w:rFonts w:ascii="Times New Roman" w:hAnsi="Times New Roman" w:eastAsia="宋体"/>
          <w:b w:val="0"/>
          <w:i w:val="0"/>
          <w:sz w:val="24"/>
        </w:rPr>
        <w:t>（2）研究知识蒸馏技术，将大模型的知识迁移至超轻量级模型，支持移动端实时推理。</w:t>
      </w:r>
    </w:p>
    <w:p>
      <w:pPr>
        <w:spacing w:before="0" w:after="0" w:line="360" w:lineRule="auto"/>
        <w:ind w:firstLine="420"/>
        <w:jc w:val="both"/>
      </w:pPr>
      <w:r>
        <w:rPr>
          <w:rFonts w:ascii="Times New Roman" w:hAnsi="Times New Roman" w:eastAsia="宋体"/>
          <w:b w:val="0"/>
          <w:i w:val="0"/>
          <w:sz w:val="24"/>
        </w:rPr>
        <w:t>（3）融合气象、土壤等多模态数据，实现更全面的作物健康评估。</w:t>
      </w:r>
    </w:p>
    <w:p>
      <w:pPr>
        <w:spacing w:before="0" w:after="0" w:line="360" w:lineRule="auto"/>
        <w:ind w:firstLine="420"/>
        <w:jc w:val="both"/>
      </w:pPr>
      <w:r>
        <w:rPr>
          <w:rFonts w:ascii="Times New Roman" w:hAnsi="Times New Roman" w:eastAsia="宋体"/>
          <w:b w:val="0"/>
          <w:i w:val="0"/>
          <w:sz w:val="24"/>
        </w:rPr>
        <w:t>（4）构建更大规模、更细粒度的农作物病害数据集，覆盖更多作物种类和病害类型。</w:t>
      </w:r>
    </w:p>
    <w:p>
      <w:pPr>
        <w:spacing w:before="0" w:after="0" w:line="360" w:lineRule="auto"/>
        <w:ind w:firstLine="420"/>
        <w:jc w:val="both"/>
      </w:pPr>
      <w:r>
        <w:rPr>
          <w:rFonts w:ascii="Times New Roman" w:hAnsi="Times New Roman" w:eastAsia="宋体"/>
          <w:b w:val="0"/>
          <w:i w:val="0"/>
          <w:sz w:val="24"/>
        </w:rPr>
        <w:t>（5）在实际农田场景中进行部署验证，评估系统在复杂环境下的泛化性能。</w:t>
      </w:r>
    </w:p>
    <w:p>
      <w:r>
        <w:br w:type="page"/>
      </w:r>
    </w:p>
    <w:p>
      <w:pPr>
        <w:keepNext/>
        <w:spacing w:before="360" w:after="120" w:line="360" w:lineRule="auto"/>
        <w:jc w:val="left"/>
      </w:pPr>
      <w:r>
        <w:rPr>
          <w:rFonts w:ascii="Arial" w:hAnsi="Arial" w:eastAsia="黑体"/>
          <w:b/>
          <w:i w:val="0"/>
          <w:sz w:val="32"/>
        </w:rPr>
        <w:t>参考文献</w:t>
      </w:r>
    </w:p>
    <w:p>
      <w:pPr>
        <w:spacing w:line="360" w:lineRule="auto" w:before="20" w:after="20"/>
        <w:ind w:left="420" w:hanging="420"/>
        <w:jc w:val="both"/>
      </w:pPr>
      <w:r>
        <w:rPr>
          <w:rFonts w:ascii="Times New Roman" w:hAnsi="Times New Roman" w:eastAsia="宋体"/>
          <w:b w:val="0"/>
          <w:i w:val="0"/>
          <w:sz w:val="21"/>
        </w:rPr>
        <w:t>[1] Mohanty S P, Hughes D P, Salathé M. Using deep learning for image-based plant disease detection[J]. Frontiers in Plant Science, 2016, 7: 1419.</w:t>
      </w:r>
    </w:p>
    <w:p>
      <w:pPr>
        <w:spacing w:line="360" w:lineRule="auto" w:before="20" w:after="20"/>
        <w:ind w:left="420" w:hanging="420"/>
        <w:jc w:val="both"/>
      </w:pPr>
      <w:r>
        <w:rPr>
          <w:rFonts w:ascii="Times New Roman" w:hAnsi="Times New Roman" w:eastAsia="宋体"/>
          <w:b w:val="0"/>
          <w:i w:val="0"/>
          <w:sz w:val="21"/>
        </w:rPr>
        <w:t>[2] Too E C, Yujian L, Njuki S, et al. A comparative study of fine-tuning deep learning models for plant disease identification[J]. Computers and Electronics in Agriculture, 2019, 161: 272-279.</w:t>
      </w:r>
    </w:p>
    <w:p>
      <w:pPr>
        <w:spacing w:line="360" w:lineRule="auto" w:before="20" w:after="20"/>
        <w:ind w:left="420" w:hanging="420"/>
        <w:jc w:val="both"/>
      </w:pPr>
      <w:r>
        <w:rPr>
          <w:rFonts w:ascii="Times New Roman" w:hAnsi="Times New Roman" w:eastAsia="宋体"/>
          <w:b w:val="0"/>
          <w:i w:val="0"/>
          <w:sz w:val="21"/>
        </w:rPr>
        <w:t>[3] Sandler M, Howard A, Zhu M, et al. MobileNetV2: Inverted residuals and linear bottlenecks[C]. CVPR, 2018.</w:t>
      </w:r>
    </w:p>
    <w:p>
      <w:pPr>
        <w:spacing w:line="360" w:lineRule="auto" w:before="20" w:after="20"/>
        <w:ind w:left="420" w:hanging="420"/>
        <w:jc w:val="both"/>
      </w:pPr>
      <w:r>
        <w:rPr>
          <w:rFonts w:ascii="Times New Roman" w:hAnsi="Times New Roman" w:eastAsia="宋体"/>
          <w:b w:val="0"/>
          <w:i w:val="0"/>
          <w:sz w:val="21"/>
        </w:rPr>
        <w:t>[4] Caruana R. Multitask learning[J]. Machine Learning, 1997, 28(1): 41-75.</w:t>
      </w:r>
    </w:p>
    <w:p>
      <w:pPr>
        <w:spacing w:line="360" w:lineRule="auto" w:before="20" w:after="20"/>
        <w:ind w:left="420" w:hanging="420"/>
        <w:jc w:val="both"/>
      </w:pPr>
      <w:r>
        <w:rPr>
          <w:rFonts w:ascii="Times New Roman" w:hAnsi="Times New Roman" w:eastAsia="宋体"/>
          <w:b w:val="0"/>
          <w:i w:val="0"/>
          <w:sz w:val="21"/>
        </w:rPr>
        <w:t>[5] Misra I, Shrivastava A, Gupta A, et al. Cross-stitch networks for multi-task learning[C]. CVPR, 2016.</w:t>
      </w:r>
    </w:p>
    <w:p>
      <w:pPr>
        <w:spacing w:line="360" w:lineRule="auto" w:before="20" w:after="20"/>
        <w:ind w:left="420" w:hanging="420"/>
        <w:jc w:val="both"/>
      </w:pPr>
      <w:r>
        <w:rPr>
          <w:rFonts w:ascii="Times New Roman" w:hAnsi="Times New Roman" w:eastAsia="宋体"/>
          <w:b w:val="0"/>
          <w:i w:val="0"/>
          <w:sz w:val="21"/>
        </w:rPr>
        <w:t>[6] Liu S, Johns E, Davison A J. End-to-end multi-task learning with attention[C]. CVPR, 2019.</w:t>
      </w:r>
    </w:p>
    <w:p>
      <w:pPr>
        <w:spacing w:line="360" w:lineRule="auto" w:before="20" w:after="20"/>
        <w:ind w:left="420" w:hanging="420"/>
        <w:jc w:val="both"/>
      </w:pPr>
      <w:r>
        <w:rPr>
          <w:rFonts w:ascii="Times New Roman" w:hAnsi="Times New Roman" w:eastAsia="宋体"/>
          <w:b w:val="0"/>
          <w:i w:val="0"/>
          <w:sz w:val="21"/>
        </w:rPr>
        <w:t>[7] Selvaraju R R, Cogswell M, Das A, et al. Grad-CAM: Visual explanations from deep networks via gradient-based localization[C]. ICCV, 2017.</w:t>
      </w:r>
    </w:p>
    <w:p>
      <w:pPr>
        <w:spacing w:line="360" w:lineRule="auto" w:before="20" w:after="20"/>
        <w:ind w:left="420" w:hanging="420"/>
        <w:jc w:val="both"/>
      </w:pPr>
      <w:r>
        <w:rPr>
          <w:rFonts w:ascii="Times New Roman" w:hAnsi="Times New Roman" w:eastAsia="宋体"/>
          <w:b w:val="0"/>
          <w:i w:val="0"/>
          <w:sz w:val="21"/>
        </w:rPr>
        <w:t>[8] Howard A G, Zhu M, Chen B, et al. MobileNets: Efficient convolutional neural networks for mobile vision applications[J]. arXiv:1704.04861, 2017.</w:t>
      </w:r>
    </w:p>
    <w:p>
      <w:pPr>
        <w:spacing w:line="360" w:lineRule="auto" w:before="20" w:after="20"/>
        <w:ind w:left="420" w:hanging="420"/>
        <w:jc w:val="both"/>
      </w:pPr>
      <w:r>
        <w:rPr>
          <w:rFonts w:ascii="Times New Roman" w:hAnsi="Times New Roman" w:eastAsia="宋体"/>
          <w:b w:val="0"/>
          <w:i w:val="0"/>
          <w:sz w:val="21"/>
        </w:rPr>
        <w:t>[9] He K, Zhang X, Ren S, et al. Deep residual learning for image recognition[C]. CVPR, 2016.</w:t>
      </w:r>
    </w:p>
    <w:p>
      <w:pPr>
        <w:spacing w:line="360" w:lineRule="auto" w:before="20" w:after="20"/>
        <w:ind w:left="420" w:hanging="420"/>
        <w:jc w:val="both"/>
      </w:pPr>
      <w:r>
        <w:rPr>
          <w:rFonts w:ascii="Times New Roman" w:hAnsi="Times New Roman" w:eastAsia="宋体"/>
          <w:b w:val="0"/>
          <w:i w:val="0"/>
          <w:sz w:val="21"/>
        </w:rPr>
        <w:t>[10] Tan M, Le Q V. EfficientNet: Rethinking model scaling for convolutional neural networks[C]. ICML, 2019.</w:t>
      </w:r>
    </w:p>
    <w:p>
      <w:pPr>
        <w:spacing w:line="360" w:lineRule="auto" w:before="20" w:after="20"/>
        <w:ind w:left="420" w:hanging="420"/>
        <w:jc w:val="both"/>
      </w:pPr>
      <w:r>
        <w:rPr>
          <w:rFonts w:ascii="Times New Roman" w:hAnsi="Times New Roman" w:eastAsia="宋体"/>
          <w:b w:val="0"/>
          <w:i w:val="0"/>
          <w:sz w:val="21"/>
        </w:rPr>
        <w:t>[11] Dosovitskiy A, Beyer L, Kolesnikov A, et al. An image is worth 16x16 words: Transformers for image recognition at scale[C]. ICLR, 2021.</w:t>
      </w:r>
    </w:p>
    <w:p>
      <w:pPr>
        <w:spacing w:line="360" w:lineRule="auto" w:before="20" w:after="20"/>
        <w:ind w:left="420" w:hanging="420"/>
        <w:jc w:val="both"/>
      </w:pPr>
      <w:r>
        <w:rPr>
          <w:rFonts w:ascii="Times New Roman" w:hAnsi="Times New Roman" w:eastAsia="宋体"/>
          <w:b w:val="0"/>
          <w:i w:val="0"/>
          <w:sz w:val="21"/>
        </w:rPr>
        <w:t>[12] Hughes D P, Salathé M. An open access repository of images on plant health to enable the development of mobile disease diagnostics[J]. arXiv:1511.08060, 2015.</w:t>
      </w:r>
    </w:p>
    <w:p>
      <w:r>
        <w:br w:type="page"/>
      </w:r>
    </w:p>
    <w:p>
      <w:pPr>
        <w:keepNext/>
        <w:spacing w:before="360" w:after="120" w:line="360" w:lineRule="auto"/>
        <w:jc w:val="left"/>
      </w:pPr>
      <w:r>
        <w:rPr>
          <w:rFonts w:ascii="Arial" w:hAnsi="Arial" w:eastAsia="黑体"/>
          <w:b/>
          <w:i w:val="0"/>
          <w:sz w:val="32"/>
        </w:rPr>
        <w:t>致  谢</w:t>
      </w:r>
    </w:p>
    <w:p>
      <w:pPr>
        <w:spacing w:before="0" w:after="0" w:line="360" w:lineRule="auto"/>
        <w:ind w:firstLine="420"/>
        <w:jc w:val="both"/>
      </w:pPr>
      <w:r>
        <w:rPr>
          <w:rFonts w:ascii="Times New Roman" w:hAnsi="Times New Roman" w:eastAsia="宋体"/>
          <w:b w:val="0"/>
          <w:i w:val="0"/>
          <w:sz w:val="24"/>
        </w:rPr>
        <w:t>（在此处表达对指导教师、同学、家人等的感谢。）</w:t>
      </w:r>
    </w:p>
    <w:p>
      <w:r>
        <w:br w:type="page"/>
      </w:r>
    </w:p>
    <w:p>
      <w:pPr>
        <w:keepNext/>
        <w:spacing w:before="360" w:after="120" w:line="360" w:lineRule="auto"/>
        <w:jc w:val="left"/>
      </w:pPr>
      <w:r>
        <w:rPr>
          <w:rFonts w:ascii="Arial" w:hAnsi="Arial" w:eastAsia="黑体"/>
          <w:b/>
          <w:i w:val="0"/>
          <w:sz w:val="32"/>
        </w:rPr>
        <w:t>附录 A  主要代码结构说明</w:t>
      </w:r>
    </w:p>
    <w:p>
      <w:pPr>
        <w:spacing w:before="0" w:after="0" w:line="360" w:lineRule="auto"/>
        <w:ind w:firstLine="420"/>
        <w:jc w:val="both"/>
      </w:pPr>
      <w:r>
        <w:rPr>
          <w:rFonts w:ascii="Times New Roman" w:hAnsi="Times New Roman" w:eastAsia="宋体"/>
          <w:b w:val="0"/>
          <w:i w:val="0"/>
          <w:sz w:val="24"/>
        </w:rPr>
        <w:t>本文项目代码组织如下：</w:t>
      </w:r>
    </w:p>
    <w:tbl>
      <w:tblPr>
        <w:tblStyle w:val="TableGrid"/>
        <w:tblW w:type="auto" w:w="0"/>
        <w:jc w:val="center"/>
        <w:tblLook w:firstColumn="1" w:firstRow="1" w:lastColumn="0" w:lastRow="0" w:noHBand="0" w:noVBand="1" w:val="04A0"/>
      </w:tblPr>
      <w:tblGrid>
        <w:gridCol w:w="4323"/>
        <w:gridCol w:w="4323"/>
      </w:tblGrid>
      <w:tr>
        <w:tc>
          <w:tcPr>
            <w:tcW w:type="dxa" w:w="2835"/>
            <w:shd w:fill="4472C4"/>
          </w:tcPr>
          <w:p>
            <w:pPr>
              <w:jc w:val="center"/>
            </w:pPr>
            <w:r/>
            <w:r>
              <w:rPr>
                <w:rFonts w:ascii="Arial" w:hAnsi="Arial" w:eastAsia="黑体"/>
                <w:b/>
                <w:i w:val="0"/>
                <w:color w:val="FFFFFF"/>
                <w:sz w:val="20"/>
              </w:rPr>
              <w:t>文件</w:t>
            </w:r>
          </w:p>
        </w:tc>
        <w:tc>
          <w:tcPr>
            <w:tcW w:type="dxa" w:w="5669"/>
            <w:shd w:fill="4472C4"/>
          </w:tcPr>
          <w:p>
            <w:pPr>
              <w:jc w:val="center"/>
            </w:pPr>
            <w:r/>
            <w:r>
              <w:rPr>
                <w:rFonts w:ascii="Arial" w:hAnsi="Arial" w:eastAsia="黑体"/>
                <w:b/>
                <w:i w:val="0"/>
                <w:color w:val="FFFFFF"/>
                <w:sz w:val="20"/>
              </w:rPr>
              <w:t>功能说明</w:t>
            </w:r>
          </w:p>
        </w:tc>
      </w:tr>
      <w:tr>
        <w:tc>
          <w:tcPr>
            <w:tcW w:type="dxa" w:w="2835"/>
          </w:tcPr>
          <w:p>
            <w:pPr>
              <w:jc w:val="center"/>
            </w:pPr>
            <w:r/>
            <w:r>
              <w:rPr>
                <w:rFonts w:ascii="Times New Roman" w:hAnsi="Times New Roman" w:eastAsia="宋体"/>
                <w:b w:val="0"/>
                <w:i w:val="0"/>
                <w:sz w:val="20"/>
              </w:rPr>
              <w:t>app.py</w:t>
            </w:r>
          </w:p>
        </w:tc>
        <w:tc>
          <w:tcPr>
            <w:tcW w:type="dxa" w:w="5669"/>
          </w:tcPr>
          <w:p>
            <w:pPr>
              <w:jc w:val="center"/>
            </w:pPr>
            <w:r/>
            <w:r>
              <w:rPr>
                <w:rFonts w:ascii="Times New Roman" w:hAnsi="Times New Roman" w:eastAsia="宋体"/>
                <w:b w:val="0"/>
                <w:i w:val="0"/>
                <w:sz w:val="20"/>
              </w:rPr>
              <w:t>Flask Web 应用主程序，提供前端界面和 REST API</w:t>
            </w:r>
          </w:p>
        </w:tc>
      </w:tr>
      <w:tr>
        <w:tc>
          <w:tcPr>
            <w:tcW w:type="dxa" w:w="2835"/>
            <w:shd w:fill="D9E2F3"/>
          </w:tcPr>
          <w:p>
            <w:pPr>
              <w:jc w:val="center"/>
            </w:pPr>
            <w:r/>
            <w:r>
              <w:rPr>
                <w:rFonts w:ascii="Times New Roman" w:hAnsi="Times New Roman" w:eastAsia="宋体"/>
                <w:b w:val="0"/>
                <w:i w:val="0"/>
                <w:sz w:val="20"/>
              </w:rPr>
              <w:t>train_multitask_model.py</w:t>
            </w:r>
          </w:p>
        </w:tc>
        <w:tc>
          <w:tcPr>
            <w:tcW w:type="dxa" w:w="5669"/>
            <w:shd w:fill="D9E2F3"/>
          </w:tcPr>
          <w:p>
            <w:pPr>
              <w:jc w:val="center"/>
            </w:pPr>
            <w:r/>
            <w:r>
              <w:rPr>
                <w:rFonts w:ascii="Times New Roman" w:hAnsi="Times New Roman" w:eastAsia="宋体"/>
                <w:b w:val="0"/>
                <w:i w:val="0"/>
                <w:sz w:val="20"/>
              </w:rPr>
              <w:t>多任务模型训练脚本，包含数据集、网络结构、训练器、协同效应计算</w:t>
            </w:r>
          </w:p>
        </w:tc>
      </w:tr>
      <w:tr>
        <w:tc>
          <w:tcPr>
            <w:tcW w:type="dxa" w:w="2835"/>
          </w:tcPr>
          <w:p>
            <w:pPr>
              <w:jc w:val="center"/>
            </w:pPr>
            <w:r/>
            <w:r>
              <w:rPr>
                <w:rFonts w:ascii="Times New Roman" w:hAnsi="Times New Roman" w:eastAsia="宋体"/>
                <w:b w:val="0"/>
                <w:i w:val="0"/>
                <w:sz w:val="20"/>
              </w:rPr>
              <w:t>train_single_disease.py</w:t>
            </w:r>
          </w:p>
        </w:tc>
        <w:tc>
          <w:tcPr>
            <w:tcW w:type="dxa" w:w="5669"/>
          </w:tcPr>
          <w:p>
            <w:pPr>
              <w:jc w:val="center"/>
            </w:pPr>
            <w:r/>
            <w:r>
              <w:rPr>
                <w:rFonts w:ascii="Times New Roman" w:hAnsi="Times New Roman" w:eastAsia="宋体"/>
                <w:b w:val="0"/>
                <w:i w:val="0"/>
                <w:sz w:val="20"/>
              </w:rPr>
              <w:t>单任务疾病分类模型训练脚本</w:t>
            </w:r>
          </w:p>
        </w:tc>
      </w:tr>
      <w:tr>
        <w:tc>
          <w:tcPr>
            <w:tcW w:type="dxa" w:w="2835"/>
            <w:shd w:fill="D9E2F3"/>
          </w:tcPr>
          <w:p>
            <w:pPr>
              <w:jc w:val="center"/>
            </w:pPr>
            <w:r/>
            <w:r>
              <w:rPr>
                <w:rFonts w:ascii="Times New Roman" w:hAnsi="Times New Roman" w:eastAsia="宋体"/>
                <w:b w:val="0"/>
                <w:i w:val="0"/>
                <w:sz w:val="20"/>
              </w:rPr>
              <w:t>risk_assessment.py</w:t>
            </w:r>
          </w:p>
        </w:tc>
        <w:tc>
          <w:tcPr>
            <w:tcW w:type="dxa" w:w="5669"/>
            <w:shd w:fill="D9E2F3"/>
          </w:tcPr>
          <w:p>
            <w:pPr>
              <w:jc w:val="center"/>
            </w:pPr>
            <w:r/>
            <w:r>
              <w:rPr>
                <w:rFonts w:ascii="Times New Roman" w:hAnsi="Times New Roman" w:eastAsia="宋体"/>
                <w:b w:val="0"/>
                <w:i w:val="0"/>
                <w:sz w:val="20"/>
              </w:rPr>
              <w:t>风险评估与 Grad-CAM 可视化脚本</w:t>
            </w:r>
          </w:p>
        </w:tc>
      </w:tr>
      <w:tr>
        <w:tc>
          <w:tcPr>
            <w:tcW w:type="dxa" w:w="2835"/>
          </w:tcPr>
          <w:p>
            <w:pPr>
              <w:jc w:val="center"/>
            </w:pPr>
            <w:r/>
            <w:r>
              <w:rPr>
                <w:rFonts w:ascii="Times New Roman" w:hAnsi="Times New Roman" w:eastAsia="宋体"/>
                <w:b w:val="0"/>
                <w:i w:val="0"/>
                <w:sz w:val="20"/>
              </w:rPr>
              <w:t>few_shot_classification.py</w:t>
            </w:r>
          </w:p>
        </w:tc>
        <w:tc>
          <w:tcPr>
            <w:tcW w:type="dxa" w:w="5669"/>
          </w:tcPr>
          <w:p>
            <w:pPr>
              <w:jc w:val="center"/>
            </w:pPr>
            <w:r/>
            <w:r>
              <w:rPr>
                <w:rFonts w:ascii="Times New Roman" w:hAnsi="Times New Roman" w:eastAsia="宋体"/>
                <w:b w:val="0"/>
                <w:i w:val="0"/>
                <w:sz w:val="20"/>
              </w:rPr>
              <w:t>少样本学习实验脚本</w:t>
            </w:r>
          </w:p>
        </w:tc>
      </w:tr>
      <w:tr>
        <w:tc>
          <w:tcPr>
            <w:tcW w:type="dxa" w:w="2835"/>
            <w:shd w:fill="D9E2F3"/>
          </w:tcPr>
          <w:p>
            <w:pPr>
              <w:jc w:val="center"/>
            </w:pPr>
            <w:r/>
            <w:r>
              <w:rPr>
                <w:rFonts w:ascii="Times New Roman" w:hAnsi="Times New Roman" w:eastAsia="宋体"/>
                <w:b w:val="0"/>
                <w:i w:val="0"/>
                <w:sz w:val="20"/>
              </w:rPr>
              <w:t>scripts/utils.py</w:t>
            </w:r>
          </w:p>
        </w:tc>
        <w:tc>
          <w:tcPr>
            <w:tcW w:type="dxa" w:w="5669"/>
            <w:shd w:fill="D9E2F3"/>
          </w:tcPr>
          <w:p>
            <w:pPr>
              <w:jc w:val="center"/>
            </w:pPr>
            <w:r/>
            <w:r>
              <w:rPr>
                <w:rFonts w:ascii="Times New Roman" w:hAnsi="Times New Roman" w:eastAsia="宋体"/>
                <w:b w:val="0"/>
                <w:i w:val="0"/>
                <w:sz w:val="20"/>
              </w:rPr>
              <w:t>共享工具函数（数据加载、标注解析、映射等）</w:t>
            </w:r>
          </w:p>
        </w:tc>
      </w:tr>
      <w:tr>
        <w:tc>
          <w:tcPr>
            <w:tcW w:type="dxa" w:w="2835"/>
          </w:tcPr>
          <w:p>
            <w:pPr>
              <w:jc w:val="center"/>
            </w:pPr>
            <w:r/>
            <w:r>
              <w:rPr>
                <w:rFonts w:ascii="Times New Roman" w:hAnsi="Times New Roman" w:eastAsia="宋体"/>
                <w:b w:val="0"/>
                <w:i w:val="0"/>
                <w:sz w:val="20"/>
              </w:rPr>
              <w:t>scripts/disease_catalog.py</w:t>
            </w:r>
          </w:p>
        </w:tc>
        <w:tc>
          <w:tcPr>
            <w:tcW w:type="dxa" w:w="5669"/>
          </w:tcPr>
          <w:p>
            <w:pPr>
              <w:jc w:val="center"/>
            </w:pPr>
            <w:r/>
            <w:r>
              <w:rPr>
                <w:rFonts w:ascii="Times New Roman" w:hAnsi="Times New Roman" w:eastAsia="宋体"/>
                <w:b w:val="0"/>
                <w:i w:val="0"/>
                <w:sz w:val="20"/>
              </w:rPr>
              <w:t>61 类病害的详细信息目录</w:t>
            </w:r>
          </w:p>
        </w:tc>
      </w:tr>
      <w:tr>
        <w:tc>
          <w:tcPr>
            <w:tcW w:type="dxa" w:w="2835"/>
            <w:shd w:fill="D9E2F3"/>
          </w:tcPr>
          <w:p>
            <w:pPr>
              <w:jc w:val="center"/>
            </w:pPr>
            <w:r/>
            <w:r>
              <w:rPr>
                <w:rFonts w:ascii="Times New Roman" w:hAnsi="Times New Roman" w:eastAsia="宋体"/>
                <w:b w:val="0"/>
                <w:i w:val="0"/>
                <w:sz w:val="20"/>
              </w:rPr>
              <w:t>scripts/export_onnx.py</w:t>
            </w:r>
          </w:p>
        </w:tc>
        <w:tc>
          <w:tcPr>
            <w:tcW w:type="dxa" w:w="5669"/>
            <w:shd w:fill="D9E2F3"/>
          </w:tcPr>
          <w:p>
            <w:pPr>
              <w:jc w:val="center"/>
            </w:pPr>
            <w:r/>
            <w:r>
              <w:rPr>
                <w:rFonts w:ascii="Times New Roman" w:hAnsi="Times New Roman" w:eastAsia="宋体"/>
                <w:b w:val="0"/>
                <w:i w:val="0"/>
                <w:sz w:val="20"/>
              </w:rPr>
              <w:t>模型 ONNX 导出脚本</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