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E3149" w14:textId="77777777" w:rsidR="009E2101" w:rsidRPr="009C3288" w:rsidRDefault="00E855CD" w:rsidP="009C3288">
      <w:pPr>
        <w:spacing w:line="360" w:lineRule="auto"/>
        <w:jc w:val="both"/>
        <w:rPr>
          <w:rFonts w:ascii="Calibri" w:hAnsi="Calibri" w:cs="Calibri"/>
          <w:b/>
          <w:bCs/>
          <w:color w:val="222222"/>
          <w:sz w:val="22"/>
          <w:szCs w:val="22"/>
          <w:shd w:val="clear" w:color="auto" w:fill="FFFFFF"/>
        </w:rPr>
      </w:pPr>
      <w:r w:rsidRPr="009C3288">
        <w:rPr>
          <w:rFonts w:ascii="Calibri" w:hAnsi="Calibri" w:cs="Calibri"/>
          <w:b/>
          <w:bCs/>
          <w:color w:val="222222"/>
          <w:sz w:val="22"/>
          <w:szCs w:val="22"/>
          <w:shd w:val="clear" w:color="auto" w:fill="FFFFFF"/>
        </w:rPr>
        <w:t>Transfer functions overview</w:t>
      </w:r>
      <w:r w:rsidR="003803BF" w:rsidRPr="009C3288">
        <w:rPr>
          <w:rFonts w:ascii="Calibri" w:hAnsi="Calibri" w:cs="Calibri"/>
          <w:b/>
          <w:bCs/>
          <w:color w:val="222222"/>
          <w:sz w:val="22"/>
          <w:szCs w:val="22"/>
          <w:shd w:val="clear" w:color="auto" w:fill="FFFFFF"/>
        </w:rPr>
        <w:t>:</w:t>
      </w:r>
    </w:p>
    <w:p w14:paraId="3D89F34F" w14:textId="098636B3" w:rsidR="009E2101" w:rsidRPr="009C3288" w:rsidRDefault="009E2101" w:rsidP="009C3288">
      <w:pPr>
        <w:spacing w:line="360" w:lineRule="auto"/>
        <w:jc w:val="both"/>
        <w:rPr>
          <w:rFonts w:ascii="Calibri" w:hAnsi="Calibri" w:cs="Calibri"/>
          <w:color w:val="222222"/>
          <w:sz w:val="22"/>
          <w:szCs w:val="22"/>
          <w:shd w:val="clear" w:color="auto" w:fill="FFFFFF"/>
        </w:rPr>
      </w:pPr>
      <w:hyperlink r:id="rId5" w:history="1">
        <w:r w:rsidRPr="009C3288">
          <w:rPr>
            <w:rStyle w:val="Hyperlink"/>
            <w:rFonts w:ascii="Calibri" w:hAnsi="Calibri" w:cs="Calibri"/>
            <w:sz w:val="22"/>
            <w:szCs w:val="22"/>
            <w:shd w:val="clear" w:color="auto" w:fill="FFFFFF"/>
          </w:rPr>
          <w:t>https://www.ncbi.nlm.nih.gov/pmc/articles/PMC4230754/</w:t>
        </w:r>
      </w:hyperlink>
    </w:p>
    <w:p w14:paraId="7C1686EA" w14:textId="152224F7" w:rsidR="00EE518B" w:rsidRPr="009C3288" w:rsidRDefault="003803BF" w:rsidP="009C3288">
      <w:pPr>
        <w:spacing w:line="360" w:lineRule="auto"/>
        <w:jc w:val="both"/>
        <w:rPr>
          <w:rFonts w:ascii="Calibri" w:hAnsi="Calibri" w:cs="Calibri"/>
          <w:color w:val="222222"/>
          <w:sz w:val="22"/>
          <w:szCs w:val="22"/>
          <w:shd w:val="clear" w:color="auto" w:fill="FFFFFF"/>
        </w:rPr>
      </w:pPr>
      <w:r w:rsidRPr="009C3288">
        <w:rPr>
          <w:rFonts w:ascii="Calibri" w:hAnsi="Calibri" w:cs="Calibri"/>
          <w:color w:val="222222"/>
          <w:sz w:val="22"/>
          <w:szCs w:val="22"/>
          <w:shd w:val="clear" w:color="auto" w:fill="FFFFFF"/>
        </w:rPr>
        <w:t>Elias LA, Watanabe RN, Kohn AF. Spinal mechanisms may provide a combination of intermittent and continuous control of human posture: predictions from a biologically based neuromusculoskeletal model. PLoS computational biology. 2014 Nov 13;10(11):e1003944.</w:t>
      </w:r>
      <w:r w:rsidR="009E2101" w:rsidRPr="009C3288">
        <w:rPr>
          <w:rFonts w:ascii="Calibri" w:hAnsi="Calibri" w:cs="Calibri"/>
          <w:color w:val="222222"/>
          <w:sz w:val="22"/>
          <w:szCs w:val="22"/>
          <w:shd w:val="clear" w:color="auto" w:fill="FFFFFF"/>
        </w:rPr>
        <w:t xml:space="preserve"> </w:t>
      </w:r>
    </w:p>
    <w:p w14:paraId="3B0D29BE" w14:textId="1270CC41" w:rsidR="009E2101" w:rsidRPr="009C3288" w:rsidRDefault="009E2101" w:rsidP="009C3288">
      <w:pPr>
        <w:pStyle w:val="ListParagraph"/>
        <w:numPr>
          <w:ilvl w:val="0"/>
          <w:numId w:val="1"/>
        </w:numPr>
        <w:spacing w:line="360" w:lineRule="auto"/>
        <w:jc w:val="both"/>
        <w:rPr>
          <w:rFonts w:ascii="Calibri" w:hAnsi="Calibri" w:cs="Calibri"/>
          <w:color w:val="222222"/>
          <w:sz w:val="22"/>
          <w:szCs w:val="22"/>
          <w:shd w:val="clear" w:color="auto" w:fill="FFFFFF"/>
        </w:rPr>
      </w:pPr>
      <w:r w:rsidRPr="009C3288">
        <w:rPr>
          <w:rFonts w:ascii="Calibri" w:hAnsi="Calibri" w:cs="Calibri"/>
          <w:color w:val="222222"/>
          <w:sz w:val="22"/>
          <w:szCs w:val="22"/>
          <w:shd w:val="clear" w:color="auto" w:fill="FFFFFF"/>
        </w:rPr>
        <w:t>This study uses a large-scale neuromusculoskeletal (NMS) model to investigate the neuromuscular mechanisms behind human upright stance control, incorporating spinal neuron models, muscle proprioceptors, Hill-type muscle models, and an inverted pendulum body model. The model includes transfer functions for Golgi tendon organs (GTO) and muscle spindles, providing sensory feedback for control.</w:t>
      </w:r>
    </w:p>
    <w:p w14:paraId="56837262" w14:textId="77777777" w:rsidR="009E2101" w:rsidRPr="009C3288" w:rsidRDefault="009E2101" w:rsidP="009C3288">
      <w:pPr>
        <w:spacing w:line="360" w:lineRule="auto"/>
        <w:jc w:val="both"/>
        <w:rPr>
          <w:rFonts w:ascii="Calibri" w:hAnsi="Calibri" w:cs="Calibri"/>
          <w:color w:val="222222"/>
          <w:sz w:val="22"/>
          <w:szCs w:val="22"/>
          <w:shd w:val="clear" w:color="auto" w:fill="FFFFFF"/>
        </w:rPr>
      </w:pPr>
    </w:p>
    <w:p w14:paraId="183D4384" w14:textId="0153CBD7" w:rsidR="009E2101" w:rsidRPr="009C3288" w:rsidRDefault="009E2101" w:rsidP="009C3288">
      <w:pPr>
        <w:spacing w:line="360" w:lineRule="auto"/>
        <w:jc w:val="both"/>
        <w:rPr>
          <w:rFonts w:ascii="Calibri" w:hAnsi="Calibri" w:cs="Calibri"/>
          <w:color w:val="222222"/>
          <w:sz w:val="22"/>
          <w:szCs w:val="22"/>
          <w:shd w:val="clear" w:color="auto" w:fill="FFFFFF"/>
        </w:rPr>
      </w:pPr>
      <w:hyperlink r:id="rId6" w:history="1">
        <w:r w:rsidRPr="009C3288">
          <w:rPr>
            <w:rStyle w:val="Hyperlink"/>
            <w:rFonts w:ascii="Calibri" w:hAnsi="Calibri" w:cs="Calibri"/>
            <w:sz w:val="22"/>
            <w:szCs w:val="22"/>
            <w:shd w:val="clear" w:color="auto" w:fill="FFFFFF"/>
          </w:rPr>
          <w:t>https://pubmed.ncbi.nlm.nih.gov/30482333/</w:t>
        </w:r>
      </w:hyperlink>
    </w:p>
    <w:p w14:paraId="54198420" w14:textId="77150F86" w:rsidR="009E2101" w:rsidRPr="009C3288" w:rsidRDefault="00EE518B" w:rsidP="009C3288">
      <w:pPr>
        <w:spacing w:line="360" w:lineRule="auto"/>
        <w:jc w:val="both"/>
        <w:rPr>
          <w:rFonts w:ascii="Calibri" w:hAnsi="Calibri" w:cs="Calibri"/>
          <w:color w:val="222222"/>
          <w:sz w:val="22"/>
          <w:szCs w:val="22"/>
          <w:shd w:val="clear" w:color="auto" w:fill="FFFFFF"/>
        </w:rPr>
      </w:pPr>
      <w:r w:rsidRPr="009C3288">
        <w:rPr>
          <w:rFonts w:ascii="Calibri" w:hAnsi="Calibri" w:cs="Calibri"/>
          <w:color w:val="222222"/>
          <w:sz w:val="22"/>
          <w:szCs w:val="22"/>
          <w:shd w:val="clear" w:color="auto" w:fill="FFFFFF"/>
        </w:rPr>
        <w:t>Forbes PA, Chen A, Blouin JS. Sensorimotor control of standing balance. Handbook of clinical neurology. 2018 Jan 1;159:61-83.</w:t>
      </w:r>
      <w:r w:rsidR="009E2101" w:rsidRPr="009C3288">
        <w:rPr>
          <w:rFonts w:ascii="Calibri" w:hAnsi="Calibri" w:cs="Calibri"/>
          <w:color w:val="222222"/>
          <w:sz w:val="22"/>
          <w:szCs w:val="22"/>
          <w:shd w:val="clear" w:color="auto" w:fill="FFFFFF"/>
        </w:rPr>
        <w:t xml:space="preserve"> </w:t>
      </w:r>
    </w:p>
    <w:p w14:paraId="1C5520C2" w14:textId="77777777" w:rsidR="009E2101" w:rsidRPr="009C3288" w:rsidRDefault="009E2101" w:rsidP="009C3288">
      <w:pPr>
        <w:pStyle w:val="ListParagraph"/>
        <w:numPr>
          <w:ilvl w:val="0"/>
          <w:numId w:val="1"/>
        </w:numPr>
        <w:spacing w:line="360" w:lineRule="auto"/>
        <w:jc w:val="both"/>
        <w:rPr>
          <w:rFonts w:ascii="Calibri" w:hAnsi="Calibri" w:cs="Calibri"/>
          <w:color w:val="222222"/>
          <w:sz w:val="22"/>
          <w:szCs w:val="22"/>
          <w:shd w:val="clear" w:color="auto" w:fill="FFFFFF"/>
        </w:rPr>
      </w:pPr>
      <w:r w:rsidRPr="009C3288">
        <w:rPr>
          <w:rFonts w:ascii="Calibri" w:hAnsi="Calibri" w:cs="Calibri"/>
          <w:color w:val="222222"/>
          <w:sz w:val="22"/>
          <w:szCs w:val="22"/>
          <w:shd w:val="clear" w:color="auto" w:fill="FFFFFF"/>
        </w:rPr>
        <w:t>This review discusses the biomechanics and sensory dynamics of standing balance, exploring how sensory cues are integrated to maintain stability. It highlights sensorimotor, computational, and robotic approaches to understanding balance control, emphasizing the task dependency, multisensory integration, and contributions of cortical-subcortical processes. The paper also includes transfer functions for vision, proprioception, and vestibular senses, providing a detailed account of how these systems contribute to balance control.</w:t>
      </w:r>
    </w:p>
    <w:p w14:paraId="00DD94DE" w14:textId="77777777" w:rsidR="009E2101" w:rsidRPr="009C3288" w:rsidRDefault="009E2101" w:rsidP="009C3288">
      <w:pPr>
        <w:spacing w:line="360" w:lineRule="auto"/>
        <w:jc w:val="both"/>
        <w:rPr>
          <w:rFonts w:ascii="Calibri" w:hAnsi="Calibri" w:cs="Calibri"/>
          <w:b/>
          <w:bCs/>
          <w:color w:val="222222"/>
          <w:sz w:val="22"/>
          <w:szCs w:val="22"/>
          <w:shd w:val="clear" w:color="auto" w:fill="FFFFFF"/>
        </w:rPr>
      </w:pPr>
    </w:p>
    <w:p w14:paraId="37CDD11E" w14:textId="4FA4C168" w:rsidR="003803BF" w:rsidRPr="009C3288" w:rsidRDefault="003803BF" w:rsidP="009C3288">
      <w:pPr>
        <w:spacing w:line="360" w:lineRule="auto"/>
        <w:jc w:val="both"/>
        <w:rPr>
          <w:rFonts w:ascii="Calibri" w:hAnsi="Calibri" w:cs="Calibri"/>
          <w:b/>
          <w:bCs/>
          <w:color w:val="222222"/>
          <w:sz w:val="22"/>
          <w:szCs w:val="22"/>
          <w:shd w:val="clear" w:color="auto" w:fill="FFFFFF"/>
        </w:rPr>
      </w:pPr>
      <w:r w:rsidRPr="009C3288">
        <w:rPr>
          <w:rFonts w:ascii="Calibri" w:hAnsi="Calibri" w:cs="Calibri"/>
          <w:b/>
          <w:bCs/>
          <w:color w:val="222222"/>
          <w:sz w:val="22"/>
          <w:szCs w:val="22"/>
          <w:shd w:val="clear" w:color="auto" w:fill="FFFFFF"/>
        </w:rPr>
        <w:t>Spindles:</w:t>
      </w:r>
    </w:p>
    <w:p w14:paraId="525B63F9" w14:textId="62B49BA2" w:rsidR="009E2101" w:rsidRPr="009C3288" w:rsidRDefault="009E2101" w:rsidP="009C3288">
      <w:pPr>
        <w:spacing w:line="360" w:lineRule="auto"/>
        <w:jc w:val="both"/>
        <w:rPr>
          <w:rFonts w:ascii="Calibri" w:hAnsi="Calibri" w:cs="Calibri"/>
          <w:color w:val="222222"/>
          <w:sz w:val="22"/>
          <w:szCs w:val="22"/>
          <w:shd w:val="clear" w:color="auto" w:fill="FFFFFF"/>
        </w:rPr>
      </w:pPr>
      <w:hyperlink r:id="rId7" w:history="1">
        <w:r w:rsidRPr="009C3288">
          <w:rPr>
            <w:rStyle w:val="Hyperlink"/>
            <w:rFonts w:ascii="Calibri" w:hAnsi="Calibri" w:cs="Calibri"/>
            <w:sz w:val="22"/>
            <w:szCs w:val="22"/>
            <w:shd w:val="clear" w:color="auto" w:fill="FFFFFF"/>
          </w:rPr>
          <w:t>https://www.ncbi.nlm.nih.gov/pmc/articles/PMC10841431/</w:t>
        </w:r>
      </w:hyperlink>
    </w:p>
    <w:p w14:paraId="7D039F49" w14:textId="171716A9" w:rsidR="003803BF" w:rsidRPr="009C3288" w:rsidRDefault="009E2101" w:rsidP="009C3288">
      <w:pPr>
        <w:spacing w:line="360" w:lineRule="auto"/>
        <w:jc w:val="both"/>
        <w:rPr>
          <w:rFonts w:ascii="Calibri" w:hAnsi="Calibri" w:cs="Calibri"/>
          <w:color w:val="222222"/>
          <w:sz w:val="22"/>
          <w:szCs w:val="22"/>
          <w:shd w:val="clear" w:color="auto" w:fill="FFFFFF"/>
        </w:rPr>
      </w:pPr>
      <w:r w:rsidRPr="009C3288">
        <w:rPr>
          <w:rFonts w:ascii="Calibri" w:hAnsi="Calibri" w:cs="Calibri"/>
          <w:color w:val="222222"/>
          <w:sz w:val="22"/>
          <w:szCs w:val="22"/>
          <w:shd w:val="clear" w:color="auto" w:fill="FFFFFF"/>
        </w:rPr>
        <w:t>A</w:t>
      </w:r>
      <w:r w:rsidR="003803BF" w:rsidRPr="009C3288">
        <w:rPr>
          <w:rFonts w:ascii="Calibri" w:hAnsi="Calibri" w:cs="Calibri"/>
          <w:color w:val="222222"/>
          <w:sz w:val="22"/>
          <w:szCs w:val="22"/>
          <w:shd w:val="clear" w:color="auto" w:fill="FFFFFF"/>
        </w:rPr>
        <w:t>bbott EM, Stephens JD, Simha SN, Wood L, Nardelli P, Cope TC, Sawicki GS, Ting LH. Attenuation of muscle spindle firing with artificially increased series compliance during stretch of relaxed muscle. Experimental Physiology. 2024 Jan;109(1):148-58.</w:t>
      </w:r>
    </w:p>
    <w:p w14:paraId="04969BA0" w14:textId="6B676A88" w:rsidR="009E2101" w:rsidRPr="009C3288" w:rsidRDefault="009E2101" w:rsidP="009C3288">
      <w:pPr>
        <w:pStyle w:val="ListParagraph"/>
        <w:numPr>
          <w:ilvl w:val="0"/>
          <w:numId w:val="1"/>
        </w:numPr>
        <w:spacing w:line="360" w:lineRule="auto"/>
        <w:jc w:val="both"/>
        <w:rPr>
          <w:rFonts w:ascii="Calibri" w:hAnsi="Calibri" w:cs="Calibri"/>
          <w:color w:val="222222"/>
          <w:sz w:val="22"/>
          <w:szCs w:val="22"/>
          <w:shd w:val="clear" w:color="auto" w:fill="FFFFFF"/>
        </w:rPr>
      </w:pPr>
      <w:r w:rsidRPr="009C3288">
        <w:rPr>
          <w:rFonts w:ascii="Calibri" w:hAnsi="Calibri" w:cs="Calibri"/>
          <w:color w:val="222222"/>
          <w:sz w:val="22"/>
          <w:szCs w:val="22"/>
          <w:shd w:val="clear" w:color="auto" w:fill="FFFFFF"/>
        </w:rPr>
        <w:lastRenderedPageBreak/>
        <w:t>This study investigates how added tendon compliance affects muscle spindle firing, revealing that while compliance generally reduces firing rates, the effects vary across different stretch types and cannot be fully explained by changes in muscle fascicle length, velocity, or muscle-tendon unit force.</w:t>
      </w:r>
    </w:p>
    <w:p w14:paraId="57CDDD62" w14:textId="2D64FE09" w:rsidR="009E2101" w:rsidRPr="009C3288" w:rsidRDefault="00FC3D3B" w:rsidP="009C3288">
      <w:pPr>
        <w:spacing w:line="360" w:lineRule="auto"/>
        <w:jc w:val="both"/>
        <w:rPr>
          <w:rFonts w:ascii="Calibri" w:hAnsi="Calibri" w:cs="Calibri"/>
          <w:color w:val="222222"/>
          <w:sz w:val="22"/>
          <w:szCs w:val="22"/>
          <w:shd w:val="clear" w:color="auto" w:fill="FFFFFF"/>
        </w:rPr>
      </w:pPr>
      <w:hyperlink r:id="rId8" w:history="1">
        <w:r w:rsidRPr="009C3288">
          <w:rPr>
            <w:rStyle w:val="Hyperlink"/>
            <w:rFonts w:ascii="Calibri" w:hAnsi="Calibri" w:cs="Calibri"/>
            <w:sz w:val="22"/>
            <w:szCs w:val="22"/>
            <w:shd w:val="clear" w:color="auto" w:fill="FFFFFF"/>
          </w:rPr>
          <w:t>https://pubmed.ncbi.nlm.nih.gov/37428622/</w:t>
        </w:r>
      </w:hyperlink>
    </w:p>
    <w:p w14:paraId="5D2167C7" w14:textId="20DCF5C9" w:rsidR="003803BF" w:rsidRPr="009C3288" w:rsidRDefault="003803BF" w:rsidP="009C3288">
      <w:pPr>
        <w:spacing w:line="360" w:lineRule="auto"/>
        <w:jc w:val="both"/>
        <w:rPr>
          <w:rFonts w:ascii="Calibri" w:hAnsi="Calibri" w:cs="Calibri"/>
          <w:color w:val="222222"/>
          <w:sz w:val="22"/>
          <w:szCs w:val="22"/>
          <w:shd w:val="clear" w:color="auto" w:fill="FFFFFF"/>
        </w:rPr>
      </w:pPr>
      <w:r w:rsidRPr="009C3288">
        <w:rPr>
          <w:rFonts w:ascii="Calibri" w:hAnsi="Calibri" w:cs="Calibri"/>
          <w:color w:val="222222"/>
          <w:sz w:val="22"/>
          <w:szCs w:val="22"/>
          <w:shd w:val="clear" w:color="auto" w:fill="FFFFFF"/>
        </w:rPr>
        <w:t>Simha SN, Ting LH. Intrafusal cross‐bridge dynamics shape history‐dependent muscle spindle responses to stretch. Experimental Physiology. 2024 Jan;109(1):112-24.</w:t>
      </w:r>
      <w:r w:rsidR="009E2101" w:rsidRPr="009C3288">
        <w:rPr>
          <w:rFonts w:ascii="Calibri" w:hAnsi="Calibri" w:cs="Calibri"/>
          <w:color w:val="222222"/>
          <w:sz w:val="22"/>
          <w:szCs w:val="22"/>
          <w:shd w:val="clear" w:color="auto" w:fill="FFFFFF"/>
        </w:rPr>
        <w:tab/>
      </w:r>
    </w:p>
    <w:p w14:paraId="30A6F783" w14:textId="3568D74C" w:rsidR="009E2101" w:rsidRPr="009C3288" w:rsidRDefault="00FC3D3B" w:rsidP="009C3288">
      <w:pPr>
        <w:pStyle w:val="ListParagraph"/>
        <w:numPr>
          <w:ilvl w:val="0"/>
          <w:numId w:val="1"/>
        </w:numPr>
        <w:spacing w:line="360" w:lineRule="auto"/>
        <w:jc w:val="both"/>
        <w:rPr>
          <w:rFonts w:ascii="Calibri" w:hAnsi="Calibri" w:cs="Calibri"/>
          <w:color w:val="222222"/>
          <w:sz w:val="22"/>
          <w:szCs w:val="22"/>
          <w:shd w:val="clear" w:color="auto" w:fill="FFFFFF"/>
        </w:rPr>
      </w:pPr>
      <w:r w:rsidRPr="009C3288">
        <w:rPr>
          <w:rFonts w:ascii="Calibri" w:hAnsi="Calibri" w:cs="Calibri"/>
          <w:color w:val="222222"/>
          <w:sz w:val="22"/>
          <w:szCs w:val="22"/>
          <w:shd w:val="clear" w:color="auto" w:fill="FFFFFF"/>
        </w:rPr>
        <w:t>This study presents a biophysical muscle spindle model that predicts sensory signals during stretch, showing how myosin dynamics and inter-filament interactions influence receptor potentials, initial bursts, and recovery, with implications for understanding muscle spindle function in postural sway and locomotion.</w:t>
      </w:r>
    </w:p>
    <w:p w14:paraId="31CF2528" w14:textId="28381FBD" w:rsidR="009E2101" w:rsidRPr="009C3288" w:rsidRDefault="00FC3D3B" w:rsidP="009C3288">
      <w:pPr>
        <w:spacing w:line="360" w:lineRule="auto"/>
        <w:jc w:val="both"/>
        <w:rPr>
          <w:rFonts w:ascii="Calibri" w:hAnsi="Calibri" w:cs="Calibri"/>
          <w:color w:val="222222"/>
          <w:sz w:val="22"/>
          <w:szCs w:val="22"/>
          <w:shd w:val="clear" w:color="auto" w:fill="FFFFFF"/>
        </w:rPr>
      </w:pPr>
      <w:hyperlink r:id="rId9" w:history="1">
        <w:r w:rsidRPr="009C3288">
          <w:rPr>
            <w:rStyle w:val="Hyperlink"/>
            <w:rFonts w:ascii="Calibri" w:hAnsi="Calibri" w:cs="Calibri"/>
            <w:sz w:val="22"/>
            <w:szCs w:val="22"/>
            <w:shd w:val="clear" w:color="auto" w:fill="FFFFFF"/>
          </w:rPr>
          <w:t>https://pubmed.ncbi.nlm.nih.gov/33370235/</w:t>
        </w:r>
      </w:hyperlink>
    </w:p>
    <w:p w14:paraId="74FF86FA" w14:textId="67E47CA8" w:rsidR="003803BF" w:rsidRPr="009C3288" w:rsidRDefault="003803BF" w:rsidP="009C3288">
      <w:pPr>
        <w:spacing w:line="360" w:lineRule="auto"/>
        <w:jc w:val="both"/>
        <w:rPr>
          <w:rFonts w:ascii="Calibri" w:hAnsi="Calibri" w:cs="Calibri"/>
          <w:color w:val="222222"/>
          <w:sz w:val="22"/>
          <w:szCs w:val="22"/>
          <w:shd w:val="clear" w:color="auto" w:fill="FFFFFF"/>
        </w:rPr>
      </w:pPr>
      <w:r w:rsidRPr="009C3288">
        <w:rPr>
          <w:rFonts w:ascii="Calibri" w:hAnsi="Calibri" w:cs="Calibri"/>
          <w:color w:val="222222"/>
          <w:sz w:val="22"/>
          <w:szCs w:val="22"/>
          <w:shd w:val="clear" w:color="auto" w:fill="FFFFFF"/>
        </w:rPr>
        <w:t>Blum KP, Campbell KS, Horslen BC, Nardelli P, Housley SN, Cope TC, Ting LH. Diverse and complex muscle spindle afferent firing properties emerge from multiscale muscle mechanics. Elife. 2020 Dec 28;9:e55177.</w:t>
      </w:r>
    </w:p>
    <w:p w14:paraId="632CE2AC" w14:textId="017EA4E6" w:rsidR="003803BF" w:rsidRPr="009C3288" w:rsidRDefault="00FC3D3B" w:rsidP="009C3288">
      <w:pPr>
        <w:pStyle w:val="ListParagraph"/>
        <w:numPr>
          <w:ilvl w:val="0"/>
          <w:numId w:val="1"/>
        </w:numPr>
        <w:spacing w:line="360" w:lineRule="auto"/>
        <w:jc w:val="both"/>
        <w:rPr>
          <w:rFonts w:ascii="Calibri" w:hAnsi="Calibri" w:cs="Calibri"/>
          <w:color w:val="222222"/>
          <w:sz w:val="22"/>
          <w:szCs w:val="22"/>
          <w:shd w:val="clear" w:color="auto" w:fill="FFFFFF"/>
        </w:rPr>
      </w:pPr>
      <w:r w:rsidRPr="009C3288">
        <w:rPr>
          <w:rFonts w:ascii="Calibri" w:hAnsi="Calibri" w:cs="Calibri"/>
          <w:color w:val="222222"/>
          <w:sz w:val="22"/>
          <w:szCs w:val="22"/>
          <w:shd w:val="clear" w:color="auto" w:fill="FFFFFF"/>
        </w:rPr>
        <w:t>This study presents a biophysical model demonstrating how muscle spindle afferent firing patterns, including movement history dependence and nonlinear velocity scaling, arise from muscle contractile mechanics and neuromechanical interactions, offering a framework to predict proprioceptive signals during active muscle contraction and stretch.</w:t>
      </w:r>
    </w:p>
    <w:p w14:paraId="5B78ACB9" w14:textId="77777777" w:rsidR="00FC3D3B" w:rsidRPr="009C3288" w:rsidRDefault="00FC3D3B" w:rsidP="009C3288">
      <w:pPr>
        <w:spacing w:line="360" w:lineRule="auto"/>
        <w:jc w:val="both"/>
        <w:rPr>
          <w:rFonts w:ascii="Calibri" w:hAnsi="Calibri" w:cs="Calibri"/>
          <w:b/>
          <w:bCs/>
          <w:color w:val="222222"/>
          <w:sz w:val="22"/>
          <w:szCs w:val="22"/>
          <w:shd w:val="clear" w:color="auto" w:fill="FFFFFF"/>
        </w:rPr>
      </w:pPr>
    </w:p>
    <w:p w14:paraId="7744CCC2" w14:textId="0FEEE94B" w:rsidR="003803BF" w:rsidRPr="009C3288" w:rsidRDefault="003803BF" w:rsidP="009C3288">
      <w:pPr>
        <w:spacing w:line="360" w:lineRule="auto"/>
        <w:jc w:val="both"/>
        <w:rPr>
          <w:rFonts w:ascii="Calibri" w:hAnsi="Calibri" w:cs="Calibri"/>
          <w:b/>
          <w:bCs/>
          <w:color w:val="222222"/>
          <w:sz w:val="22"/>
          <w:szCs w:val="22"/>
          <w:shd w:val="clear" w:color="auto" w:fill="FFFFFF"/>
        </w:rPr>
      </w:pPr>
      <w:r w:rsidRPr="009C3288">
        <w:rPr>
          <w:rFonts w:ascii="Calibri" w:hAnsi="Calibri" w:cs="Calibri"/>
          <w:b/>
          <w:bCs/>
          <w:color w:val="222222"/>
          <w:sz w:val="22"/>
          <w:szCs w:val="22"/>
          <w:shd w:val="clear" w:color="auto" w:fill="FFFFFF"/>
        </w:rPr>
        <w:t>Vestibular:</w:t>
      </w:r>
    </w:p>
    <w:p w14:paraId="3E83AC90" w14:textId="04C3159B" w:rsidR="00FC3D3B" w:rsidRPr="009C3288" w:rsidRDefault="00FC3D3B" w:rsidP="009C3288">
      <w:pPr>
        <w:spacing w:line="360" w:lineRule="auto"/>
        <w:jc w:val="both"/>
        <w:rPr>
          <w:rFonts w:ascii="Calibri" w:hAnsi="Calibri" w:cs="Calibri"/>
          <w:color w:val="222222"/>
          <w:sz w:val="22"/>
          <w:szCs w:val="22"/>
          <w:shd w:val="clear" w:color="auto" w:fill="FFFFFF"/>
        </w:rPr>
      </w:pPr>
      <w:hyperlink r:id="rId10" w:history="1">
        <w:r w:rsidRPr="009C3288">
          <w:rPr>
            <w:rStyle w:val="Hyperlink"/>
            <w:rFonts w:ascii="Calibri" w:hAnsi="Calibri" w:cs="Calibri"/>
            <w:sz w:val="22"/>
            <w:szCs w:val="22"/>
            <w:shd w:val="clear" w:color="auto" w:fill="FFFFFF"/>
          </w:rPr>
          <w:t>https://open.library.ubc.ca/soa/cIRcle/collections/ubctheses/24/items/1.0435115</w:t>
        </w:r>
      </w:hyperlink>
    </w:p>
    <w:p w14:paraId="06F65FF8" w14:textId="3F87242D" w:rsidR="003803BF" w:rsidRPr="009C3288" w:rsidRDefault="003803BF" w:rsidP="009C3288">
      <w:pPr>
        <w:spacing w:line="360" w:lineRule="auto"/>
        <w:jc w:val="both"/>
        <w:rPr>
          <w:rFonts w:ascii="Calibri" w:hAnsi="Calibri" w:cs="Calibri"/>
          <w:color w:val="222222"/>
          <w:sz w:val="22"/>
          <w:szCs w:val="22"/>
          <w:shd w:val="clear" w:color="auto" w:fill="FFFFFF"/>
        </w:rPr>
      </w:pPr>
      <w:r w:rsidRPr="009C3288">
        <w:rPr>
          <w:rFonts w:ascii="Calibri" w:hAnsi="Calibri" w:cs="Calibri"/>
          <w:color w:val="222222"/>
          <w:sz w:val="22"/>
          <w:szCs w:val="22"/>
          <w:shd w:val="clear" w:color="auto" w:fill="FFFFFF"/>
        </w:rPr>
        <w:t>Chen A. Physiological computations underlying our internal representation of vestibular self-motion (Doctoral dissertation, University of British Columbia).</w:t>
      </w:r>
    </w:p>
    <w:p w14:paraId="5F9B460E" w14:textId="619D03B2" w:rsidR="009C3288" w:rsidRPr="009C3288" w:rsidRDefault="00FC3D3B" w:rsidP="009C3288">
      <w:pPr>
        <w:pStyle w:val="ListParagraph"/>
        <w:numPr>
          <w:ilvl w:val="0"/>
          <w:numId w:val="1"/>
        </w:numPr>
        <w:spacing w:line="360" w:lineRule="auto"/>
        <w:jc w:val="both"/>
        <w:rPr>
          <w:rFonts w:ascii="Calibri" w:hAnsi="Calibri" w:cs="Calibri"/>
          <w:color w:val="222222"/>
          <w:sz w:val="22"/>
          <w:szCs w:val="22"/>
          <w:shd w:val="clear" w:color="auto" w:fill="FFFFFF"/>
        </w:rPr>
      </w:pPr>
      <w:r w:rsidRPr="009C3288">
        <w:rPr>
          <w:rFonts w:ascii="Calibri" w:hAnsi="Calibri" w:cs="Calibri"/>
          <w:color w:val="222222"/>
          <w:sz w:val="22"/>
          <w:szCs w:val="22"/>
          <w:shd w:val="clear" w:color="auto" w:fill="FFFFFF"/>
        </w:rPr>
        <w:t>This thesis explores how the brain processes vestibular sensory information, revealing that perception of self-motion is shaped by past experiences and can be elicited through both mechanical and electrical vestibular stimuli, offering new insights into vestibular processing and sensory integration.</w:t>
      </w:r>
    </w:p>
    <w:p w14:paraId="14C919C8" w14:textId="212C9C38" w:rsidR="009C3288" w:rsidRPr="009C3288" w:rsidRDefault="009C3288" w:rsidP="009C3288">
      <w:pPr>
        <w:spacing w:line="360" w:lineRule="auto"/>
        <w:jc w:val="both"/>
        <w:rPr>
          <w:rFonts w:ascii="Calibri" w:hAnsi="Calibri" w:cs="Calibri"/>
          <w:color w:val="222222"/>
          <w:sz w:val="22"/>
          <w:szCs w:val="22"/>
          <w:shd w:val="clear" w:color="auto" w:fill="FFFFFF"/>
        </w:rPr>
      </w:pPr>
      <w:hyperlink r:id="rId11" w:history="1">
        <w:r w:rsidRPr="009C3288">
          <w:rPr>
            <w:rStyle w:val="Hyperlink"/>
            <w:rFonts w:ascii="Calibri" w:hAnsi="Calibri" w:cs="Calibri"/>
            <w:sz w:val="22"/>
            <w:szCs w:val="22"/>
            <w:shd w:val="clear" w:color="auto" w:fill="FFFFFF"/>
          </w:rPr>
          <w:t>https://www.ncbi.nlm.nih.gov/pmc/articles/PMC4388918/</w:t>
        </w:r>
      </w:hyperlink>
    </w:p>
    <w:p w14:paraId="216ED8EF" w14:textId="62DB5E9A" w:rsidR="003803BF" w:rsidRPr="009C3288" w:rsidRDefault="003803BF" w:rsidP="009C3288">
      <w:pPr>
        <w:spacing w:line="360" w:lineRule="auto"/>
        <w:jc w:val="both"/>
        <w:rPr>
          <w:rFonts w:ascii="Calibri" w:hAnsi="Calibri" w:cs="Calibri"/>
          <w:color w:val="222222"/>
          <w:sz w:val="22"/>
          <w:szCs w:val="22"/>
          <w:shd w:val="clear" w:color="auto" w:fill="FFFFFF"/>
        </w:rPr>
      </w:pPr>
      <w:r w:rsidRPr="009C3288">
        <w:rPr>
          <w:rFonts w:ascii="Calibri" w:hAnsi="Calibri" w:cs="Calibri"/>
          <w:color w:val="222222"/>
          <w:sz w:val="22"/>
          <w:szCs w:val="22"/>
          <w:shd w:val="clear" w:color="auto" w:fill="FFFFFF"/>
        </w:rPr>
        <w:t>Schneider AD, Jamali M, Carriot J, Chacron MJ, Cullen KE. The increased sensitivity of irregular peripheral canal and otolith vestibular afferents optimizes their encoding of natural stimuli. Journal of Neuroscience. 2015 Apr 8;35(14):5522-36.</w:t>
      </w:r>
    </w:p>
    <w:p w14:paraId="2C21E662" w14:textId="0F247CD2" w:rsidR="003803BF" w:rsidRPr="009C3288" w:rsidRDefault="009C3288" w:rsidP="009C3288">
      <w:pPr>
        <w:pStyle w:val="ListParagraph"/>
        <w:numPr>
          <w:ilvl w:val="0"/>
          <w:numId w:val="1"/>
        </w:numPr>
        <w:spacing w:line="360" w:lineRule="auto"/>
        <w:jc w:val="both"/>
        <w:rPr>
          <w:rFonts w:ascii="Calibri" w:hAnsi="Calibri" w:cs="Calibri"/>
          <w:color w:val="222222"/>
          <w:sz w:val="22"/>
          <w:szCs w:val="22"/>
          <w:shd w:val="clear" w:color="auto" w:fill="FFFFFF"/>
        </w:rPr>
      </w:pPr>
      <w:r w:rsidRPr="009C3288">
        <w:rPr>
          <w:rFonts w:ascii="Calibri" w:hAnsi="Calibri" w:cs="Calibri"/>
          <w:color w:val="222222"/>
          <w:sz w:val="22"/>
          <w:szCs w:val="22"/>
          <w:shd w:val="clear" w:color="auto" w:fill="FFFFFF"/>
        </w:rPr>
        <w:t>This study reveals that vestibular afferents in rhesus monkeys exhibit nonlinear responses to natural rotational and translational stimuli, supporting the hypothesis that vestibular neural coding strategies are optimized to match the statistics of natural sensory input.</w:t>
      </w:r>
    </w:p>
    <w:p w14:paraId="4AF34D8C" w14:textId="77777777" w:rsidR="009C3288" w:rsidRPr="009C3288" w:rsidRDefault="009C3288" w:rsidP="009C3288">
      <w:pPr>
        <w:spacing w:line="360" w:lineRule="auto"/>
        <w:jc w:val="both"/>
        <w:rPr>
          <w:rFonts w:ascii="Calibri" w:hAnsi="Calibri" w:cs="Calibri"/>
          <w:b/>
          <w:bCs/>
          <w:color w:val="222222"/>
          <w:sz w:val="22"/>
          <w:szCs w:val="22"/>
          <w:shd w:val="clear" w:color="auto" w:fill="FFFFFF"/>
        </w:rPr>
      </w:pPr>
    </w:p>
    <w:p w14:paraId="4CAC4701" w14:textId="2064829C" w:rsidR="003803BF" w:rsidRPr="009C3288" w:rsidRDefault="003803BF" w:rsidP="009C3288">
      <w:pPr>
        <w:spacing w:line="360" w:lineRule="auto"/>
        <w:jc w:val="both"/>
        <w:rPr>
          <w:rFonts w:ascii="Calibri" w:hAnsi="Calibri" w:cs="Calibri"/>
          <w:b/>
          <w:bCs/>
          <w:color w:val="222222"/>
          <w:sz w:val="22"/>
          <w:szCs w:val="22"/>
          <w:shd w:val="clear" w:color="auto" w:fill="FFFFFF"/>
        </w:rPr>
      </w:pPr>
      <w:r w:rsidRPr="009C3288">
        <w:rPr>
          <w:rFonts w:ascii="Calibri" w:hAnsi="Calibri" w:cs="Calibri"/>
          <w:b/>
          <w:bCs/>
          <w:color w:val="222222"/>
          <w:sz w:val="22"/>
          <w:szCs w:val="22"/>
          <w:shd w:val="clear" w:color="auto" w:fill="FFFFFF"/>
        </w:rPr>
        <w:t>Skin:</w:t>
      </w:r>
    </w:p>
    <w:p w14:paraId="794D84F2" w14:textId="26A85035" w:rsidR="009C3288" w:rsidRPr="009C3288" w:rsidRDefault="009C3288" w:rsidP="009C3288">
      <w:pPr>
        <w:spacing w:line="360" w:lineRule="auto"/>
        <w:jc w:val="both"/>
        <w:rPr>
          <w:rFonts w:ascii="Calibri" w:hAnsi="Calibri" w:cs="Calibri"/>
          <w:color w:val="222222"/>
          <w:sz w:val="22"/>
          <w:szCs w:val="22"/>
          <w:shd w:val="clear" w:color="auto" w:fill="FFFFFF"/>
        </w:rPr>
      </w:pPr>
      <w:hyperlink r:id="rId12" w:history="1">
        <w:r w:rsidRPr="009C3288">
          <w:rPr>
            <w:rStyle w:val="Hyperlink"/>
            <w:rFonts w:ascii="Calibri" w:hAnsi="Calibri" w:cs="Calibri"/>
            <w:sz w:val="22"/>
            <w:szCs w:val="22"/>
            <w:shd w:val="clear" w:color="auto" w:fill="FFFFFF"/>
          </w:rPr>
          <w:t>https://pubmed.ncbi.nlm.nih.gov/36636355/</w:t>
        </w:r>
      </w:hyperlink>
    </w:p>
    <w:p w14:paraId="6CE6E69C" w14:textId="5A6BEC1A" w:rsidR="003803BF" w:rsidRPr="009C3288" w:rsidRDefault="003803BF" w:rsidP="009C3288">
      <w:pPr>
        <w:spacing w:line="360" w:lineRule="auto"/>
        <w:jc w:val="both"/>
        <w:rPr>
          <w:rFonts w:ascii="Calibri" w:hAnsi="Calibri" w:cs="Calibri"/>
          <w:color w:val="222222"/>
          <w:sz w:val="22"/>
          <w:szCs w:val="22"/>
          <w:shd w:val="clear" w:color="auto" w:fill="FFFFFF"/>
        </w:rPr>
      </w:pPr>
      <w:r w:rsidRPr="009C3288">
        <w:rPr>
          <w:rFonts w:ascii="Calibri" w:hAnsi="Calibri" w:cs="Calibri"/>
          <w:color w:val="222222"/>
          <w:sz w:val="22"/>
          <w:szCs w:val="22"/>
          <w:shd w:val="clear" w:color="auto" w:fill="FFFFFF"/>
        </w:rPr>
        <w:t>Katic N, Siqueira RK, Cleland L, Strzalkowski N, Bent L, Raspopovic S, Saal H. Modeling foot sole cutaneous afferents: FootSim. Iscience. 2023 Jan 20;26(1).</w:t>
      </w:r>
    </w:p>
    <w:p w14:paraId="02304772" w14:textId="0965C5DE" w:rsidR="009C3288" w:rsidRPr="009C3288" w:rsidRDefault="009C3288" w:rsidP="009C3288">
      <w:pPr>
        <w:pStyle w:val="ListParagraph"/>
        <w:numPr>
          <w:ilvl w:val="0"/>
          <w:numId w:val="1"/>
        </w:numPr>
        <w:spacing w:line="360" w:lineRule="auto"/>
        <w:jc w:val="both"/>
        <w:rPr>
          <w:rFonts w:ascii="Calibri" w:hAnsi="Calibri" w:cs="Calibri"/>
          <w:color w:val="222222"/>
          <w:sz w:val="22"/>
          <w:szCs w:val="22"/>
          <w:shd w:val="clear" w:color="auto" w:fill="FFFFFF"/>
        </w:rPr>
      </w:pPr>
      <w:r w:rsidRPr="009C3288">
        <w:rPr>
          <w:rFonts w:ascii="Calibri" w:hAnsi="Calibri" w:cs="Calibri"/>
          <w:color w:val="222222"/>
          <w:sz w:val="22"/>
          <w:szCs w:val="22"/>
          <w:shd w:val="clear" w:color="auto" w:fill="FFFFFF"/>
        </w:rPr>
        <w:t>The FootSim model simulates mechanoreceptor activation in the foot sole to replicate neural spiking responses to mechanical stimuli, providing insights into afferent activation under dynamic conditions and serving as a valuable tool for neuroprosthetic applications and biomimetic stimulation design.</w:t>
      </w:r>
    </w:p>
    <w:p w14:paraId="26E900FB" w14:textId="77777777" w:rsidR="009C3288" w:rsidRDefault="009C3288" w:rsidP="009C3288">
      <w:pPr>
        <w:spacing w:line="360" w:lineRule="auto"/>
        <w:jc w:val="both"/>
        <w:rPr>
          <w:rFonts w:ascii="Calibri" w:hAnsi="Calibri" w:cs="Calibri"/>
          <w:b/>
          <w:bCs/>
          <w:color w:val="222222"/>
          <w:sz w:val="22"/>
          <w:szCs w:val="22"/>
          <w:shd w:val="clear" w:color="auto" w:fill="FFFFFF"/>
        </w:rPr>
      </w:pPr>
    </w:p>
    <w:p w14:paraId="4E3BB1BE" w14:textId="5FA3B87A" w:rsidR="003803BF" w:rsidRPr="009C3288" w:rsidRDefault="003803BF" w:rsidP="009C3288">
      <w:pPr>
        <w:spacing w:line="360" w:lineRule="auto"/>
        <w:jc w:val="both"/>
        <w:rPr>
          <w:rFonts w:ascii="Calibri" w:hAnsi="Calibri" w:cs="Calibri"/>
          <w:b/>
          <w:bCs/>
          <w:color w:val="222222"/>
          <w:sz w:val="22"/>
          <w:szCs w:val="22"/>
          <w:shd w:val="clear" w:color="auto" w:fill="FFFFFF"/>
        </w:rPr>
      </w:pPr>
      <w:r w:rsidRPr="009C3288">
        <w:rPr>
          <w:rFonts w:ascii="Calibri" w:hAnsi="Calibri" w:cs="Calibri"/>
          <w:b/>
          <w:bCs/>
          <w:color w:val="222222"/>
          <w:sz w:val="22"/>
          <w:szCs w:val="22"/>
          <w:shd w:val="clear" w:color="auto" w:fill="FFFFFF"/>
        </w:rPr>
        <w:t xml:space="preserve">Vision: </w:t>
      </w:r>
    </w:p>
    <w:p w14:paraId="25E8D622" w14:textId="58600F78" w:rsidR="009C3288" w:rsidRDefault="009C3288" w:rsidP="009C3288">
      <w:pPr>
        <w:spacing w:after="0" w:line="360" w:lineRule="auto"/>
        <w:jc w:val="both"/>
        <w:rPr>
          <w:rFonts w:ascii="Calibri" w:hAnsi="Calibri" w:cs="Calibri"/>
          <w:color w:val="222222"/>
          <w:sz w:val="22"/>
          <w:szCs w:val="22"/>
          <w:shd w:val="clear" w:color="auto" w:fill="FFFFFF"/>
        </w:rPr>
      </w:pPr>
      <w:hyperlink r:id="rId13" w:history="1">
        <w:r w:rsidRPr="00CD48BB">
          <w:rPr>
            <w:rStyle w:val="Hyperlink"/>
            <w:rFonts w:ascii="Calibri" w:hAnsi="Calibri" w:cs="Calibri"/>
            <w:sz w:val="22"/>
            <w:szCs w:val="22"/>
            <w:shd w:val="clear" w:color="auto" w:fill="FFFFFF"/>
          </w:rPr>
          <w:t>https://doi.org/10.1162/artl_a_00297</w:t>
        </w:r>
      </w:hyperlink>
    </w:p>
    <w:p w14:paraId="691E3644" w14:textId="62385384" w:rsidR="00204083" w:rsidRPr="009C3288" w:rsidRDefault="00204083" w:rsidP="009C3288">
      <w:pPr>
        <w:spacing w:after="0" w:line="360" w:lineRule="auto"/>
        <w:jc w:val="both"/>
        <w:rPr>
          <w:rFonts w:ascii="Calibri" w:hAnsi="Calibri" w:cs="Calibri"/>
          <w:color w:val="222222"/>
          <w:sz w:val="22"/>
          <w:szCs w:val="22"/>
          <w:shd w:val="clear" w:color="auto" w:fill="FFFFFF"/>
        </w:rPr>
      </w:pPr>
      <w:r w:rsidRPr="009C3288">
        <w:rPr>
          <w:rFonts w:ascii="Calibri" w:hAnsi="Calibri" w:cs="Calibri"/>
          <w:color w:val="222222"/>
          <w:sz w:val="22"/>
          <w:szCs w:val="22"/>
          <w:shd w:val="clear" w:color="auto" w:fill="FFFFFF"/>
        </w:rPr>
        <w:t>Fu Q, Wang H, Hu C, Yue S. Towards computational models and applications of insect visual systems for motion perception: A review. Artificial life. 2019 Aug 1;25(3):263-311.</w:t>
      </w:r>
    </w:p>
    <w:p w14:paraId="6942B3CC" w14:textId="45CC3B54" w:rsidR="009C3288" w:rsidRPr="00B759E1" w:rsidRDefault="00B759E1" w:rsidP="00B759E1">
      <w:pPr>
        <w:pStyle w:val="ListParagraph"/>
        <w:numPr>
          <w:ilvl w:val="0"/>
          <w:numId w:val="1"/>
        </w:numPr>
        <w:spacing w:after="0" w:line="360" w:lineRule="auto"/>
        <w:jc w:val="both"/>
        <w:rPr>
          <w:rFonts w:ascii="Calibri" w:hAnsi="Calibri" w:cs="Calibri"/>
          <w:color w:val="222222"/>
          <w:sz w:val="22"/>
          <w:szCs w:val="22"/>
          <w:shd w:val="clear" w:color="auto" w:fill="FFFFFF"/>
        </w:rPr>
      </w:pPr>
      <w:r w:rsidRPr="00B759E1">
        <w:rPr>
          <w:rFonts w:ascii="Calibri" w:hAnsi="Calibri" w:cs="Calibri"/>
          <w:color w:val="222222"/>
          <w:sz w:val="22"/>
          <w:szCs w:val="22"/>
          <w:shd w:val="clear" w:color="auto" w:fill="FFFFFF"/>
        </w:rPr>
        <w:t>This article reviews computational models of motion perception derived from insect visual systems, highlighting their applications in artificial intelligence and robotics, and discusses the methodologies for achieving direction and size selectivity in these models, along with their integration and hardware implementation.</w:t>
      </w:r>
    </w:p>
    <w:p w14:paraId="5EE288FB" w14:textId="77777777" w:rsidR="009C3288" w:rsidRPr="009C3288" w:rsidRDefault="009C3288" w:rsidP="009C3288">
      <w:pPr>
        <w:spacing w:after="0" w:line="360" w:lineRule="auto"/>
        <w:jc w:val="both"/>
        <w:rPr>
          <w:rFonts w:ascii="Calibri" w:hAnsi="Calibri" w:cs="Calibri"/>
          <w:color w:val="222222"/>
          <w:sz w:val="22"/>
          <w:szCs w:val="22"/>
          <w:shd w:val="clear" w:color="auto" w:fill="FFFFFF"/>
        </w:rPr>
      </w:pPr>
    </w:p>
    <w:p w14:paraId="593F1FD9" w14:textId="77777777" w:rsidR="003803BF" w:rsidRPr="009C3288" w:rsidRDefault="003803BF" w:rsidP="009C3288">
      <w:pPr>
        <w:spacing w:line="360" w:lineRule="auto"/>
        <w:jc w:val="both"/>
        <w:rPr>
          <w:rFonts w:ascii="Calibri" w:hAnsi="Calibri" w:cs="Calibri"/>
          <w:color w:val="222222"/>
          <w:sz w:val="22"/>
          <w:szCs w:val="22"/>
          <w:shd w:val="clear" w:color="auto" w:fill="FFFFFF"/>
        </w:rPr>
      </w:pPr>
    </w:p>
    <w:p w14:paraId="703D01BB" w14:textId="77777777" w:rsidR="00B759E1" w:rsidRDefault="00B759E1" w:rsidP="009C3288">
      <w:pPr>
        <w:spacing w:line="360" w:lineRule="auto"/>
        <w:jc w:val="both"/>
        <w:rPr>
          <w:rFonts w:ascii="Calibri" w:hAnsi="Calibri" w:cs="Calibri"/>
          <w:color w:val="222222"/>
          <w:sz w:val="22"/>
          <w:szCs w:val="22"/>
          <w:shd w:val="clear" w:color="auto" w:fill="FFFFFF"/>
        </w:rPr>
      </w:pPr>
    </w:p>
    <w:p w14:paraId="786628B3" w14:textId="6B73499F" w:rsidR="00B759E1" w:rsidRDefault="00B759E1" w:rsidP="009C3288">
      <w:pPr>
        <w:spacing w:line="360" w:lineRule="auto"/>
        <w:jc w:val="both"/>
        <w:rPr>
          <w:rFonts w:ascii="Calibri" w:hAnsi="Calibri" w:cs="Calibri"/>
          <w:color w:val="222222"/>
          <w:sz w:val="22"/>
          <w:szCs w:val="22"/>
          <w:shd w:val="clear" w:color="auto" w:fill="FFFFFF"/>
        </w:rPr>
      </w:pPr>
      <w:hyperlink r:id="rId14" w:history="1">
        <w:r w:rsidRPr="00CD48BB">
          <w:rPr>
            <w:rStyle w:val="Hyperlink"/>
            <w:rFonts w:ascii="Calibri" w:hAnsi="Calibri" w:cs="Calibri"/>
            <w:sz w:val="22"/>
            <w:szCs w:val="22"/>
            <w:shd w:val="clear" w:color="auto" w:fill="FFFFFF"/>
          </w:rPr>
          <w:t>https://jov.arvojournals.org/article.aspx?articleid=2677957</w:t>
        </w:r>
      </w:hyperlink>
    </w:p>
    <w:p w14:paraId="46160602" w14:textId="6F786276" w:rsidR="00204083" w:rsidRDefault="00204083" w:rsidP="009C3288">
      <w:pPr>
        <w:spacing w:line="360" w:lineRule="auto"/>
        <w:jc w:val="both"/>
        <w:rPr>
          <w:rFonts w:ascii="Calibri" w:hAnsi="Calibri" w:cs="Calibri"/>
          <w:color w:val="222222"/>
          <w:sz w:val="22"/>
          <w:szCs w:val="22"/>
          <w:shd w:val="clear" w:color="auto" w:fill="FFFFFF"/>
        </w:rPr>
      </w:pPr>
      <w:r w:rsidRPr="009C3288">
        <w:rPr>
          <w:rFonts w:ascii="Calibri" w:hAnsi="Calibri" w:cs="Calibri"/>
          <w:color w:val="222222"/>
          <w:sz w:val="22"/>
          <w:szCs w:val="22"/>
          <w:shd w:val="clear" w:color="auto" w:fill="FFFFFF"/>
        </w:rPr>
        <w:t>Perrone JA. Visual–vestibular estimation of the body's curvilinear motion through the world: A computational model. Journal of Vision. 2018 Apr 1;18(4):1-.</w:t>
      </w:r>
    </w:p>
    <w:p w14:paraId="2B51C15B" w14:textId="1238B96B" w:rsidR="00B759E1" w:rsidRPr="00B759E1" w:rsidRDefault="00B759E1" w:rsidP="00B759E1">
      <w:pPr>
        <w:pStyle w:val="ListParagraph"/>
        <w:numPr>
          <w:ilvl w:val="0"/>
          <w:numId w:val="1"/>
        </w:numPr>
        <w:spacing w:line="360" w:lineRule="auto"/>
        <w:jc w:val="both"/>
        <w:rPr>
          <w:rFonts w:ascii="Calibri" w:hAnsi="Calibri" w:cs="Calibri"/>
          <w:color w:val="222222"/>
          <w:sz w:val="22"/>
          <w:szCs w:val="22"/>
          <w:shd w:val="clear" w:color="auto" w:fill="FFFFFF"/>
        </w:rPr>
      </w:pPr>
      <w:r w:rsidRPr="00B759E1">
        <w:rPr>
          <w:rFonts w:ascii="Calibri" w:hAnsi="Calibri" w:cs="Calibri"/>
          <w:color w:val="222222"/>
          <w:sz w:val="22"/>
          <w:szCs w:val="22"/>
          <w:shd w:val="clear" w:color="auto" w:fill="FFFFFF"/>
        </w:rPr>
        <w:t>This study demonstrates that accurate navigation during curvilinear self-motion requires precise measurement of eye-in-world rotation, showing that combining imprecise vestibular signals with visual image-motion velocities enhances heading estimation accuracy and aligns with existing psychophysical data.</w:t>
      </w:r>
    </w:p>
    <w:sectPr w:rsidR="00B759E1" w:rsidRPr="00B759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E615FD"/>
    <w:multiLevelType w:val="hybridMultilevel"/>
    <w:tmpl w:val="07F8F2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7948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2MTcxNrWwNDQzMzRT0lEKTi0uzszPAykwrgUAVTC5+iwAAAA="/>
  </w:docVars>
  <w:rsids>
    <w:rsidRoot w:val="00157A83"/>
    <w:rsid w:val="00157A83"/>
    <w:rsid w:val="00204083"/>
    <w:rsid w:val="003803BF"/>
    <w:rsid w:val="008F61FD"/>
    <w:rsid w:val="009C3288"/>
    <w:rsid w:val="009E2101"/>
    <w:rsid w:val="00B759E1"/>
    <w:rsid w:val="00D24AC2"/>
    <w:rsid w:val="00E855CD"/>
    <w:rsid w:val="00EE518B"/>
    <w:rsid w:val="00FC3D3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8FB2"/>
  <w15:chartTrackingRefBased/>
  <w15:docId w15:val="{6EFAB668-C04E-4825-A618-7B52F851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A83"/>
    <w:rPr>
      <w:rFonts w:eastAsiaTheme="majorEastAsia" w:cstheme="majorBidi"/>
      <w:color w:val="272727" w:themeColor="text1" w:themeTint="D8"/>
    </w:rPr>
  </w:style>
  <w:style w:type="paragraph" w:styleId="Title">
    <w:name w:val="Title"/>
    <w:basedOn w:val="Normal"/>
    <w:next w:val="Normal"/>
    <w:link w:val="TitleChar"/>
    <w:uiPriority w:val="10"/>
    <w:qFormat/>
    <w:rsid w:val="00157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A83"/>
    <w:pPr>
      <w:spacing w:before="160"/>
      <w:jc w:val="center"/>
    </w:pPr>
    <w:rPr>
      <w:i/>
      <w:iCs/>
      <w:color w:val="404040" w:themeColor="text1" w:themeTint="BF"/>
    </w:rPr>
  </w:style>
  <w:style w:type="character" w:customStyle="1" w:styleId="QuoteChar">
    <w:name w:val="Quote Char"/>
    <w:basedOn w:val="DefaultParagraphFont"/>
    <w:link w:val="Quote"/>
    <w:uiPriority w:val="29"/>
    <w:rsid w:val="00157A83"/>
    <w:rPr>
      <w:i/>
      <w:iCs/>
      <w:color w:val="404040" w:themeColor="text1" w:themeTint="BF"/>
    </w:rPr>
  </w:style>
  <w:style w:type="paragraph" w:styleId="ListParagraph">
    <w:name w:val="List Paragraph"/>
    <w:basedOn w:val="Normal"/>
    <w:uiPriority w:val="34"/>
    <w:qFormat/>
    <w:rsid w:val="00157A83"/>
    <w:pPr>
      <w:ind w:left="720"/>
      <w:contextualSpacing/>
    </w:pPr>
  </w:style>
  <w:style w:type="character" w:styleId="IntenseEmphasis">
    <w:name w:val="Intense Emphasis"/>
    <w:basedOn w:val="DefaultParagraphFont"/>
    <w:uiPriority w:val="21"/>
    <w:qFormat/>
    <w:rsid w:val="00157A83"/>
    <w:rPr>
      <w:i/>
      <w:iCs/>
      <w:color w:val="0F4761" w:themeColor="accent1" w:themeShade="BF"/>
    </w:rPr>
  </w:style>
  <w:style w:type="paragraph" w:styleId="IntenseQuote">
    <w:name w:val="Intense Quote"/>
    <w:basedOn w:val="Normal"/>
    <w:next w:val="Normal"/>
    <w:link w:val="IntenseQuoteChar"/>
    <w:uiPriority w:val="30"/>
    <w:qFormat/>
    <w:rsid w:val="00157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A83"/>
    <w:rPr>
      <w:i/>
      <w:iCs/>
      <w:color w:val="0F4761" w:themeColor="accent1" w:themeShade="BF"/>
    </w:rPr>
  </w:style>
  <w:style w:type="character" w:styleId="IntenseReference">
    <w:name w:val="Intense Reference"/>
    <w:basedOn w:val="DefaultParagraphFont"/>
    <w:uiPriority w:val="32"/>
    <w:qFormat/>
    <w:rsid w:val="00157A83"/>
    <w:rPr>
      <w:b/>
      <w:bCs/>
      <w:smallCaps/>
      <w:color w:val="0F4761" w:themeColor="accent1" w:themeShade="BF"/>
      <w:spacing w:val="5"/>
    </w:rPr>
  </w:style>
  <w:style w:type="character" w:styleId="Hyperlink">
    <w:name w:val="Hyperlink"/>
    <w:basedOn w:val="DefaultParagraphFont"/>
    <w:uiPriority w:val="99"/>
    <w:unhideWhenUsed/>
    <w:rsid w:val="009E2101"/>
    <w:rPr>
      <w:color w:val="467886" w:themeColor="hyperlink"/>
      <w:u w:val="single"/>
    </w:rPr>
  </w:style>
  <w:style w:type="character" w:styleId="UnresolvedMention">
    <w:name w:val="Unresolved Mention"/>
    <w:basedOn w:val="DefaultParagraphFont"/>
    <w:uiPriority w:val="99"/>
    <w:semiHidden/>
    <w:unhideWhenUsed/>
    <w:rsid w:val="009E2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4540974">
      <w:bodyDiv w:val="1"/>
      <w:marLeft w:val="0"/>
      <w:marRight w:val="0"/>
      <w:marTop w:val="0"/>
      <w:marBottom w:val="0"/>
      <w:divBdr>
        <w:top w:val="none" w:sz="0" w:space="0" w:color="auto"/>
        <w:left w:val="none" w:sz="0" w:space="0" w:color="auto"/>
        <w:bottom w:val="none" w:sz="0" w:space="0" w:color="auto"/>
        <w:right w:val="none" w:sz="0" w:space="0" w:color="auto"/>
      </w:divBdr>
      <w:divsChild>
        <w:div w:id="347563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7428622/" TargetMode="External"/><Relationship Id="rId13" Type="http://schemas.openxmlformats.org/officeDocument/2006/relationships/hyperlink" Target="https://doi.org/10.1162/artl_a_00297" TargetMode="External"/><Relationship Id="rId3" Type="http://schemas.openxmlformats.org/officeDocument/2006/relationships/settings" Target="settings.xml"/><Relationship Id="rId7" Type="http://schemas.openxmlformats.org/officeDocument/2006/relationships/hyperlink" Target="https://www.ncbi.nlm.nih.gov/pmc/articles/PMC10841431/" TargetMode="External"/><Relationship Id="rId12" Type="http://schemas.openxmlformats.org/officeDocument/2006/relationships/hyperlink" Target="https://pubmed.ncbi.nlm.nih.gov/3663635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ubmed.ncbi.nlm.nih.gov/30482333/" TargetMode="External"/><Relationship Id="rId11" Type="http://schemas.openxmlformats.org/officeDocument/2006/relationships/hyperlink" Target="https://www.ncbi.nlm.nih.gov/pmc/articles/PMC4388918/" TargetMode="External"/><Relationship Id="rId5" Type="http://schemas.openxmlformats.org/officeDocument/2006/relationships/hyperlink" Target="https://www.ncbi.nlm.nih.gov/pmc/articles/PMC4230754/" TargetMode="External"/><Relationship Id="rId15" Type="http://schemas.openxmlformats.org/officeDocument/2006/relationships/fontTable" Target="fontTable.xml"/><Relationship Id="rId10" Type="http://schemas.openxmlformats.org/officeDocument/2006/relationships/hyperlink" Target="https://open.library.ubc.ca/soa/cIRcle/collections/ubctheses/24/items/1.0435115" TargetMode="External"/><Relationship Id="rId4" Type="http://schemas.openxmlformats.org/officeDocument/2006/relationships/webSettings" Target="webSettings.xml"/><Relationship Id="rId9" Type="http://schemas.openxmlformats.org/officeDocument/2006/relationships/hyperlink" Target="https://pubmed.ncbi.nlm.nih.gov/33370235/" TargetMode="External"/><Relationship Id="rId14" Type="http://schemas.openxmlformats.org/officeDocument/2006/relationships/hyperlink" Target="https://jov.arvojournals.org/article.aspx?articleid=26779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MohammadiNasrabadi, Amin</dc:creator>
  <cp:keywords/>
  <dc:description/>
  <cp:lastModifiedBy>MohammadiNasrabadi, Amin</cp:lastModifiedBy>
  <cp:revision>6</cp:revision>
  <dcterms:created xsi:type="dcterms:W3CDTF">2024-09-20T23:10:00Z</dcterms:created>
  <dcterms:modified xsi:type="dcterms:W3CDTF">2024-09-23T04:24:00Z</dcterms:modified>
</cp:coreProperties>
</file>