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610DD">
      <w:pPr>
        <w:ind w:firstLine="4290" w:firstLineChars="3300"/>
        <w:rPr>
          <w:rFonts w:hint="eastAsia" w:ascii="华文仿宋" w:hAnsi="宋体" w:eastAsia="华文仿宋"/>
          <w:b/>
          <w:bCs/>
          <w:sz w:val="24"/>
        </w:rPr>
      </w:pPr>
      <w:r>
        <w:rPr>
          <w:sz w:val="13"/>
        </w:rPr>
        <w:drawing>
          <wp:anchor distT="0" distB="0" distL="114300" distR="114300" simplePos="0" relativeHeight="251659264" behindDoc="0" locked="0" layoutInCell="1" allowOverlap="1">
            <wp:simplePos x="0" y="0"/>
            <wp:positionH relativeFrom="column">
              <wp:posOffset>752475</wp:posOffset>
            </wp:positionH>
            <wp:positionV relativeFrom="paragraph">
              <wp:posOffset>495300</wp:posOffset>
            </wp:positionV>
            <wp:extent cx="3886200" cy="971550"/>
            <wp:effectExtent l="0" t="0" r="0" b="0"/>
            <wp:wrapTopAndBottom/>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3886200" cy="971550"/>
                    </a:xfrm>
                    <a:prstGeom prst="rect">
                      <a:avLst/>
                    </a:prstGeom>
                    <a:noFill/>
                    <a:ln>
                      <a:noFill/>
                    </a:ln>
                  </pic:spPr>
                </pic:pic>
              </a:graphicData>
            </a:graphic>
          </wp:anchor>
        </w:drawing>
      </w:r>
    </w:p>
    <w:p w14:paraId="19696C79">
      <w:pPr>
        <w:jc w:val="center"/>
        <w:rPr>
          <w:rFonts w:hint="eastAsia"/>
        </w:rPr>
      </w:pPr>
    </w:p>
    <w:p w14:paraId="61A91E64">
      <w:pPr>
        <w:jc w:val="center"/>
        <w:rPr>
          <w:rFonts w:hint="eastAsia" w:ascii="宋体" w:hAnsi="宋体"/>
          <w:b/>
          <w:bCs/>
          <w:sz w:val="13"/>
        </w:rPr>
      </w:pPr>
    </w:p>
    <w:p w14:paraId="68D8ABAD">
      <w:pPr>
        <w:spacing w:line="400" w:lineRule="atLeast"/>
        <w:jc w:val="center"/>
        <w:rPr>
          <w:rFonts w:hint="eastAsia" w:ascii="黑体" w:hAnsi="宋体" w:eastAsia="黑体"/>
          <w:b/>
          <w:bCs/>
          <w:sz w:val="48"/>
        </w:rPr>
      </w:pPr>
      <w:r>
        <w:rPr>
          <w:rFonts w:hint="eastAsia" w:ascii="黑体" w:hAnsi="宋体" w:eastAsia="黑体"/>
          <w:b/>
          <w:bCs/>
          <w:sz w:val="48"/>
        </w:rPr>
        <w:t>本 科 生 毕 业 设 计</w:t>
      </w:r>
    </w:p>
    <w:p w14:paraId="337FAA86">
      <w:pPr>
        <w:spacing w:line="400" w:lineRule="atLeast"/>
        <w:jc w:val="center"/>
        <w:rPr>
          <w:rFonts w:hint="eastAsia" w:ascii="黑体" w:hAnsi="宋体" w:eastAsia="黑体"/>
          <w:b/>
          <w:bCs/>
          <w:sz w:val="48"/>
        </w:rPr>
      </w:pPr>
    </w:p>
    <w:p w14:paraId="56AA63AE">
      <w:pPr>
        <w:spacing w:line="400" w:lineRule="atLeast"/>
        <w:jc w:val="center"/>
        <w:rPr>
          <w:rFonts w:hint="eastAsia" w:ascii="黑体" w:hAnsi="宋体" w:eastAsia="黑体"/>
          <w:b/>
          <w:bCs/>
          <w:sz w:val="48"/>
        </w:rPr>
      </w:pPr>
      <w:r>
        <w:rPr>
          <w:rFonts w:hint="eastAsia" w:ascii="黑体" w:hAnsi="宋体" w:eastAsia="黑体"/>
          <w:b/>
          <w:bCs/>
          <w:sz w:val="48"/>
          <w:lang w:val="en-US" w:eastAsia="zh-CN"/>
        </w:rPr>
        <w:t>中期</w:t>
      </w:r>
      <w:r>
        <w:rPr>
          <w:rFonts w:hint="eastAsia" w:ascii="黑体" w:hAnsi="宋体" w:eastAsia="黑体"/>
          <w:b/>
          <w:bCs/>
          <w:sz w:val="48"/>
        </w:rPr>
        <w:t>报告</w:t>
      </w:r>
    </w:p>
    <w:p w14:paraId="4D2352D7">
      <w:pPr>
        <w:spacing w:line="400" w:lineRule="atLeast"/>
        <w:jc w:val="center"/>
        <w:rPr>
          <w:rFonts w:hint="eastAsia" w:ascii="黑体" w:hAnsi="宋体" w:eastAsia="黑体"/>
          <w:b/>
          <w:bCs/>
          <w:sz w:val="48"/>
        </w:rPr>
      </w:pPr>
    </w:p>
    <w:p w14:paraId="11676758">
      <w:pPr>
        <w:pStyle w:val="12"/>
        <w:jc w:val="center"/>
        <w:rPr>
          <w:rFonts w:hint="eastAsia"/>
        </w:rPr>
      </w:pPr>
      <w:r>
        <w:fldChar w:fldCharType="begin"/>
      </w:r>
      <w:r>
        <w:instrText xml:space="preserve"> INCLUDEPICTURE "C:\\Users\\80578\\Downloads\\图片1.png" \* MERGEFORMATINET </w:instrText>
      </w:r>
      <w:r>
        <w:fldChar w:fldCharType="separate"/>
      </w:r>
      <w:r>
        <w:drawing>
          <wp:inline distT="0" distB="0" distL="114300" distR="114300">
            <wp:extent cx="1086485" cy="1086485"/>
            <wp:effectExtent l="0" t="0" r="18415" b="18415"/>
            <wp:docPr id="10"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图片1"/>
                    <pic:cNvPicPr>
                      <a:picLocks noChangeAspect="1"/>
                    </pic:cNvPicPr>
                  </pic:nvPicPr>
                  <pic:blipFill>
                    <a:blip r:embed="rId13"/>
                    <a:stretch>
                      <a:fillRect/>
                    </a:stretch>
                  </pic:blipFill>
                  <pic:spPr>
                    <a:xfrm>
                      <a:off x="0" y="0"/>
                      <a:ext cx="1086485" cy="1086485"/>
                    </a:xfrm>
                    <a:prstGeom prst="rect">
                      <a:avLst/>
                    </a:prstGeom>
                    <a:noFill/>
                    <a:ln>
                      <a:noFill/>
                    </a:ln>
                  </pic:spPr>
                </pic:pic>
              </a:graphicData>
            </a:graphic>
          </wp:inline>
        </w:drawing>
      </w:r>
      <w:r>
        <w:fldChar w:fldCharType="end"/>
      </w:r>
    </w:p>
    <w:p w14:paraId="08EEDA94">
      <w:pPr>
        <w:spacing w:line="400" w:lineRule="atLeast"/>
        <w:rPr>
          <w:rFonts w:hint="eastAsia" w:ascii="宋体" w:hAnsi="宋体"/>
          <w:b/>
          <w:bCs/>
          <w:sz w:val="44"/>
        </w:rPr>
      </w:pPr>
    </w:p>
    <w:p w14:paraId="45E4FCFA">
      <w:pPr>
        <w:spacing w:line="400" w:lineRule="atLeast"/>
        <w:ind w:left="1050" w:leftChars="500"/>
        <w:rPr>
          <w:rFonts w:hint="eastAsia" w:ascii="仿宋" w:hAnsi="仿宋" w:eastAsia="仿宋"/>
          <w:b/>
          <w:bCs/>
          <w:sz w:val="32"/>
          <w:u w:val="single"/>
        </w:rPr>
      </w:pPr>
      <w:r>
        <w:rPr>
          <w:rFonts w:hint="eastAsia" w:ascii="仿宋" w:hAnsi="仿宋" w:eastAsia="仿宋"/>
          <w:b/>
          <w:bCs/>
          <w:sz w:val="32"/>
        </w:rPr>
        <w:t>学生姓名</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
          <w:bCs/>
          <w:sz w:val="32"/>
          <w:u w:val="single"/>
        </w:rPr>
        <w:t xml:space="preserve"> </w:t>
      </w:r>
      <w:r>
        <w:rPr>
          <w:rFonts w:hint="eastAsia" w:ascii="仿宋" w:hAnsi="仿宋" w:eastAsia="仿宋"/>
          <w:b/>
          <w:bCs/>
          <w:sz w:val="32"/>
          <w:u w:val="single"/>
          <w:lang w:val="en-US" w:eastAsia="zh-CN"/>
        </w:rPr>
        <w:t xml:space="preserve">       </w:t>
      </w:r>
      <w:r>
        <w:rPr>
          <w:rFonts w:hint="eastAsia" w:ascii="仿宋" w:hAnsi="仿宋" w:eastAsia="仿宋"/>
          <w:b/>
          <w:bCs/>
          <w:sz w:val="32"/>
          <w:u w:val="single"/>
        </w:rPr>
        <w:t xml:space="preserve"> </w:t>
      </w:r>
      <w:r>
        <w:rPr>
          <w:rFonts w:hint="eastAsia" w:ascii="仿宋" w:hAnsi="仿宋" w:eastAsia="仿宋"/>
          <w:b/>
          <w:bCs/>
          <w:sz w:val="32"/>
          <w:u w:val="single"/>
          <w:lang w:val="en-US" w:eastAsia="zh-CN"/>
        </w:rPr>
        <w:t xml:space="preserve">彭超琦      </w:t>
      </w:r>
      <w:r>
        <w:rPr>
          <w:rFonts w:hint="eastAsia" w:ascii="仿宋" w:hAnsi="仿宋" w:eastAsia="仿宋"/>
          <w:b/>
          <w:bCs/>
          <w:sz w:val="32"/>
          <w:u w:val="single"/>
        </w:rPr>
        <w:t xml:space="preserve">  </w:t>
      </w:r>
    </w:p>
    <w:p w14:paraId="7778E9F1">
      <w:pPr>
        <w:ind w:left="1050" w:leftChars="500"/>
        <w:rPr>
          <w:rFonts w:hint="eastAsia" w:ascii="仿宋" w:hAnsi="仿宋" w:eastAsia="仿宋"/>
          <w:u w:val="single"/>
        </w:rPr>
      </w:pPr>
    </w:p>
    <w:p w14:paraId="20BC8EE5">
      <w:pPr>
        <w:spacing w:line="400" w:lineRule="atLeast"/>
        <w:ind w:left="1050" w:leftChars="500"/>
        <w:rPr>
          <w:rFonts w:hint="eastAsia" w:ascii="仿宋" w:hAnsi="仿宋" w:eastAsia="仿宋"/>
          <w:b/>
          <w:bCs/>
          <w:sz w:val="32"/>
        </w:rPr>
      </w:pPr>
      <w:r>
        <w:rPr>
          <w:rFonts w:hint="eastAsia" w:ascii="仿宋" w:hAnsi="仿宋" w:eastAsia="仿宋"/>
          <w:b/>
          <w:bCs/>
          <w:sz w:val="32"/>
        </w:rPr>
        <w:t>学生学号</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
          <w:bCs/>
          <w:sz w:val="32"/>
          <w:u w:val="single"/>
        </w:rPr>
        <w:t xml:space="preserve">  </w:t>
      </w:r>
      <w:r>
        <w:rPr>
          <w:rFonts w:hint="eastAsia" w:ascii="仿宋" w:hAnsi="仿宋" w:eastAsia="仿宋"/>
          <w:b/>
          <w:bCs/>
          <w:sz w:val="32"/>
          <w:u w:val="single"/>
          <w:lang w:val="en-US" w:eastAsia="zh-CN"/>
        </w:rPr>
        <w:t xml:space="preserve">  </w:t>
      </w:r>
      <w:r>
        <w:rPr>
          <w:rFonts w:hint="eastAsia" w:ascii="仿宋" w:hAnsi="仿宋" w:eastAsia="仿宋"/>
          <w:b/>
          <w:bCs/>
          <w:sz w:val="32"/>
          <w:u w:val="single"/>
        </w:rPr>
        <w:t xml:space="preserve">   </w:t>
      </w:r>
      <w:r>
        <w:rPr>
          <w:rFonts w:hint="eastAsia" w:ascii="仿宋" w:hAnsi="仿宋" w:eastAsia="仿宋"/>
          <w:b/>
          <w:bCs/>
          <w:sz w:val="32"/>
          <w:u w:val="single"/>
          <w:lang w:val="en-US" w:eastAsia="zh-CN"/>
        </w:rPr>
        <w:t>3220105744</w:t>
      </w:r>
      <w:r>
        <w:rPr>
          <w:rFonts w:hint="eastAsia" w:ascii="仿宋" w:hAnsi="仿宋" w:eastAsia="仿宋"/>
          <w:b/>
          <w:bCs/>
          <w:sz w:val="32"/>
          <w:u w:val="single"/>
        </w:rPr>
        <w:t xml:space="preserve">    </w:t>
      </w:r>
      <w:r>
        <w:rPr>
          <w:rFonts w:hint="eastAsia" w:ascii="仿宋" w:hAnsi="仿宋" w:eastAsia="仿宋"/>
          <w:b/>
          <w:bCs/>
          <w:sz w:val="32"/>
          <w:u w:val="single"/>
          <w:lang w:val="en-US" w:eastAsia="zh-CN"/>
        </w:rPr>
        <w:t xml:space="preserve"> </w:t>
      </w:r>
      <w:r>
        <w:rPr>
          <w:rFonts w:hint="eastAsia" w:ascii="仿宋" w:hAnsi="仿宋" w:eastAsia="仿宋"/>
          <w:b/>
          <w:bCs/>
          <w:sz w:val="32"/>
          <w:u w:val="single"/>
        </w:rPr>
        <w:t xml:space="preserve"> </w:t>
      </w:r>
    </w:p>
    <w:p w14:paraId="68F321F3">
      <w:pPr>
        <w:ind w:left="1050" w:leftChars="500"/>
        <w:rPr>
          <w:rFonts w:hint="eastAsia" w:ascii="仿宋" w:hAnsi="仿宋" w:eastAsia="仿宋"/>
        </w:rPr>
      </w:pPr>
    </w:p>
    <w:p w14:paraId="466AC4A4">
      <w:pPr>
        <w:ind w:left="1050" w:leftChars="500"/>
        <w:rPr>
          <w:rFonts w:hint="eastAsia" w:ascii="仿宋" w:hAnsi="仿宋" w:eastAsia="仿宋"/>
          <w:u w:val="wave"/>
        </w:rPr>
      </w:pPr>
      <w:r>
        <w:rPr>
          <w:rFonts w:hint="eastAsia" w:ascii="仿宋" w:hAnsi="仿宋" w:eastAsia="仿宋"/>
          <w:b/>
          <w:bCs/>
          <w:sz w:val="32"/>
        </w:rPr>
        <w:t>指导教师</w:t>
      </w:r>
      <w:r>
        <w:rPr>
          <w:rFonts w:hint="eastAsia" w:ascii="仿宋" w:hAnsi="仿宋" w:eastAsia="仿宋"/>
          <w:b/>
          <w:bCs/>
          <w:sz w:val="32"/>
        </w:rPr>
        <w:tab/>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Cs/>
          <w:sz w:val="32"/>
          <w:u w:val="single"/>
        </w:rPr>
        <w:t xml:space="preserve">     </w:t>
      </w:r>
      <w:r>
        <w:rPr>
          <w:rFonts w:hint="eastAsia" w:ascii="仿宋" w:hAnsi="仿宋" w:eastAsia="仿宋"/>
          <w:b/>
          <w:bCs/>
          <w:sz w:val="32"/>
          <w:u w:val="single"/>
          <w:lang w:val="en-US" w:eastAsia="zh-CN"/>
        </w:rPr>
        <w:t xml:space="preserve">   朱霖潮 </w:t>
      </w:r>
      <w:r>
        <w:rPr>
          <w:rFonts w:hint="eastAsia" w:ascii="仿宋" w:hAnsi="仿宋" w:eastAsia="仿宋"/>
          <w:bCs/>
          <w:sz w:val="32"/>
          <w:u w:val="single"/>
        </w:rPr>
        <w:t xml:space="preserve">        </w:t>
      </w:r>
    </w:p>
    <w:p w14:paraId="3DF2A1F5">
      <w:pPr>
        <w:ind w:left="1050" w:leftChars="500"/>
        <w:rPr>
          <w:rFonts w:hint="eastAsia" w:ascii="仿宋" w:hAnsi="仿宋" w:eastAsia="仿宋"/>
          <w:u w:val="single"/>
        </w:rPr>
      </w:pPr>
    </w:p>
    <w:p w14:paraId="3AB150C8">
      <w:pPr>
        <w:ind w:left="1050" w:leftChars="500"/>
        <w:rPr>
          <w:rFonts w:hint="eastAsia" w:ascii="仿宋" w:hAnsi="仿宋" w:eastAsia="仿宋"/>
          <w:b/>
          <w:bCs/>
          <w:sz w:val="32"/>
          <w:u w:val="single"/>
          <w:lang w:val="en-US" w:eastAsia="zh-CN"/>
        </w:rPr>
      </w:pPr>
      <w:r>
        <w:rPr>
          <w:rFonts w:hint="eastAsia" w:ascii="仿宋" w:hAnsi="仿宋" w:eastAsia="仿宋"/>
          <w:b/>
          <w:bCs/>
          <w:sz w:val="32"/>
        </w:rPr>
        <w:t>年级与专业</w:t>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
          <w:bCs/>
          <w:sz w:val="32"/>
          <w:u w:val="single"/>
          <w:lang w:val="en-US" w:eastAsia="zh-CN"/>
        </w:rPr>
        <w:t>2022级 计算机科学与技术</w:t>
      </w:r>
    </w:p>
    <w:p w14:paraId="2078774C">
      <w:pPr>
        <w:ind w:left="1050" w:leftChars="500"/>
        <w:rPr>
          <w:rFonts w:hint="eastAsia" w:ascii="仿宋" w:hAnsi="仿宋" w:eastAsia="仿宋"/>
          <w:u w:val="single"/>
        </w:rPr>
      </w:pPr>
    </w:p>
    <w:p w14:paraId="34FBAF1F">
      <w:pPr>
        <w:ind w:left="1050" w:leftChars="500"/>
        <w:rPr>
          <w:rFonts w:hint="eastAsia" w:ascii="仿宋" w:hAnsi="仿宋" w:eastAsia="仿宋"/>
          <w:u w:val="wave"/>
        </w:rPr>
      </w:pPr>
      <w:r>
        <w:rPr>
          <w:rFonts w:hint="eastAsia" w:ascii="仿宋" w:hAnsi="仿宋" w:eastAsia="仿宋"/>
          <w:b/>
          <w:bCs/>
          <w:sz w:val="32"/>
        </w:rPr>
        <w:t>所在学院</w:t>
      </w:r>
      <w:r>
        <w:rPr>
          <w:rFonts w:hint="eastAsia" w:ascii="仿宋" w:hAnsi="仿宋" w:eastAsia="仿宋"/>
          <w:b/>
          <w:bCs/>
          <w:sz w:val="32"/>
        </w:rPr>
        <w:tab/>
      </w:r>
      <w:r>
        <w:rPr>
          <w:rFonts w:hint="eastAsia" w:ascii="仿宋" w:hAnsi="仿宋" w:eastAsia="仿宋"/>
          <w:b/>
          <w:bCs/>
          <w:sz w:val="32"/>
        </w:rPr>
        <w:tab/>
      </w:r>
      <w:r>
        <w:rPr>
          <w:rFonts w:hint="eastAsia" w:ascii="仿宋" w:hAnsi="仿宋" w:eastAsia="仿宋"/>
          <w:b/>
          <w:bCs/>
          <w:sz w:val="32"/>
        </w:rPr>
        <w:t xml:space="preserve"> </w:t>
      </w:r>
      <w:r>
        <w:rPr>
          <w:rFonts w:hint="eastAsia" w:ascii="仿宋" w:hAnsi="仿宋" w:eastAsia="仿宋"/>
          <w:b/>
          <w:bCs/>
          <w:sz w:val="32"/>
          <w:u w:val="single"/>
          <w:lang w:val="en-US" w:eastAsia="zh-CN"/>
        </w:rPr>
        <w:t xml:space="preserve">  计算机科学与技术学院  </w:t>
      </w:r>
    </w:p>
    <w:p w14:paraId="703A2706">
      <w:pPr>
        <w:spacing w:line="400" w:lineRule="atLeast"/>
        <w:rPr>
          <w:rFonts w:hint="eastAsia" w:ascii="宋体" w:hAnsi="宋体"/>
          <w:b/>
          <w:bCs/>
          <w:sz w:val="44"/>
        </w:rPr>
      </w:pPr>
    </w:p>
    <w:p w14:paraId="3DB8F94E">
      <w:pPr>
        <w:spacing w:line="400" w:lineRule="atLeast"/>
        <w:rPr>
          <w:rFonts w:ascii="宋体" w:hAnsi="宋体"/>
          <w:b/>
          <w:bCs/>
          <w:sz w:val="30"/>
        </w:rPr>
        <w:sectPr>
          <w:headerReference r:id="rId3" w:type="default"/>
          <w:footerReference r:id="rId4" w:type="default"/>
          <w:pgSz w:w="11906" w:h="16838"/>
          <w:pgMar w:top="1418" w:right="1134" w:bottom="1134" w:left="1418" w:header="1191" w:footer="992" w:gutter="0"/>
          <w:cols w:space="720" w:num="1"/>
          <w:docGrid w:type="linesAndChars" w:linePitch="312" w:charSpace="0"/>
        </w:sectPr>
      </w:pPr>
    </w:p>
    <w:p w14:paraId="0A4E2EEB">
      <w:pPr>
        <w:pStyle w:val="2"/>
        <w:jc w:val="center"/>
        <w:rPr>
          <w:rStyle w:val="18"/>
          <w:rFonts w:hint="eastAsia" w:ascii="仿宋" w:hAnsi="仿宋" w:eastAsia="仿宋"/>
          <w:b w:val="0"/>
          <w:sz w:val="32"/>
        </w:rPr>
      </w:pPr>
      <w:bookmarkStart w:id="0" w:name="_Toc509845636"/>
      <w:bookmarkStart w:id="1" w:name="_Toc324509825"/>
      <w:r>
        <w:rPr>
          <w:rStyle w:val="18"/>
          <w:rFonts w:hint="eastAsia" w:ascii="仿宋" w:hAnsi="仿宋" w:eastAsia="仿宋"/>
          <w:b/>
          <w:sz w:val="32"/>
          <w:szCs w:val="32"/>
        </w:rPr>
        <w:t>四、中期</w:t>
      </w:r>
      <w:r>
        <w:rPr>
          <w:rStyle w:val="18"/>
          <w:rFonts w:hint="eastAsia" w:ascii="仿宋" w:hAnsi="仿宋" w:eastAsia="仿宋"/>
          <w:b/>
          <w:sz w:val="32"/>
          <w:szCs w:val="32"/>
          <w:lang w:eastAsia="zh-CN"/>
        </w:rPr>
        <w:t>报告</w:t>
      </w:r>
      <w:bookmarkEnd w:id="0"/>
    </w:p>
    <w:p w14:paraId="4C6EDB0B">
      <w:pPr>
        <w:pStyle w:val="3"/>
        <w:rPr>
          <w:rFonts w:hint="eastAsia" w:ascii="仿宋" w:hAnsi="仿宋" w:eastAsia="仿宋"/>
          <w:sz w:val="30"/>
          <w:lang w:eastAsia="zh-CN"/>
        </w:rPr>
      </w:pPr>
      <w:bookmarkStart w:id="2" w:name="_Toc500918453"/>
      <w:bookmarkStart w:id="3" w:name="_Toc324509804"/>
      <w:r>
        <w:rPr>
          <w:rFonts w:hint="eastAsia" w:ascii="仿宋" w:hAnsi="仿宋" w:eastAsia="仿宋"/>
          <w:sz w:val="30"/>
          <w:lang w:eastAsia="zh-CN"/>
        </w:rPr>
        <w:t>1． 项目概况</w:t>
      </w:r>
      <w:bookmarkEnd w:id="2"/>
      <w:bookmarkEnd w:id="3"/>
    </w:p>
    <w:p w14:paraId="7548617B">
      <w:pPr>
        <w:pStyle w:val="4"/>
        <w:rPr>
          <w:rFonts w:hint="eastAsia" w:ascii="仿宋" w:hAnsi="仿宋" w:eastAsia="仿宋" w:cs="Times New Roman"/>
          <w:b/>
          <w:bCs w:val="0"/>
          <w:kern w:val="2"/>
          <w:sz w:val="30"/>
          <w:szCs w:val="20"/>
          <w:lang w:val="en-US" w:eastAsia="zh-CN" w:bidi="ar-SA"/>
        </w:rPr>
      </w:pPr>
      <w:bookmarkStart w:id="4" w:name="研究背景"/>
      <w:r>
        <w:rPr>
          <w:rFonts w:hint="eastAsia" w:ascii="仿宋" w:hAnsi="仿宋" w:eastAsia="仿宋" w:cs="Times New Roman"/>
          <w:b/>
          <w:bCs w:val="0"/>
          <w:kern w:val="2"/>
          <w:sz w:val="30"/>
          <w:szCs w:val="20"/>
          <w:lang w:val="en-US" w:eastAsia="zh-CN" w:bidi="ar-SA"/>
        </w:rPr>
        <w:t>1.1 研究背景</w:t>
      </w:r>
    </w:p>
    <w:p w14:paraId="54006BEE">
      <w:pPr>
        <w:pStyle w:val="19"/>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color w:val="auto"/>
        </w:rPr>
        <w:t>近年来，以 GPT 系列、通义千问、文心一言为代表的大语言模型在自然语言理解、逻辑推理、任务规划等方面取得跨越式进展，为人工智能从”感知智能”迈向”决策智能”奠定了基础。在此背景之上，智能体技术成为大模型落地应用的关键方向：通过为大模型赋予工具调用、自主规划、多轮迭代能力，智能体能够突破大模型自身的知识边界，对接外部系统与专业工具，从而完成复杂的现实世界任务。与此同时，AI for Science被广泛视为加速科学发现、提升科研效率的重要技术手段，科学研究场景下普遍存在大量重复性、流程化的工作，包括数值计算、统计分析、实验数据可视化等，迫切需要智能化、自动化的辅助工具支持。</w:t>
      </w:r>
    </w:p>
    <w:p w14:paraId="6C112E45">
      <w:pPr>
        <w:pStyle w:val="5"/>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color w:val="auto"/>
        </w:rPr>
        <w:t>然而，当前主流的智能体框架与工具调用技术在通用场景中已被广泛验证，却在科学研究这一垂直场景下存在明显的适配性缺陷：其一，缺乏面向科学领域的统一工具抽象规范，不同科研库接口差异极大，集成成本高；其二，对专业科研任务的理解与拆解能力不足，难以将模糊的科研问题拆解为严谨、可执行的工具调用序列；其三，工具调用的容错性与结果可靠性不足，存在参数幻觉、调用逻辑错误、数值精度随意截断等问题，无法满足科研工作的严谨性要求。</w:t>
      </w:r>
    </w:p>
    <w:bookmarkEnd w:id="4"/>
    <w:p w14:paraId="47D8C729">
      <w:pPr>
        <w:pStyle w:val="4"/>
        <w:rPr>
          <w:rFonts w:hint="eastAsia" w:ascii="仿宋" w:hAnsi="仿宋" w:eastAsia="仿宋" w:cs="Times New Roman"/>
          <w:b/>
          <w:bCs w:val="0"/>
          <w:kern w:val="2"/>
          <w:sz w:val="30"/>
          <w:szCs w:val="20"/>
          <w:lang w:val="en-US" w:eastAsia="zh-CN" w:bidi="ar-SA"/>
        </w:rPr>
      </w:pPr>
      <w:bookmarkStart w:id="5" w:name="研究目标"/>
      <w:r>
        <w:rPr>
          <w:rFonts w:hint="eastAsia" w:ascii="仿宋" w:hAnsi="仿宋" w:eastAsia="仿宋" w:cs="Times New Roman"/>
          <w:b/>
          <w:bCs w:val="0"/>
          <w:kern w:val="2"/>
          <w:sz w:val="30"/>
          <w:szCs w:val="20"/>
          <w:lang w:val="en-US" w:eastAsia="zh-CN" w:bidi="ar-SA"/>
        </w:rPr>
        <w:t>1.2 研究目标</w:t>
      </w:r>
    </w:p>
    <w:p w14:paraId="72E48C83">
      <w:pPr>
        <w:pStyle w:val="19"/>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kern w:val="2"/>
          <w:sz w:val="21"/>
          <w:szCs w:val="24"/>
          <w:lang w:val="en-US" w:eastAsia="zh-CN" w:bidi="ar-SA"/>
        </w:rPr>
      </w:pPr>
      <w:r>
        <w:rPr>
          <w:rFonts w:hint="eastAsia" w:ascii="仿宋" w:hAnsi="仿宋" w:eastAsia="仿宋" w:cs="仿宋"/>
          <w:color w:val="auto"/>
          <w:kern w:val="2"/>
          <w:sz w:val="21"/>
          <w:szCs w:val="24"/>
          <w:lang w:val="en-US" w:eastAsia="zh-CN" w:bidi="ar-SA"/>
        </w:rPr>
        <w:t>本研究旨在系统性地研究面向科学场景的大语言模型智能体工具调用优化问题。结合指导教师与盲审专家“应强化核心算法创新、补充关键技术模块算法细节”的指导意见，本课题在开题阶段的工程集成方案基础上，进一步将研究目标聚焦为：提出两个可独立消融、形式化可分析的算法模块，作为本论文的核心贡献点：</w:t>
      </w:r>
    </w:p>
    <w:p w14:paraId="33D231F5">
      <w:pPr>
        <w:pStyle w:val="20"/>
        <w:keepNext w:val="0"/>
        <w:keepLines w:val="0"/>
        <w:pageBreakBefore w:val="0"/>
        <w:widowControl w:val="0"/>
        <w:numPr>
          <w:ilvl w:val="0"/>
          <w:numId w:val="1"/>
        </w:numPr>
        <w:kinsoku/>
        <w:wordWrap/>
        <w:overflowPunct/>
        <w:topLinePunct w:val="0"/>
        <w:autoSpaceDE/>
        <w:autoSpaceDN/>
        <w:bidi w:val="0"/>
        <w:adjustRightInd/>
        <w:snapToGrid/>
        <w:spacing w:line="360" w:lineRule="auto"/>
        <w:ind w:left="726" w:hanging="363"/>
        <w:textAlignment w:val="auto"/>
        <w:rPr>
          <w:rFonts w:hint="eastAsia" w:ascii="仿宋" w:hAnsi="仿宋" w:eastAsia="仿宋" w:cs="仿宋"/>
          <w:color w:val="auto"/>
        </w:rPr>
      </w:pPr>
      <w:r>
        <w:rPr>
          <w:rFonts w:hint="eastAsia" w:ascii="仿宋" w:hAnsi="仿宋" w:eastAsia="仿宋" w:cs="仿宋"/>
          <w:b/>
          <w:bCs/>
          <w:color w:val="auto"/>
        </w:rPr>
        <w:t>RATS（Retrieval-Augmented Tool Selection，检索增强工具选择算法）</w:t>
      </w:r>
      <w:r>
        <w:rPr>
          <w:rFonts w:hint="eastAsia" w:ascii="仿宋" w:hAnsi="仿宋" w:eastAsia="仿宋" w:cs="仿宋"/>
          <w:color w:val="auto"/>
        </w:rPr>
        <w:t>：针对工具库规模增长后 context 膨胀、LLM 选错率上升的问题，设计基于 embedding 语义检索加规则重排的轻量工具选择算法；</w:t>
      </w:r>
      <w:bookmarkStart w:id="10" w:name="_GoBack"/>
      <w:bookmarkEnd w:id="10"/>
    </w:p>
    <w:p w14:paraId="092E1CC1">
      <w:pPr>
        <w:pStyle w:val="20"/>
        <w:keepNext w:val="0"/>
        <w:keepLines w:val="0"/>
        <w:pageBreakBefore w:val="0"/>
        <w:widowControl w:val="0"/>
        <w:numPr>
          <w:ilvl w:val="0"/>
          <w:numId w:val="1"/>
        </w:numPr>
        <w:kinsoku/>
        <w:wordWrap/>
        <w:overflowPunct/>
        <w:topLinePunct w:val="0"/>
        <w:autoSpaceDE/>
        <w:autoSpaceDN/>
        <w:bidi w:val="0"/>
        <w:adjustRightInd/>
        <w:snapToGrid/>
        <w:spacing w:line="360" w:lineRule="auto"/>
        <w:ind w:left="726" w:hanging="363"/>
        <w:textAlignment w:val="auto"/>
        <w:rPr>
          <w:rFonts w:hint="eastAsia" w:ascii="仿宋" w:hAnsi="仿宋" w:eastAsia="仿宋" w:cs="仿宋"/>
          <w:color w:val="auto"/>
        </w:rPr>
      </w:pPr>
      <w:r>
        <w:rPr>
          <w:rFonts w:hint="eastAsia" w:ascii="仿宋" w:hAnsi="仿宋" w:eastAsia="仿宋" w:cs="仿宋"/>
          <w:b/>
          <w:bCs/>
          <w:color w:val="auto"/>
        </w:rPr>
        <w:t>DAGPlanner（结构化 DAG 任务拆解算法）</w:t>
      </w:r>
      <w:r>
        <w:rPr>
          <w:rFonts w:hint="eastAsia" w:ascii="仿宋" w:hAnsi="仿宋" w:eastAsia="仿宋" w:cs="仿宋"/>
          <w:color w:val="auto"/>
        </w:rPr>
        <w:t>：针对长依赖链科学任务拆解薄弱的问题，设计一种基于有向无环图（DAG）schema 的结构化规划器，通过纯代码校验与错误驱动的重规划实现收敛。</w:t>
      </w:r>
    </w:p>
    <w:p w14:paraId="369F9354">
      <w:pPr>
        <w:pStyle w:val="19"/>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color w:val="auto"/>
        </w:rPr>
        <w:t>在此之上，完成一套支撑性的科学计算工具库、科学场景专用 Prompt 工程规则集、以及用于对比验证的评估框架与基准测试集。</w:t>
      </w:r>
    </w:p>
    <w:bookmarkEnd w:id="5"/>
    <w:p w14:paraId="4C8C030B">
      <w:pPr>
        <w:pStyle w:val="4"/>
        <w:rPr>
          <w:rFonts w:hint="eastAsia" w:ascii="仿宋" w:hAnsi="仿宋" w:eastAsia="仿宋" w:cs="Times New Roman"/>
          <w:b/>
          <w:bCs w:val="0"/>
          <w:kern w:val="2"/>
          <w:sz w:val="30"/>
          <w:szCs w:val="20"/>
          <w:lang w:val="en-US" w:eastAsia="zh-CN" w:bidi="ar-SA"/>
        </w:rPr>
      </w:pPr>
      <w:r>
        <w:rPr>
          <w:rFonts w:hint="eastAsia" w:ascii="仿宋" w:hAnsi="仿宋" w:eastAsia="仿宋" w:cs="Times New Roman"/>
          <w:b/>
          <w:bCs w:val="0"/>
          <w:kern w:val="2"/>
          <w:sz w:val="30"/>
          <w:szCs w:val="20"/>
          <w:lang w:val="en-US" w:eastAsia="zh-CN" w:bidi="ar-SA"/>
        </w:rPr>
        <w:t>1.3 研究意义</w:t>
      </w:r>
    </w:p>
    <w:p w14:paraId="67DDFEAC">
      <w:pPr>
        <w:pStyle w:val="19"/>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color w:val="auto"/>
        </w:rPr>
        <w:t>本研究在算法层面填补了”面向科学场景的轻量工具检索”与”结构化任务拆解”两项空白，弥补了通用智能体框架在科学场景下的适配性缺陷，为科研领域智能体系统的设计提供可参考的实现范式；在应用层面，系统的模块化与可扩展设计使其能够快速迁移至生物信息、材料科学、环境科学等细分科研领域，具备较强的落地潜力。</w:t>
      </w:r>
    </w:p>
    <w:p w14:paraId="60324475">
      <w:pPr>
        <w:ind w:firstLine="720" w:firstLineChars="300"/>
        <w:rPr>
          <w:rFonts w:hint="eastAsia" w:ascii="仿宋" w:hAnsi="仿宋" w:eastAsia="仿宋"/>
          <w:color w:val="FF0000"/>
          <w:sz w:val="24"/>
        </w:rPr>
      </w:pPr>
      <w:r>
        <w:rPr>
          <w:rFonts w:hint="eastAsia" w:ascii="仿宋" w:hAnsi="仿宋" w:eastAsia="仿宋"/>
          <w:color w:val="FF0000"/>
          <w:sz w:val="24"/>
        </w:rPr>
        <w:t xml:space="preserve"> </w:t>
      </w:r>
    </w:p>
    <w:p w14:paraId="53449E0D">
      <w:pPr>
        <w:pStyle w:val="3"/>
        <w:rPr>
          <w:rFonts w:hint="eastAsia" w:ascii="仿宋" w:hAnsi="仿宋" w:eastAsia="仿宋"/>
          <w:bCs/>
          <w:color w:val="FF0000"/>
          <w:sz w:val="28"/>
          <w:szCs w:val="28"/>
        </w:rPr>
      </w:pPr>
      <w:r>
        <w:rPr>
          <w:rFonts w:hint="eastAsia" w:ascii="仿宋" w:hAnsi="仿宋" w:eastAsia="仿宋"/>
          <w:sz w:val="30"/>
          <w:lang w:eastAsia="zh-CN"/>
        </w:rPr>
        <w:t xml:space="preserve">2. </w:t>
      </w:r>
      <w:r>
        <w:rPr>
          <w:rFonts w:hint="eastAsia" w:ascii="仿宋" w:hAnsi="仿宋" w:eastAsia="仿宋"/>
          <w:sz w:val="30"/>
        </w:rPr>
        <w:t>工作进展情况</w:t>
      </w:r>
    </w:p>
    <w:p w14:paraId="7401A147">
      <w:pPr>
        <w:pStyle w:val="4"/>
        <w:rPr>
          <w:rFonts w:hint="eastAsia" w:ascii="仿宋" w:hAnsi="仿宋" w:eastAsia="仿宋" w:cs="Times New Roman"/>
          <w:b/>
          <w:bCs w:val="0"/>
          <w:kern w:val="2"/>
          <w:sz w:val="30"/>
          <w:szCs w:val="20"/>
          <w:lang w:val="en-US" w:eastAsia="zh-CN" w:bidi="ar-SA"/>
        </w:rPr>
      </w:pPr>
      <w:bookmarkStart w:id="6" w:name="基础工程阶段-1-3已完成"/>
      <w:r>
        <w:rPr>
          <w:rFonts w:hint="eastAsia" w:ascii="仿宋" w:hAnsi="仿宋" w:eastAsia="仿宋" w:cs="Times New Roman"/>
          <w:b/>
          <w:bCs w:val="0"/>
          <w:kern w:val="2"/>
          <w:sz w:val="30"/>
          <w:szCs w:val="20"/>
          <w:lang w:val="en-US" w:eastAsia="zh-CN" w:bidi="ar-SA"/>
        </w:rPr>
        <w:t>2.1 基础工程</w:t>
      </w:r>
    </w:p>
    <w:p w14:paraId="305FD00B">
      <w:pPr>
        <w:pStyle w:val="19"/>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color w:val="auto"/>
        </w:rPr>
        <w:t xml:space="preserve">环境层面，基于 Python 3.14.4 搭建开发环境，采用 venv 虚拟环境管理依赖；底层 LLM 选用通义千问 qwen-plus-latest 与 qwen-turbo-latest，涉及 embedding 时使用 text-embedding-v3；数值计算基于 NumPy 2.4、SciPy 1.17，绘图基于 Matplotlib 3.10。工具库层面，已完成 12 个工具的封装，统一继承 </w:t>
      </w:r>
      <w:r>
        <w:rPr>
          <w:rStyle w:val="21"/>
          <w:rFonts w:hint="eastAsia" w:ascii="仿宋" w:hAnsi="仿宋" w:eastAsia="仿宋" w:cs="仿宋"/>
          <w:color w:val="auto"/>
        </w:rPr>
        <w:t>BaseTool</w:t>
      </w:r>
      <w:r>
        <w:rPr>
          <w:rFonts w:hint="eastAsia" w:ascii="仿宋" w:hAnsi="仿宋" w:eastAsia="仿宋" w:cs="仿宋"/>
          <w:color w:val="auto"/>
        </w:rPr>
        <w:t xml:space="preserve"> 抽象基类，统一返回 </w:t>
      </w:r>
      <w:r>
        <w:rPr>
          <w:rStyle w:val="21"/>
          <w:rFonts w:hint="eastAsia" w:ascii="仿宋" w:hAnsi="仿宋" w:eastAsia="仿宋" w:cs="仿宋"/>
          <w:color w:val="auto"/>
        </w:rPr>
        <w:t>ToolResult(success, data, error, message)</w:t>
      </w:r>
      <w:r>
        <w:rPr>
          <w:rFonts w:hint="eastAsia" w:ascii="仿宋" w:hAnsi="仿宋" w:eastAsia="仿宋" w:cs="仿宋"/>
          <w:color w:val="auto"/>
        </w:rPr>
        <w:t xml:space="preserve"> 数据结构；为支持 LLM 传入字符串数学表达式的场景（如数值积分、方程求解），还实现了基于 AST 白名单的安全表达式求值模块。测试层面，已编写 45 个工具级单元测试（数值 18 + 统计 17 + 可视化 10），全部通过。Agent 层面，手写实现了 </w:t>
      </w:r>
      <w:r>
        <w:rPr>
          <w:rStyle w:val="21"/>
          <w:rFonts w:hint="eastAsia" w:ascii="仿宋" w:hAnsi="仿宋" w:eastAsia="仿宋" w:cs="仿宋"/>
          <w:color w:val="auto"/>
        </w:rPr>
        <w:t>ReActAgent</w:t>
      </w:r>
      <w:r>
        <w:rPr>
          <w:rFonts w:hint="eastAsia" w:ascii="仿宋" w:hAnsi="仿宋" w:eastAsia="仿宋" w:cs="仿宋"/>
          <w:color w:val="auto"/>
        </w:rPr>
        <w:t xml:space="preserve"> 主循环，采用 OpenAI Function Calling 协议加显式中文 Thought 的组合模式，并对 LLM 客户端做了超时控制与指数退避重试。</w:t>
      </w:r>
    </w:p>
    <w:bookmarkEnd w:id="6"/>
    <w:p w14:paraId="77F58052">
      <w:pPr>
        <w:pStyle w:val="4"/>
        <w:rPr>
          <w:rFonts w:hint="eastAsia" w:ascii="仿宋" w:hAnsi="仿宋" w:eastAsia="仿宋" w:cs="Times New Roman"/>
          <w:b/>
          <w:bCs w:val="0"/>
          <w:kern w:val="2"/>
          <w:sz w:val="30"/>
          <w:szCs w:val="20"/>
          <w:lang w:val="en-US" w:eastAsia="zh-CN" w:bidi="ar-SA"/>
        </w:rPr>
      </w:pPr>
      <w:bookmarkStart w:id="7" w:name="prompt-工程优化阶段-4已完成"/>
      <w:r>
        <w:rPr>
          <w:rFonts w:hint="eastAsia" w:ascii="仿宋" w:hAnsi="仿宋" w:eastAsia="仿宋" w:cs="Times New Roman"/>
          <w:b/>
          <w:bCs w:val="0"/>
          <w:kern w:val="2"/>
          <w:sz w:val="30"/>
          <w:szCs w:val="20"/>
          <w:lang w:val="en-US" w:eastAsia="zh-CN" w:bidi="ar-SA"/>
        </w:rPr>
        <w:t>2.2 Prompt 工程优化</w:t>
      </w:r>
    </w:p>
    <w:p w14:paraId="0F4DCCF3">
      <w:pPr>
        <w:pStyle w:val="19"/>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color w:val="auto"/>
        </w:rPr>
        <w:t xml:space="preserve">针对科学场景下的典型失败模式，经过多轮实验与 case 级轨迹分析，提炼出 4 条 Prompt 规则：O1 结果合理性检查（拟合 </w:t>
      </w:r>
      <m:oMath>
        <m:sSup>
          <m:sSupPr>
            <m:ctrlPr>
              <w:rPr>
                <w:rFonts w:hint="eastAsia" w:ascii="Cambria Math" w:hAnsi="Cambria Math" w:eastAsia="仿宋" w:cs="仿宋"/>
                <w:color w:val="auto"/>
              </w:rPr>
            </m:ctrlPr>
          </m:sSupPr>
          <m:e>
            <m:r>
              <m:rPr/>
              <w:rPr>
                <w:rFonts w:hint="eastAsia" w:ascii="Cambria Math" w:hAnsi="Cambria Math" w:eastAsia="仿宋" w:cs="仿宋"/>
                <w:color w:val="auto"/>
              </w:rPr>
              <m:t>R</m:t>
            </m:r>
            <m:ctrlPr>
              <w:rPr>
                <w:rFonts w:hint="eastAsia" w:ascii="Cambria Math" w:hAnsi="Cambria Math" w:eastAsia="仿宋" w:cs="仿宋"/>
                <w:color w:val="auto"/>
              </w:rPr>
            </m:ctrlPr>
          </m:e>
          <m:sup>
            <m:r>
              <m:rPr/>
              <w:rPr>
                <w:rFonts w:hint="eastAsia" w:ascii="Cambria Math" w:hAnsi="Cambria Math" w:eastAsia="仿宋" w:cs="仿宋"/>
                <w:color w:val="auto"/>
              </w:rPr>
              <m:t>2</m:t>
            </m:r>
            <m:ctrlPr>
              <w:rPr>
                <w:rFonts w:hint="eastAsia" w:ascii="Cambria Math" w:hAnsi="Cambria Math" w:eastAsia="仿宋" w:cs="仿宋"/>
                <w:color w:val="auto"/>
              </w:rPr>
            </m:ctrlPr>
          </m:sup>
        </m:sSup>
      </m:oMath>
      <w:r>
        <w:rPr>
          <w:rFonts w:hint="eastAsia" w:ascii="仿宋" w:hAnsi="仿宋" w:eastAsia="仿宋" w:cs="仿宋"/>
          <w:color w:val="auto"/>
        </w:rPr>
        <w:t xml:space="preserve"> 超出 </w:t>
      </w:r>
      <m:oMath>
        <m:r>
          <m:rPr>
            <m:sty m:val="p"/>
          </m:rPr>
          <w:rPr>
            <w:rFonts w:hint="eastAsia" w:ascii="Cambria Math" w:hAnsi="Cambria Math" w:eastAsia="仿宋" w:cs="仿宋"/>
            <w:color w:val="auto"/>
          </w:rPr>
          <m:t>[</m:t>
        </m:r>
        <m:r>
          <m:rPr/>
          <w:rPr>
            <w:rFonts w:hint="eastAsia" w:ascii="Cambria Math" w:hAnsi="Cambria Math" w:eastAsia="仿宋" w:cs="仿宋"/>
            <w:color w:val="auto"/>
          </w:rPr>
          <m:t>0</m:t>
        </m:r>
        <m:r>
          <m:rPr>
            <m:sty m:val="p"/>
          </m:rPr>
          <w:rPr>
            <w:rFonts w:hint="eastAsia" w:ascii="Cambria Math" w:hAnsi="Cambria Math" w:eastAsia="仿宋" w:cs="仿宋"/>
            <w:color w:val="auto"/>
          </w:rPr>
          <m:t>,</m:t>
        </m:r>
        <m:r>
          <m:rPr/>
          <w:rPr>
            <w:rFonts w:hint="eastAsia" w:ascii="Cambria Math" w:hAnsi="Cambria Math" w:eastAsia="仿宋" w:cs="仿宋"/>
            <w:color w:val="auto"/>
          </w:rPr>
          <m:t>1</m:t>
        </m:r>
        <m:r>
          <m:rPr>
            <m:sty m:val="p"/>
          </m:rPr>
          <w:rPr>
            <w:rFonts w:hint="eastAsia" w:ascii="Cambria Math" w:hAnsi="Cambria Math" w:eastAsia="仿宋" w:cs="仿宋"/>
            <w:color w:val="auto"/>
          </w:rPr>
          <m:t>]</m:t>
        </m:r>
      </m:oMath>
      <w:r>
        <w:rPr>
          <w:rFonts w:hint="eastAsia" w:ascii="仿宋" w:hAnsi="仿宋" w:eastAsia="仿宋" w:cs="仿宋"/>
          <w:color w:val="auto"/>
        </w:rPr>
        <w:t xml:space="preserve">、参数量级失配、返回值含 NaN/Inf 视为异常，必须切换方法）、O2 数值计算规范（3 个以上样本的统计量必须通过工具计算，禁止心算）、O3 开场规划模板（3 步以上任务第一轮必须写 </w:t>
      </w:r>
      <w:r>
        <w:rPr>
          <w:rStyle w:val="21"/>
          <w:rFonts w:hint="eastAsia" w:ascii="仿宋" w:hAnsi="仿宋" w:eastAsia="仿宋" w:cs="仿宋"/>
          <w:color w:val="auto"/>
        </w:rPr>
        <w:t>Plan:</w:t>
      </w:r>
      <w:r>
        <w:rPr>
          <w:rFonts w:hint="eastAsia" w:ascii="仿宋" w:hAnsi="仿宋" w:eastAsia="仿宋" w:cs="仿宋"/>
          <w:color w:val="auto"/>
        </w:rPr>
        <w:t xml:space="preserve"> 并逐步执行）、O4 Few-shot 示例注入（在 SYSTEM_PROMPT 末尾追加典型轨迹示例）。在原 46 题测试集上，Prompt 优化前后基线（v3 → v4）的对比实验显示：Ours 配置成功率从 93.5% 提升至 97.8%，同时工具调用次数相对 B1 基线减少约 8.8%，证明该组规则对科学场景具有针对性收益。</w:t>
      </w:r>
    </w:p>
    <w:bookmarkEnd w:id="7"/>
    <w:p w14:paraId="47313D56">
      <w:pPr>
        <w:pStyle w:val="4"/>
        <w:rPr>
          <w:rFonts w:hint="eastAsia" w:ascii="仿宋" w:hAnsi="仿宋" w:eastAsia="仿宋" w:cs="Times New Roman"/>
          <w:b/>
          <w:bCs w:val="0"/>
          <w:kern w:val="2"/>
          <w:sz w:val="30"/>
          <w:szCs w:val="20"/>
          <w:lang w:val="en-US" w:eastAsia="zh-CN" w:bidi="ar-SA"/>
        </w:rPr>
      </w:pPr>
      <w:bookmarkStart w:id="8" w:name="响应审核意见的算法深化阶段-5-6核心工作已完成"/>
      <w:r>
        <w:rPr>
          <w:rFonts w:hint="eastAsia" w:ascii="仿宋" w:hAnsi="仿宋" w:eastAsia="仿宋" w:cs="Times New Roman"/>
          <w:b/>
          <w:bCs w:val="0"/>
          <w:kern w:val="2"/>
          <w:sz w:val="30"/>
          <w:szCs w:val="20"/>
          <w:lang w:val="en-US" w:eastAsia="zh-CN" w:bidi="ar-SA"/>
        </w:rPr>
        <w:t>2.3 算法深化</w:t>
      </w:r>
    </w:p>
    <w:p w14:paraId="549CD482">
      <w:pPr>
        <w:pStyle w:val="19"/>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b/>
          <w:bCs/>
          <w:color w:val="auto"/>
        </w:rPr>
        <w:t>RATS 算法模块</w:t>
      </w:r>
      <w:r>
        <w:rPr>
          <w:rFonts w:hint="eastAsia" w:ascii="仿宋" w:hAnsi="仿宋" w:eastAsia="仿宋" w:cs="仿宋"/>
          <w:color w:val="auto"/>
        </w:rPr>
        <w:t xml:space="preserve">：实现于 </w:t>
      </w:r>
      <w:r>
        <w:rPr>
          <w:rStyle w:val="21"/>
          <w:rFonts w:hint="eastAsia" w:ascii="仿宋" w:hAnsi="仿宋" w:eastAsia="仿宋" w:cs="仿宋"/>
          <w:color w:val="auto"/>
        </w:rPr>
        <w:t>src/tool_selector/</w:t>
      </w:r>
      <w:r>
        <w:rPr>
          <w:rFonts w:hint="eastAsia" w:ascii="仿宋" w:hAnsi="仿宋" w:eastAsia="仿宋" w:cs="仿宋"/>
          <w:color w:val="auto"/>
        </w:rPr>
        <w:t>，包含三个核心组件——</w:t>
      </w:r>
      <w:r>
        <w:rPr>
          <w:rStyle w:val="21"/>
          <w:rFonts w:hint="eastAsia" w:ascii="仿宋" w:hAnsi="仿宋" w:eastAsia="仿宋" w:cs="仿宋"/>
          <w:color w:val="auto"/>
        </w:rPr>
        <w:t>Embedder</w:t>
      </w:r>
      <w:r>
        <w:rPr>
          <w:rFonts w:hint="eastAsia" w:ascii="仿宋" w:hAnsi="仿宋" w:eastAsia="仿宋" w:cs="仿宋"/>
          <w:color w:val="auto"/>
        </w:rPr>
        <w:t xml:space="preserve">（封装阿里云 OpenAIEmbedder，另提供 </w:t>
      </w:r>
      <w:r>
        <w:rPr>
          <w:rStyle w:val="21"/>
          <w:rFonts w:hint="eastAsia" w:ascii="仿宋" w:hAnsi="仿宋" w:eastAsia="仿宋" w:cs="仿宋"/>
          <w:color w:val="auto"/>
        </w:rPr>
        <w:t>HashEmbedder</w:t>
      </w:r>
      <w:r>
        <w:rPr>
          <w:rFonts w:hint="eastAsia" w:ascii="仿宋" w:hAnsi="仿宋" w:eastAsia="仿宋" w:cs="仿宋"/>
          <w:color w:val="auto"/>
        </w:rPr>
        <w:t xml:space="preserve"> 作为离线 fallback）、</w:t>
      </w:r>
      <w:r>
        <w:rPr>
          <w:rStyle w:val="21"/>
          <w:rFonts w:hint="eastAsia" w:ascii="仿宋" w:hAnsi="仿宋" w:eastAsia="仿宋" w:cs="仿宋"/>
          <w:color w:val="auto"/>
        </w:rPr>
        <w:t>EmbeddingCache</w:t>
      </w:r>
      <w:r>
        <w:rPr>
          <w:rFonts w:hint="eastAsia" w:ascii="仿宋" w:hAnsi="仿宋" w:eastAsia="仿宋" w:cs="仿宋"/>
          <w:color w:val="auto"/>
        </w:rPr>
        <w:t xml:space="preserve">（按 </w:t>
      </w:r>
      <w:r>
        <w:rPr>
          <w:rStyle w:val="21"/>
          <w:rFonts w:hint="eastAsia" w:ascii="仿宋" w:hAnsi="仿宋" w:eastAsia="仿宋" w:cs="仿宋"/>
          <w:color w:val="auto"/>
        </w:rPr>
        <w:t>tool_name::desc_hash::model_id</w:t>
      </w:r>
      <w:r>
        <w:rPr>
          <w:rFonts w:hint="eastAsia" w:ascii="仿宋" w:hAnsi="仿宋" w:eastAsia="仿宋" w:cs="仿宋"/>
          <w:color w:val="auto"/>
        </w:rPr>
        <w:t xml:space="preserve"> 组织持久化缓存）、</w:t>
      </w:r>
      <w:r>
        <w:rPr>
          <w:rStyle w:val="21"/>
          <w:rFonts w:hint="eastAsia" w:ascii="仿宋" w:hAnsi="仿宋" w:eastAsia="仿宋" w:cs="仿宋"/>
          <w:color w:val="auto"/>
        </w:rPr>
        <w:t>RATS.retrieve()</w:t>
      </w:r>
      <w:r>
        <w:rPr>
          <w:rFonts w:hint="eastAsia" w:ascii="仿宋" w:hAnsi="仿宋" w:eastAsia="仿宋" w:cs="仿宋"/>
          <w:color w:val="auto"/>
        </w:rPr>
        <w:t xml:space="preserve">（执行离线预计算、在线 top-K 检索与规则重排三阶段）。重排综合考虑 embedding 相似度（权重 0.6）、参数重叠度（0.2）、历史成功率（0.2）三项特征，并设置 </w:t>
      </w:r>
      <w:r>
        <w:rPr>
          <w:rStyle w:val="21"/>
          <w:rFonts w:hint="eastAsia" w:ascii="仿宋" w:hAnsi="仿宋" w:eastAsia="仿宋" w:cs="仿宋"/>
          <w:color w:val="auto"/>
        </w:rPr>
        <w:t>K_min=3</w:t>
      </w:r>
      <w:r>
        <w:rPr>
          <w:rFonts w:hint="eastAsia" w:ascii="仿宋" w:hAnsi="仿宋" w:eastAsia="仿宋" w:cs="仿宋"/>
          <w:color w:val="auto"/>
        </w:rPr>
        <w:t xml:space="preserve"> 作为保底机制。该模块通过 9 个单元测试（</w:t>
      </w:r>
      <w:r>
        <w:rPr>
          <w:rStyle w:val="21"/>
          <w:rFonts w:hint="eastAsia" w:ascii="仿宋" w:hAnsi="仿宋" w:eastAsia="仿宋" w:cs="仿宋"/>
          <w:color w:val="auto"/>
        </w:rPr>
        <w:t>tests/tool_selector/test_retriever.py</w:t>
      </w:r>
      <w:r>
        <w:rPr>
          <w:rFonts w:hint="eastAsia" w:ascii="仿宋" w:hAnsi="仿宋" w:eastAsia="仿宋" w:cs="仿宋"/>
          <w:color w:val="auto"/>
        </w:rPr>
        <w:t>）全部绿灯。</w:t>
      </w:r>
    </w:p>
    <w:p w14:paraId="719E05B6">
      <w:pPr>
        <w:pStyle w:val="5"/>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b/>
          <w:bCs/>
          <w:color w:val="auto"/>
        </w:rPr>
        <w:t>DAGPlanner 算法模块</w:t>
      </w:r>
      <w:r>
        <w:rPr>
          <w:rFonts w:hint="eastAsia" w:ascii="仿宋" w:hAnsi="仿宋" w:eastAsia="仿宋" w:cs="仿宋"/>
          <w:color w:val="auto"/>
        </w:rPr>
        <w:t xml:space="preserve">：实现于 </w:t>
      </w:r>
      <w:r>
        <w:rPr>
          <w:rStyle w:val="21"/>
          <w:rFonts w:hint="eastAsia" w:ascii="仿宋" w:hAnsi="仿宋" w:eastAsia="仿宋" w:cs="仿宋"/>
          <w:color w:val="auto"/>
        </w:rPr>
        <w:t>src/agent/dag_planner.py</w:t>
      </w:r>
      <w:r>
        <w:rPr>
          <w:rFonts w:hint="eastAsia" w:ascii="仿宋" w:hAnsi="仿宋" w:eastAsia="仿宋" w:cs="仿宋"/>
          <w:color w:val="auto"/>
        </w:rPr>
        <w:t xml:space="preserve"> 与 </w:t>
      </w:r>
      <w:r>
        <w:rPr>
          <w:rStyle w:val="21"/>
          <w:rFonts w:hint="eastAsia" w:ascii="仿宋" w:hAnsi="仿宋" w:eastAsia="仿宋" w:cs="仿宋"/>
          <w:color w:val="auto"/>
        </w:rPr>
        <w:t>src/agent/dag_agent.py</w:t>
      </w:r>
      <w:r>
        <w:rPr>
          <w:rFonts w:hint="eastAsia" w:ascii="仿宋" w:hAnsi="仿宋" w:eastAsia="仿宋" w:cs="仿宋"/>
          <w:color w:val="auto"/>
        </w:rPr>
        <w:t xml:space="preserve">。核心设计包括：一套可纯代码校验的 </w:t>
      </w:r>
      <w:r>
        <w:rPr>
          <w:rStyle w:val="21"/>
          <w:rFonts w:hint="eastAsia" w:ascii="仿宋" w:hAnsi="仿宋" w:eastAsia="仿宋" w:cs="仿宋"/>
          <w:color w:val="auto"/>
        </w:rPr>
        <w:t>Plan Schema</w:t>
      </w:r>
      <w:r>
        <w:rPr>
          <w:rFonts w:hint="eastAsia" w:ascii="仿宋" w:hAnsi="仿宋" w:eastAsia="仿宋" w:cs="仿宋"/>
          <w:color w:val="auto"/>
        </w:rPr>
        <w:t xml:space="preserve">，每个步骤含 </w:t>
      </w:r>
      <w:r>
        <w:rPr>
          <w:rStyle w:val="21"/>
          <w:rFonts w:hint="eastAsia" w:ascii="仿宋" w:hAnsi="仿宋" w:eastAsia="仿宋" w:cs="仿宋"/>
          <w:color w:val="auto"/>
        </w:rPr>
        <w:t>id</w:t>
      </w:r>
      <w:r>
        <w:rPr>
          <w:rFonts w:hint="eastAsia" w:ascii="仿宋" w:hAnsi="仿宋" w:eastAsia="仿宋" w:cs="仿宋"/>
          <w:color w:val="auto"/>
        </w:rPr>
        <w:t>、</w:t>
      </w:r>
      <w:r>
        <w:rPr>
          <w:rStyle w:val="21"/>
          <w:rFonts w:hint="eastAsia" w:ascii="仿宋" w:hAnsi="仿宋" w:eastAsia="仿宋" w:cs="仿宋"/>
          <w:color w:val="auto"/>
        </w:rPr>
        <w:t>goal</w:t>
      </w:r>
      <w:r>
        <w:rPr>
          <w:rFonts w:hint="eastAsia" w:ascii="仿宋" w:hAnsi="仿宋" w:eastAsia="仿宋" w:cs="仿宋"/>
          <w:color w:val="auto"/>
        </w:rPr>
        <w:t>、</w:t>
      </w:r>
      <w:r>
        <w:rPr>
          <w:rStyle w:val="21"/>
          <w:rFonts w:hint="eastAsia" w:ascii="仿宋" w:hAnsi="仿宋" w:eastAsia="仿宋" w:cs="仿宋"/>
          <w:color w:val="auto"/>
        </w:rPr>
        <w:t>tool</w:t>
      </w:r>
      <w:r>
        <w:rPr>
          <w:rFonts w:hint="eastAsia" w:ascii="仿宋" w:hAnsi="仿宋" w:eastAsia="仿宋" w:cs="仿宋"/>
          <w:color w:val="auto"/>
        </w:rPr>
        <w:t>、</w:t>
      </w:r>
      <w:r>
        <w:rPr>
          <w:rStyle w:val="21"/>
          <w:rFonts w:hint="eastAsia" w:ascii="仿宋" w:hAnsi="仿宋" w:eastAsia="仿宋" w:cs="仿宋"/>
          <w:color w:val="auto"/>
        </w:rPr>
        <w:t>args_template</w:t>
      </w:r>
      <w:r>
        <w:rPr>
          <w:rFonts w:hint="eastAsia" w:ascii="仿宋" w:hAnsi="仿宋" w:eastAsia="仿宋" w:cs="仿宋"/>
          <w:color w:val="auto"/>
        </w:rPr>
        <w:t xml:space="preserve">（支持 </w:t>
      </w:r>
      <w:r>
        <w:rPr>
          <w:rStyle w:val="21"/>
          <w:rFonts w:hint="eastAsia" w:ascii="仿宋" w:hAnsi="仿宋" w:eastAsia="仿宋" w:cs="仿宋"/>
          <w:color w:val="auto"/>
        </w:rPr>
        <w:t>${sX.field}</w:t>
      </w:r>
      <w:r>
        <w:rPr>
          <w:rFonts w:hint="eastAsia" w:ascii="仿宋" w:hAnsi="仿宋" w:eastAsia="仿宋" w:cs="仿宋"/>
          <w:color w:val="auto"/>
        </w:rPr>
        <w:t xml:space="preserve"> 占位符）、</w:t>
      </w:r>
      <w:r>
        <w:rPr>
          <w:rStyle w:val="21"/>
          <w:rFonts w:hint="eastAsia" w:ascii="仿宋" w:hAnsi="仿宋" w:eastAsia="仿宋" w:cs="仿宋"/>
          <w:color w:val="auto"/>
        </w:rPr>
        <w:t>depends_on</w:t>
      </w:r>
      <w:r>
        <w:rPr>
          <w:rFonts w:hint="eastAsia" w:ascii="仿宋" w:hAnsi="仿宋" w:eastAsia="仿宋" w:cs="仿宋"/>
          <w:color w:val="auto"/>
        </w:rPr>
        <w:t xml:space="preserve"> 字段；一个 </w:t>
      </w:r>
      <w:r>
        <w:rPr>
          <w:rStyle w:val="21"/>
          <w:rFonts w:hint="eastAsia" w:ascii="仿宋" w:hAnsi="仿宋" w:eastAsia="仿宋" w:cs="仿宋"/>
          <w:color w:val="auto"/>
        </w:rPr>
        <w:t>PlanValidator</w:t>
      </w:r>
      <w:r>
        <w:rPr>
          <w:rFonts w:hint="eastAsia" w:ascii="仿宋" w:hAnsi="仿宋" w:eastAsia="仿宋" w:cs="仿宋"/>
          <w:color w:val="auto"/>
        </w:rPr>
        <w:t xml:space="preserve"> 覆盖 5 类失败模式——JSON Schema 不符、工具名不在候选集、依赖图有环、依赖变量未声明、占位符不在 depends_on 中；一个四阶段主循环 </w:t>
      </w:r>
      <w:r>
        <w:rPr>
          <w:rStyle w:val="21"/>
          <w:rFonts w:hint="eastAsia" w:ascii="仿宋" w:hAnsi="仿宋" w:eastAsia="仿宋" w:cs="仿宋"/>
          <w:color w:val="auto"/>
        </w:rPr>
        <w:t>Plan → Validate → Execute → Answer</w:t>
      </w:r>
      <w:r>
        <w:rPr>
          <w:rFonts w:hint="eastAsia" w:ascii="仿宋" w:hAnsi="仿宋" w:eastAsia="仿宋" w:cs="仿宋"/>
          <w:color w:val="auto"/>
        </w:rPr>
        <w:t xml:space="preserve">，其中 Validate 阶段完全不调用 LLM，仅在失败时带诊断信息触发重规划（最多 3 次），3 次仍失败则降级到 ReActAgent 作为 safety net。该模块通过 </w:t>
      </w:r>
      <w:r>
        <w:rPr>
          <w:rStyle w:val="21"/>
          <w:rFonts w:hint="eastAsia" w:ascii="仿宋" w:hAnsi="仿宋" w:eastAsia="仿宋" w:cs="仿宋"/>
          <w:color w:val="auto"/>
        </w:rPr>
        <w:t>tests/agent/test_dag_validator.py</w:t>
      </w:r>
      <w:r>
        <w:rPr>
          <w:rFonts w:hint="eastAsia" w:ascii="仿宋" w:hAnsi="仿宋" w:eastAsia="仿宋" w:cs="仿宋"/>
          <w:color w:val="auto"/>
        </w:rPr>
        <w:t xml:space="preserve"> 的 5 类失败模式单测全部绿灯。</w:t>
      </w:r>
    </w:p>
    <w:p w14:paraId="19CC6F79">
      <w:pPr>
        <w:pStyle w:val="5"/>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b/>
          <w:bCs/>
          <w:color w:val="auto"/>
        </w:rPr>
        <w:t>新基线与测试集扩展</w:t>
      </w:r>
      <w:r>
        <w:rPr>
          <w:rFonts w:hint="eastAsia" w:ascii="仿宋" w:hAnsi="仿宋" w:eastAsia="仿宋" w:cs="仿宋"/>
          <w:color w:val="auto"/>
        </w:rPr>
        <w:t xml:space="preserve">：实现 </w:t>
      </w:r>
      <w:r>
        <w:rPr>
          <w:rStyle w:val="21"/>
          <w:rFonts w:hint="eastAsia" w:ascii="仿宋" w:hAnsi="仿宋" w:eastAsia="仿宋" w:cs="仿宋"/>
          <w:color w:val="auto"/>
        </w:rPr>
        <w:t>src/agent/new_baselines.py</w:t>
      </w:r>
      <w:r>
        <w:rPr>
          <w:rFonts w:hint="eastAsia" w:ascii="仿宋" w:hAnsi="仿宋" w:eastAsia="仿宋" w:cs="仿宋"/>
          <w:color w:val="auto"/>
        </w:rPr>
        <w:t>，其中包含 CoT（追加 “think step by step” 指示）、Plan-and-Solve（两阶段 LLM 调用，先自然语言 plan 再 ReAct 执行）、Reflexion（失败后生成反思追加到下一轮 system message）三个业界常用基线。测试集由 46 题扩展至 54 题，新增 8 道定向 hard 题，其中 4 道压 RATS 的工具区分力、4 道压 DAGPlanner 的多步依赖。</w:t>
      </w:r>
    </w:p>
    <w:p w14:paraId="3DC1CFF7">
      <w:pPr>
        <w:pStyle w:val="4"/>
        <w:rPr>
          <w:rFonts w:hint="eastAsia" w:ascii="仿宋" w:hAnsi="仿宋" w:eastAsia="仿宋" w:cs="Times New Roman"/>
          <w:b/>
          <w:bCs w:val="0"/>
          <w:kern w:val="2"/>
          <w:sz w:val="30"/>
          <w:szCs w:val="20"/>
          <w:lang w:val="en-US" w:eastAsia="zh-CN" w:bidi="ar-SA"/>
        </w:rPr>
      </w:pPr>
      <w:bookmarkStart w:id="9" w:name="全量评测结果"/>
      <w:r>
        <w:rPr>
          <w:rFonts w:hint="eastAsia" w:ascii="仿宋" w:hAnsi="仿宋" w:eastAsia="仿宋" w:cs="Times New Roman"/>
          <w:b/>
          <w:bCs w:val="0"/>
          <w:kern w:val="2"/>
          <w:sz w:val="30"/>
          <w:szCs w:val="20"/>
          <w:lang w:val="en-US" w:eastAsia="zh-CN" w:bidi="ar-SA"/>
        </w:rPr>
        <w:t>2.4 测试结果</w:t>
      </w:r>
    </w:p>
    <w:p w14:paraId="68AA3C61">
      <w:pPr>
        <w:pStyle w:val="19"/>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color w:val="auto"/>
        </w:rPr>
        <w:t>对 9 配置 × 54 题共 486 次 run 的全量评测（</w:t>
      </w:r>
      <w:r>
        <w:rPr>
          <w:rStyle w:val="21"/>
          <w:rFonts w:hint="eastAsia" w:ascii="仿宋" w:hAnsi="仿宋" w:eastAsia="仿宋" w:cs="仿宋"/>
          <w:color w:val="auto"/>
        </w:rPr>
        <w:t>outputs/eval/</w:t>
      </w:r>
      <w:r>
        <w:rPr>
          <w:rFonts w:hint="eastAsia" w:ascii="仿宋" w:hAnsi="仿宋" w:eastAsia="仿宋" w:cs="仿宋"/>
          <w:color w:val="auto"/>
        </w:rPr>
        <w:t>，总耗时约 77 分钟）结果如下：</w:t>
      </w:r>
    </w:p>
    <w:p w14:paraId="33E16EAD">
      <w:pPr>
        <w:pStyle w:val="5"/>
        <w:rPr>
          <w:rFonts w:hint="eastAsia"/>
        </w:rPr>
      </w:pPr>
    </w:p>
    <w:p w14:paraId="5D83093C">
      <w:pPr>
        <w:pStyle w:val="5"/>
        <w:rPr>
          <w:rFonts w:hint="eastAsia"/>
        </w:rPr>
      </w:pPr>
    </w:p>
    <w:tbl>
      <w:tblPr>
        <w:tblStyle w:val="24"/>
        <w:tblW w:w="0" w:type="auto"/>
        <w:jc w:val="center"/>
        <w:tblLayout w:type="autofit"/>
        <w:tblCellMar>
          <w:top w:w="0" w:type="dxa"/>
          <w:left w:w="108" w:type="dxa"/>
          <w:bottom w:w="0" w:type="dxa"/>
          <w:right w:w="108" w:type="dxa"/>
        </w:tblCellMar>
      </w:tblPr>
      <w:tblGrid>
        <w:gridCol w:w="2211"/>
        <w:gridCol w:w="851"/>
        <w:gridCol w:w="1056"/>
        <w:gridCol w:w="1476"/>
        <w:gridCol w:w="1476"/>
      </w:tblGrid>
      <w:tr w14:paraId="7A3476AC">
        <w:tblPrEx>
          <w:tblCellMar>
            <w:top w:w="0" w:type="dxa"/>
            <w:left w:w="108" w:type="dxa"/>
            <w:bottom w:w="0" w:type="dxa"/>
            <w:right w:w="108" w:type="dxa"/>
          </w:tblCellMar>
        </w:tblPrEx>
        <w:trPr>
          <w:tblHeader/>
          <w:jc w:val="center"/>
        </w:trPr>
        <w:tc>
          <w:p w14:paraId="6D21583C">
            <w:pPr>
              <w:pStyle w:val="20"/>
              <w:jc w:val="center"/>
              <w:rPr>
                <w:rFonts w:hint="eastAsia" w:ascii="仿宋" w:hAnsi="仿宋" w:eastAsia="仿宋" w:cs="仿宋"/>
                <w:color w:val="auto"/>
              </w:rPr>
            </w:pPr>
            <w:r>
              <w:rPr>
                <w:rFonts w:hint="eastAsia" w:ascii="仿宋" w:hAnsi="仿宋" w:eastAsia="仿宋" w:cs="仿宋"/>
                <w:color w:val="auto"/>
              </w:rPr>
              <w:t>配置</w:t>
            </w:r>
          </w:p>
        </w:tc>
        <w:tc>
          <w:p w14:paraId="39D37A1F">
            <w:pPr>
              <w:pStyle w:val="20"/>
              <w:jc w:val="center"/>
              <w:rPr>
                <w:rFonts w:hint="eastAsia" w:ascii="仿宋" w:hAnsi="仿宋" w:eastAsia="仿宋" w:cs="仿宋"/>
                <w:color w:val="auto"/>
              </w:rPr>
            </w:pPr>
            <w:r>
              <w:rPr>
                <w:rFonts w:hint="eastAsia" w:ascii="仿宋" w:hAnsi="仿宋" w:eastAsia="仿宋" w:cs="仿宋"/>
                <w:color w:val="auto"/>
              </w:rPr>
              <w:t>成功率</w:t>
            </w:r>
          </w:p>
        </w:tc>
        <w:tc>
          <w:p w14:paraId="688C22B2">
            <w:pPr>
              <w:pStyle w:val="20"/>
              <w:jc w:val="center"/>
              <w:rPr>
                <w:rFonts w:hint="eastAsia" w:ascii="仿宋" w:hAnsi="仿宋" w:eastAsia="仿宋" w:cs="仿宋"/>
                <w:color w:val="auto"/>
              </w:rPr>
            </w:pPr>
            <w:r>
              <w:rPr>
                <w:rFonts w:hint="eastAsia" w:ascii="仿宋" w:hAnsi="仿宋" w:eastAsia="仿宋" w:cs="仿宋"/>
                <w:color w:val="auto"/>
              </w:rPr>
              <w:t>平均迭代</w:t>
            </w:r>
          </w:p>
        </w:tc>
        <w:tc>
          <w:p w14:paraId="11354BC0">
            <w:pPr>
              <w:pStyle w:val="20"/>
              <w:jc w:val="center"/>
              <w:rPr>
                <w:rFonts w:hint="eastAsia" w:ascii="仿宋" w:hAnsi="仿宋" w:eastAsia="仿宋" w:cs="仿宋"/>
                <w:color w:val="auto"/>
              </w:rPr>
            </w:pPr>
            <w:r>
              <w:rPr>
                <w:rFonts w:hint="eastAsia" w:ascii="仿宋" w:hAnsi="仿宋" w:eastAsia="仿宋" w:cs="仿宋"/>
                <w:color w:val="auto"/>
              </w:rPr>
              <w:t>平均工具调用</w:t>
            </w:r>
          </w:p>
        </w:tc>
        <w:tc>
          <w:p w14:paraId="60D978B1">
            <w:pPr>
              <w:pStyle w:val="20"/>
              <w:jc w:val="center"/>
              <w:rPr>
                <w:rFonts w:hint="eastAsia" w:ascii="仿宋" w:hAnsi="仿宋" w:eastAsia="仿宋" w:cs="仿宋"/>
                <w:color w:val="auto"/>
              </w:rPr>
            </w:pPr>
            <w:r>
              <w:rPr>
                <w:rFonts w:hint="eastAsia" w:ascii="仿宋" w:hAnsi="仿宋" w:eastAsia="仿宋" w:cs="仿宋"/>
                <w:color w:val="auto"/>
              </w:rPr>
              <w:t>平均耗时(秒)</w:t>
            </w:r>
          </w:p>
        </w:tc>
      </w:tr>
      <w:tr w14:paraId="7112DEF2">
        <w:tblPrEx>
          <w:tblCellMar>
            <w:top w:w="0" w:type="dxa"/>
            <w:left w:w="108" w:type="dxa"/>
            <w:bottom w:w="0" w:type="dxa"/>
            <w:right w:w="108" w:type="dxa"/>
          </w:tblCellMar>
        </w:tblPrEx>
        <w:trPr>
          <w:jc w:val="center"/>
        </w:trPr>
        <w:tc>
          <w:p w14:paraId="228D5505">
            <w:pPr>
              <w:pStyle w:val="20"/>
              <w:jc w:val="left"/>
              <w:rPr>
                <w:rFonts w:hint="eastAsia" w:ascii="仿宋" w:hAnsi="仿宋" w:eastAsia="仿宋" w:cs="仿宋"/>
                <w:color w:val="auto"/>
              </w:rPr>
            </w:pPr>
            <w:r>
              <w:rPr>
                <w:rFonts w:hint="eastAsia" w:ascii="仿宋" w:hAnsi="仿宋" w:eastAsia="仿宋" w:cs="仿宋"/>
                <w:color w:val="auto"/>
              </w:rPr>
              <w:t>B0 (无工具)</w:t>
            </w:r>
          </w:p>
        </w:tc>
        <w:tc>
          <w:p w14:paraId="2BDAAA6C">
            <w:pPr>
              <w:pStyle w:val="20"/>
              <w:jc w:val="left"/>
              <w:rPr>
                <w:rFonts w:hint="eastAsia" w:ascii="仿宋" w:hAnsi="仿宋" w:eastAsia="仿宋" w:cs="仿宋"/>
                <w:color w:val="auto"/>
              </w:rPr>
            </w:pPr>
            <w:r>
              <w:rPr>
                <w:rFonts w:hint="eastAsia" w:ascii="仿宋" w:hAnsi="仿宋" w:eastAsia="仿宋" w:cs="仿宋"/>
                <w:color w:val="auto"/>
              </w:rPr>
              <w:t>48.1%</w:t>
            </w:r>
          </w:p>
        </w:tc>
        <w:tc>
          <w:p w14:paraId="5F01F9EF">
            <w:pPr>
              <w:pStyle w:val="20"/>
              <w:jc w:val="left"/>
              <w:rPr>
                <w:rFonts w:hint="eastAsia" w:ascii="仿宋" w:hAnsi="仿宋" w:eastAsia="仿宋" w:cs="仿宋"/>
                <w:color w:val="auto"/>
              </w:rPr>
            </w:pPr>
            <w:r>
              <w:rPr>
                <w:rFonts w:hint="eastAsia" w:ascii="仿宋" w:hAnsi="仿宋" w:eastAsia="仿宋" w:cs="仿宋"/>
                <w:color w:val="auto"/>
              </w:rPr>
              <w:t>1.00</w:t>
            </w:r>
          </w:p>
        </w:tc>
        <w:tc>
          <w:p w14:paraId="665655AA">
            <w:pPr>
              <w:pStyle w:val="20"/>
              <w:jc w:val="left"/>
              <w:rPr>
                <w:rFonts w:hint="eastAsia" w:ascii="仿宋" w:hAnsi="仿宋" w:eastAsia="仿宋" w:cs="仿宋"/>
                <w:color w:val="auto"/>
              </w:rPr>
            </w:pPr>
            <w:r>
              <w:rPr>
                <w:rFonts w:hint="eastAsia" w:ascii="仿宋" w:hAnsi="仿宋" w:eastAsia="仿宋" w:cs="仿宋"/>
                <w:color w:val="auto"/>
              </w:rPr>
              <w:t>0.00</w:t>
            </w:r>
          </w:p>
        </w:tc>
        <w:tc>
          <w:p w14:paraId="6C9F581A">
            <w:pPr>
              <w:pStyle w:val="20"/>
              <w:jc w:val="left"/>
              <w:rPr>
                <w:rFonts w:hint="eastAsia" w:ascii="仿宋" w:hAnsi="仿宋" w:eastAsia="仿宋" w:cs="仿宋"/>
                <w:color w:val="auto"/>
              </w:rPr>
            </w:pPr>
            <w:r>
              <w:rPr>
                <w:rFonts w:hint="eastAsia" w:ascii="仿宋" w:hAnsi="仿宋" w:eastAsia="仿宋" w:cs="仿宋"/>
                <w:color w:val="auto"/>
              </w:rPr>
              <w:t>9.04</w:t>
            </w:r>
          </w:p>
        </w:tc>
      </w:tr>
      <w:tr w14:paraId="36B1C631">
        <w:tblPrEx>
          <w:tblCellMar>
            <w:top w:w="0" w:type="dxa"/>
            <w:left w:w="108" w:type="dxa"/>
            <w:bottom w:w="0" w:type="dxa"/>
            <w:right w:w="108" w:type="dxa"/>
          </w:tblCellMar>
        </w:tblPrEx>
        <w:trPr>
          <w:jc w:val="center"/>
        </w:trPr>
        <w:tc>
          <w:p w14:paraId="051DF214">
            <w:pPr>
              <w:pStyle w:val="20"/>
              <w:jc w:val="left"/>
              <w:rPr>
                <w:rFonts w:hint="eastAsia" w:ascii="仿宋" w:hAnsi="仿宋" w:eastAsia="仿宋" w:cs="仿宋"/>
                <w:color w:val="auto"/>
              </w:rPr>
            </w:pPr>
            <w:r>
              <w:rPr>
                <w:rFonts w:hint="eastAsia" w:ascii="仿宋" w:hAnsi="仿宋" w:eastAsia="仿宋" w:cs="仿宋"/>
                <w:color w:val="auto"/>
              </w:rPr>
              <w:t>B1 (minimal + 工具)</w:t>
            </w:r>
          </w:p>
        </w:tc>
        <w:tc>
          <w:p w14:paraId="7D46B773">
            <w:pPr>
              <w:pStyle w:val="20"/>
              <w:jc w:val="left"/>
              <w:rPr>
                <w:rFonts w:hint="eastAsia" w:ascii="仿宋" w:hAnsi="仿宋" w:eastAsia="仿宋" w:cs="仿宋"/>
                <w:color w:val="auto"/>
              </w:rPr>
            </w:pPr>
            <w:r>
              <w:rPr>
                <w:rFonts w:hint="eastAsia" w:ascii="仿宋" w:hAnsi="仿宋" w:eastAsia="仿宋" w:cs="仿宋"/>
                <w:color w:val="auto"/>
              </w:rPr>
              <w:t>90.7%</w:t>
            </w:r>
          </w:p>
        </w:tc>
        <w:tc>
          <w:p w14:paraId="66956A3B">
            <w:pPr>
              <w:pStyle w:val="20"/>
              <w:jc w:val="left"/>
              <w:rPr>
                <w:rFonts w:hint="eastAsia" w:ascii="仿宋" w:hAnsi="仿宋" w:eastAsia="仿宋" w:cs="仿宋"/>
                <w:color w:val="auto"/>
              </w:rPr>
            </w:pPr>
            <w:r>
              <w:rPr>
                <w:rFonts w:hint="eastAsia" w:ascii="仿宋" w:hAnsi="仿宋" w:eastAsia="仿宋" w:cs="仿宋"/>
                <w:color w:val="auto"/>
              </w:rPr>
              <w:t>3.00</w:t>
            </w:r>
          </w:p>
        </w:tc>
        <w:tc>
          <w:p w14:paraId="6F91780E">
            <w:pPr>
              <w:pStyle w:val="20"/>
              <w:jc w:val="left"/>
              <w:rPr>
                <w:rFonts w:hint="eastAsia" w:ascii="仿宋" w:hAnsi="仿宋" w:eastAsia="仿宋" w:cs="仿宋"/>
                <w:color w:val="auto"/>
              </w:rPr>
            </w:pPr>
            <w:r>
              <w:rPr>
                <w:rFonts w:hint="eastAsia" w:ascii="仿宋" w:hAnsi="仿宋" w:eastAsia="仿宋" w:cs="仿宋"/>
                <w:color w:val="auto"/>
              </w:rPr>
              <w:t>2.65</w:t>
            </w:r>
          </w:p>
        </w:tc>
        <w:tc>
          <w:p w14:paraId="4B4AA8A1">
            <w:pPr>
              <w:pStyle w:val="20"/>
              <w:jc w:val="left"/>
              <w:rPr>
                <w:rFonts w:hint="eastAsia" w:ascii="仿宋" w:hAnsi="仿宋" w:eastAsia="仿宋" w:cs="仿宋"/>
                <w:color w:val="auto"/>
              </w:rPr>
            </w:pPr>
            <w:r>
              <w:rPr>
                <w:rFonts w:hint="eastAsia" w:ascii="仿宋" w:hAnsi="仿宋" w:eastAsia="仿宋" w:cs="仿宋"/>
                <w:color w:val="auto"/>
              </w:rPr>
              <w:t>5.35</w:t>
            </w:r>
          </w:p>
        </w:tc>
      </w:tr>
      <w:tr w14:paraId="7F929E32">
        <w:tblPrEx>
          <w:tblCellMar>
            <w:top w:w="0" w:type="dxa"/>
            <w:left w:w="108" w:type="dxa"/>
            <w:bottom w:w="0" w:type="dxa"/>
            <w:right w:w="108" w:type="dxa"/>
          </w:tblCellMar>
        </w:tblPrEx>
        <w:trPr>
          <w:jc w:val="center"/>
        </w:trPr>
        <w:tc>
          <w:p w14:paraId="7F212501">
            <w:pPr>
              <w:pStyle w:val="20"/>
              <w:jc w:val="left"/>
              <w:rPr>
                <w:rFonts w:hint="eastAsia" w:ascii="仿宋" w:hAnsi="仿宋" w:eastAsia="仿宋" w:cs="仿宋"/>
                <w:color w:val="auto"/>
              </w:rPr>
            </w:pPr>
            <w:r>
              <w:rPr>
                <w:rFonts w:hint="eastAsia" w:ascii="仿宋" w:hAnsi="仿宋" w:eastAsia="仿宋" w:cs="仿宋"/>
                <w:color w:val="auto"/>
              </w:rPr>
              <w:t>B2 (CoT)</w:t>
            </w:r>
          </w:p>
        </w:tc>
        <w:tc>
          <w:p w14:paraId="40E14E46">
            <w:pPr>
              <w:pStyle w:val="20"/>
              <w:jc w:val="left"/>
              <w:rPr>
                <w:rFonts w:hint="eastAsia" w:ascii="仿宋" w:hAnsi="仿宋" w:eastAsia="仿宋" w:cs="仿宋"/>
                <w:color w:val="auto"/>
              </w:rPr>
            </w:pPr>
            <w:r>
              <w:rPr>
                <w:rFonts w:hint="eastAsia" w:ascii="仿宋" w:hAnsi="仿宋" w:eastAsia="仿宋" w:cs="仿宋"/>
                <w:color w:val="auto"/>
              </w:rPr>
              <w:t>79.6%</w:t>
            </w:r>
          </w:p>
        </w:tc>
        <w:tc>
          <w:p w14:paraId="222D4B4B">
            <w:pPr>
              <w:pStyle w:val="20"/>
              <w:jc w:val="left"/>
              <w:rPr>
                <w:rFonts w:hint="eastAsia" w:ascii="仿宋" w:hAnsi="仿宋" w:eastAsia="仿宋" w:cs="仿宋"/>
                <w:color w:val="auto"/>
              </w:rPr>
            </w:pPr>
            <w:r>
              <w:rPr>
                <w:rFonts w:hint="eastAsia" w:ascii="仿宋" w:hAnsi="仿宋" w:eastAsia="仿宋" w:cs="仿宋"/>
                <w:color w:val="auto"/>
              </w:rPr>
              <w:t>2.93</w:t>
            </w:r>
          </w:p>
        </w:tc>
        <w:tc>
          <w:p w14:paraId="7C785513">
            <w:pPr>
              <w:pStyle w:val="20"/>
              <w:jc w:val="left"/>
              <w:rPr>
                <w:rFonts w:hint="eastAsia" w:ascii="仿宋" w:hAnsi="仿宋" w:eastAsia="仿宋" w:cs="仿宋"/>
                <w:color w:val="auto"/>
              </w:rPr>
            </w:pPr>
            <w:r>
              <w:rPr>
                <w:rFonts w:hint="eastAsia" w:ascii="仿宋" w:hAnsi="仿宋" w:eastAsia="仿宋" w:cs="仿宋"/>
                <w:color w:val="auto"/>
              </w:rPr>
              <w:t>2.20</w:t>
            </w:r>
          </w:p>
        </w:tc>
        <w:tc>
          <w:p w14:paraId="3A8BB0F2">
            <w:pPr>
              <w:pStyle w:val="20"/>
              <w:jc w:val="left"/>
              <w:rPr>
                <w:rFonts w:hint="eastAsia" w:ascii="仿宋" w:hAnsi="仿宋" w:eastAsia="仿宋" w:cs="仿宋"/>
                <w:color w:val="auto"/>
              </w:rPr>
            </w:pPr>
            <w:r>
              <w:rPr>
                <w:rFonts w:hint="eastAsia" w:ascii="仿宋" w:hAnsi="仿宋" w:eastAsia="仿宋" w:cs="仿宋"/>
                <w:color w:val="auto"/>
              </w:rPr>
              <w:t>5.23</w:t>
            </w:r>
          </w:p>
        </w:tc>
      </w:tr>
      <w:tr w14:paraId="38A93E16">
        <w:tblPrEx>
          <w:tblCellMar>
            <w:top w:w="0" w:type="dxa"/>
            <w:left w:w="108" w:type="dxa"/>
            <w:bottom w:w="0" w:type="dxa"/>
            <w:right w:w="108" w:type="dxa"/>
          </w:tblCellMar>
        </w:tblPrEx>
        <w:trPr>
          <w:jc w:val="center"/>
        </w:trPr>
        <w:tc>
          <w:p w14:paraId="7193B26F">
            <w:pPr>
              <w:pStyle w:val="20"/>
              <w:jc w:val="left"/>
              <w:rPr>
                <w:rFonts w:hint="eastAsia" w:ascii="仿宋" w:hAnsi="仿宋" w:eastAsia="仿宋" w:cs="仿宋"/>
                <w:color w:val="auto"/>
              </w:rPr>
            </w:pPr>
            <w:r>
              <w:rPr>
                <w:rFonts w:hint="eastAsia" w:ascii="仿宋" w:hAnsi="仿宋" w:eastAsia="仿宋" w:cs="仿宋"/>
                <w:color w:val="auto"/>
              </w:rPr>
              <w:t>B3 (Plan-and-Solve)</w:t>
            </w:r>
          </w:p>
        </w:tc>
        <w:tc>
          <w:p w14:paraId="2D383C40">
            <w:pPr>
              <w:pStyle w:val="20"/>
              <w:jc w:val="left"/>
              <w:rPr>
                <w:rFonts w:hint="eastAsia" w:ascii="仿宋" w:hAnsi="仿宋" w:eastAsia="仿宋" w:cs="仿宋"/>
                <w:color w:val="auto"/>
              </w:rPr>
            </w:pPr>
            <w:r>
              <w:rPr>
                <w:rFonts w:hint="eastAsia" w:ascii="仿宋" w:hAnsi="仿宋" w:eastAsia="仿宋" w:cs="仿宋"/>
                <w:color w:val="auto"/>
              </w:rPr>
              <w:t>92.6%</w:t>
            </w:r>
          </w:p>
        </w:tc>
        <w:tc>
          <w:p w14:paraId="545B0B79">
            <w:pPr>
              <w:pStyle w:val="20"/>
              <w:jc w:val="left"/>
              <w:rPr>
                <w:rFonts w:hint="eastAsia" w:ascii="仿宋" w:hAnsi="仿宋" w:eastAsia="仿宋" w:cs="仿宋"/>
                <w:color w:val="auto"/>
              </w:rPr>
            </w:pPr>
            <w:r>
              <w:rPr>
                <w:rFonts w:hint="eastAsia" w:ascii="仿宋" w:hAnsi="仿宋" w:eastAsia="仿宋" w:cs="仿宋"/>
                <w:color w:val="auto"/>
              </w:rPr>
              <w:t>4.07</w:t>
            </w:r>
          </w:p>
        </w:tc>
        <w:tc>
          <w:p w14:paraId="128F6937">
            <w:pPr>
              <w:pStyle w:val="20"/>
              <w:jc w:val="left"/>
              <w:rPr>
                <w:rFonts w:hint="eastAsia" w:ascii="仿宋" w:hAnsi="仿宋" w:eastAsia="仿宋" w:cs="仿宋"/>
                <w:color w:val="auto"/>
              </w:rPr>
            </w:pPr>
            <w:r>
              <w:rPr>
                <w:rFonts w:hint="eastAsia" w:ascii="仿宋" w:hAnsi="仿宋" w:eastAsia="仿宋" w:cs="仿宋"/>
                <w:color w:val="auto"/>
              </w:rPr>
              <w:t>3.76</w:t>
            </w:r>
          </w:p>
        </w:tc>
        <w:tc>
          <w:p w14:paraId="65BD303B">
            <w:pPr>
              <w:pStyle w:val="20"/>
              <w:jc w:val="left"/>
              <w:rPr>
                <w:rFonts w:hint="eastAsia" w:ascii="仿宋" w:hAnsi="仿宋" w:eastAsia="仿宋" w:cs="仿宋"/>
                <w:color w:val="auto"/>
              </w:rPr>
            </w:pPr>
            <w:r>
              <w:rPr>
                <w:rFonts w:hint="eastAsia" w:ascii="仿宋" w:hAnsi="仿宋" w:eastAsia="仿宋" w:cs="仿宋"/>
                <w:color w:val="auto"/>
              </w:rPr>
              <w:t>8.07</w:t>
            </w:r>
          </w:p>
        </w:tc>
      </w:tr>
      <w:tr w14:paraId="0CAAB966">
        <w:tblPrEx>
          <w:tblCellMar>
            <w:top w:w="0" w:type="dxa"/>
            <w:left w:w="108" w:type="dxa"/>
            <w:bottom w:w="0" w:type="dxa"/>
            <w:right w:w="108" w:type="dxa"/>
          </w:tblCellMar>
        </w:tblPrEx>
        <w:trPr>
          <w:jc w:val="center"/>
        </w:trPr>
        <w:tc>
          <w:p w14:paraId="29CB9206">
            <w:pPr>
              <w:pStyle w:val="20"/>
              <w:jc w:val="left"/>
              <w:rPr>
                <w:rFonts w:hint="eastAsia" w:ascii="仿宋" w:hAnsi="仿宋" w:eastAsia="仿宋" w:cs="仿宋"/>
                <w:color w:val="auto"/>
              </w:rPr>
            </w:pPr>
            <w:r>
              <w:rPr>
                <w:rFonts w:hint="eastAsia" w:ascii="仿宋" w:hAnsi="仿宋" w:eastAsia="仿宋" w:cs="仿宋"/>
                <w:color w:val="auto"/>
              </w:rPr>
              <w:t>B4 (Reflexion)</w:t>
            </w:r>
          </w:p>
        </w:tc>
        <w:tc>
          <w:p w14:paraId="6F3B550B">
            <w:pPr>
              <w:pStyle w:val="20"/>
              <w:jc w:val="left"/>
              <w:rPr>
                <w:rFonts w:hint="eastAsia" w:ascii="仿宋" w:hAnsi="仿宋" w:eastAsia="仿宋" w:cs="仿宋"/>
                <w:color w:val="auto"/>
              </w:rPr>
            </w:pPr>
            <w:r>
              <w:rPr>
                <w:rFonts w:hint="eastAsia" w:ascii="仿宋" w:hAnsi="仿宋" w:eastAsia="仿宋" w:cs="仿宋"/>
                <w:color w:val="auto"/>
              </w:rPr>
              <w:t>94.4%</w:t>
            </w:r>
          </w:p>
        </w:tc>
        <w:tc>
          <w:p w14:paraId="409CCCCE">
            <w:pPr>
              <w:pStyle w:val="20"/>
              <w:jc w:val="left"/>
              <w:rPr>
                <w:rFonts w:hint="eastAsia" w:ascii="仿宋" w:hAnsi="仿宋" w:eastAsia="仿宋" w:cs="仿宋"/>
                <w:color w:val="auto"/>
              </w:rPr>
            </w:pPr>
            <w:r>
              <w:rPr>
                <w:rFonts w:hint="eastAsia" w:ascii="仿宋" w:hAnsi="仿宋" w:eastAsia="仿宋" w:cs="仿宋"/>
                <w:color w:val="auto"/>
              </w:rPr>
              <w:t>3.02</w:t>
            </w:r>
          </w:p>
        </w:tc>
        <w:tc>
          <w:p w14:paraId="68E22474">
            <w:pPr>
              <w:pStyle w:val="20"/>
              <w:jc w:val="left"/>
              <w:rPr>
                <w:rFonts w:hint="eastAsia" w:ascii="仿宋" w:hAnsi="仿宋" w:eastAsia="仿宋" w:cs="仿宋"/>
                <w:color w:val="auto"/>
              </w:rPr>
            </w:pPr>
            <w:r>
              <w:rPr>
                <w:rFonts w:hint="eastAsia" w:ascii="仿宋" w:hAnsi="仿宋" w:eastAsia="仿宋" w:cs="仿宋"/>
                <w:color w:val="auto"/>
              </w:rPr>
              <w:t>2.67</w:t>
            </w:r>
          </w:p>
        </w:tc>
        <w:tc>
          <w:p w14:paraId="0F5318C6">
            <w:pPr>
              <w:pStyle w:val="20"/>
              <w:jc w:val="left"/>
              <w:rPr>
                <w:rFonts w:hint="eastAsia" w:ascii="仿宋" w:hAnsi="仿宋" w:eastAsia="仿宋" w:cs="仿宋"/>
                <w:color w:val="auto"/>
              </w:rPr>
            </w:pPr>
            <w:r>
              <w:rPr>
                <w:rFonts w:hint="eastAsia" w:ascii="仿宋" w:hAnsi="仿宋" w:eastAsia="仿宋" w:cs="仿宋"/>
                <w:color w:val="auto"/>
              </w:rPr>
              <w:t>7.07</w:t>
            </w:r>
          </w:p>
        </w:tc>
      </w:tr>
      <w:tr w14:paraId="19E1ACA0">
        <w:tblPrEx>
          <w:tblCellMar>
            <w:top w:w="0" w:type="dxa"/>
            <w:left w:w="108" w:type="dxa"/>
            <w:bottom w:w="0" w:type="dxa"/>
            <w:right w:w="108" w:type="dxa"/>
          </w:tblCellMar>
        </w:tblPrEx>
        <w:trPr>
          <w:jc w:val="center"/>
        </w:trPr>
        <w:tc>
          <w:p w14:paraId="5DE1482C">
            <w:pPr>
              <w:pStyle w:val="20"/>
              <w:jc w:val="left"/>
              <w:rPr>
                <w:rFonts w:hint="eastAsia" w:ascii="仿宋" w:hAnsi="仿宋" w:eastAsia="仿宋" w:cs="仿宋"/>
                <w:color w:val="auto"/>
              </w:rPr>
            </w:pPr>
            <w:r>
              <w:rPr>
                <w:rFonts w:hint="eastAsia" w:ascii="仿宋" w:hAnsi="仿宋" w:eastAsia="仿宋" w:cs="仿宋"/>
                <w:b/>
                <w:bCs/>
                <w:color w:val="auto"/>
              </w:rPr>
              <w:t>Ours (v4 prompt)</w:t>
            </w:r>
          </w:p>
        </w:tc>
        <w:tc>
          <w:p w14:paraId="57150798">
            <w:pPr>
              <w:pStyle w:val="20"/>
              <w:jc w:val="left"/>
              <w:rPr>
                <w:rFonts w:hint="eastAsia" w:ascii="仿宋" w:hAnsi="仿宋" w:eastAsia="仿宋" w:cs="仿宋"/>
                <w:color w:val="auto"/>
              </w:rPr>
            </w:pPr>
            <w:r>
              <w:rPr>
                <w:rFonts w:hint="eastAsia" w:ascii="仿宋" w:hAnsi="仿宋" w:eastAsia="仿宋" w:cs="仿宋"/>
                <w:b/>
                <w:bCs/>
                <w:color w:val="auto"/>
              </w:rPr>
              <w:t>100.0%</w:t>
            </w:r>
          </w:p>
        </w:tc>
        <w:tc>
          <w:p w14:paraId="69FED8FF">
            <w:pPr>
              <w:pStyle w:val="20"/>
              <w:jc w:val="left"/>
              <w:rPr>
                <w:rFonts w:hint="eastAsia" w:ascii="仿宋" w:hAnsi="仿宋" w:eastAsia="仿宋" w:cs="仿宋"/>
                <w:color w:val="auto"/>
              </w:rPr>
            </w:pPr>
            <w:r>
              <w:rPr>
                <w:rFonts w:hint="eastAsia" w:ascii="仿宋" w:hAnsi="仿宋" w:eastAsia="仿宋" w:cs="仿宋"/>
                <w:color w:val="auto"/>
              </w:rPr>
              <w:t>3.46</w:t>
            </w:r>
          </w:p>
        </w:tc>
        <w:tc>
          <w:p w14:paraId="38FCAF40">
            <w:pPr>
              <w:pStyle w:val="20"/>
              <w:jc w:val="left"/>
              <w:rPr>
                <w:rFonts w:hint="eastAsia" w:ascii="仿宋" w:hAnsi="仿宋" w:eastAsia="仿宋" w:cs="仿宋"/>
                <w:color w:val="auto"/>
              </w:rPr>
            </w:pPr>
            <w:r>
              <w:rPr>
                <w:rFonts w:hint="eastAsia" w:ascii="仿宋" w:hAnsi="仿宋" w:eastAsia="仿宋" w:cs="仿宋"/>
                <w:color w:val="auto"/>
              </w:rPr>
              <w:t>2.46</w:t>
            </w:r>
          </w:p>
        </w:tc>
        <w:tc>
          <w:p w14:paraId="194A9829">
            <w:pPr>
              <w:pStyle w:val="20"/>
              <w:jc w:val="left"/>
              <w:rPr>
                <w:rFonts w:hint="eastAsia" w:ascii="仿宋" w:hAnsi="仿宋" w:eastAsia="仿宋" w:cs="仿宋"/>
                <w:color w:val="auto"/>
              </w:rPr>
            </w:pPr>
            <w:r>
              <w:rPr>
                <w:rFonts w:hint="eastAsia" w:ascii="仿宋" w:hAnsi="仿宋" w:eastAsia="仿宋" w:cs="仿宋"/>
                <w:color w:val="auto"/>
              </w:rPr>
              <w:t>15.12</w:t>
            </w:r>
          </w:p>
        </w:tc>
      </w:tr>
      <w:tr w14:paraId="4D011C86">
        <w:tblPrEx>
          <w:tblCellMar>
            <w:top w:w="0" w:type="dxa"/>
            <w:left w:w="108" w:type="dxa"/>
            <w:bottom w:w="0" w:type="dxa"/>
            <w:right w:w="108" w:type="dxa"/>
          </w:tblCellMar>
        </w:tblPrEx>
        <w:trPr>
          <w:jc w:val="center"/>
        </w:trPr>
        <w:tc>
          <w:p w14:paraId="1F67EE85">
            <w:pPr>
              <w:pStyle w:val="20"/>
              <w:jc w:val="left"/>
              <w:rPr>
                <w:rFonts w:hint="eastAsia" w:ascii="仿宋" w:hAnsi="仿宋" w:eastAsia="仿宋" w:cs="仿宋"/>
                <w:color w:val="auto"/>
              </w:rPr>
            </w:pPr>
            <w:r>
              <w:rPr>
                <w:rFonts w:hint="eastAsia" w:ascii="仿宋" w:hAnsi="仿宋" w:eastAsia="仿宋" w:cs="仿宋"/>
                <w:color w:val="auto"/>
              </w:rPr>
              <w:t>Ours + RATS</w:t>
            </w:r>
          </w:p>
        </w:tc>
        <w:tc>
          <w:p w14:paraId="3911926B">
            <w:pPr>
              <w:pStyle w:val="20"/>
              <w:jc w:val="left"/>
              <w:rPr>
                <w:rFonts w:hint="eastAsia" w:ascii="仿宋" w:hAnsi="仿宋" w:eastAsia="仿宋" w:cs="仿宋"/>
                <w:color w:val="auto"/>
              </w:rPr>
            </w:pPr>
            <w:r>
              <w:rPr>
                <w:rFonts w:hint="eastAsia" w:ascii="仿宋" w:hAnsi="仿宋" w:eastAsia="仿宋" w:cs="仿宋"/>
                <w:color w:val="auto"/>
              </w:rPr>
              <w:t>90.7%</w:t>
            </w:r>
          </w:p>
        </w:tc>
        <w:tc>
          <w:p w14:paraId="63D1F2A4">
            <w:pPr>
              <w:pStyle w:val="20"/>
              <w:jc w:val="left"/>
              <w:rPr>
                <w:rFonts w:hint="eastAsia" w:ascii="仿宋" w:hAnsi="仿宋" w:eastAsia="仿宋" w:cs="仿宋"/>
                <w:color w:val="auto"/>
              </w:rPr>
            </w:pPr>
            <w:r>
              <w:rPr>
                <w:rFonts w:hint="eastAsia" w:ascii="仿宋" w:hAnsi="仿宋" w:eastAsia="仿宋" w:cs="仿宋"/>
                <w:color w:val="auto"/>
              </w:rPr>
              <w:t>3.44</w:t>
            </w:r>
          </w:p>
        </w:tc>
        <w:tc>
          <w:p w14:paraId="1B2E6DE2">
            <w:pPr>
              <w:pStyle w:val="20"/>
              <w:jc w:val="left"/>
              <w:rPr>
                <w:rFonts w:hint="eastAsia" w:ascii="仿宋" w:hAnsi="仿宋" w:eastAsia="仿宋" w:cs="仿宋"/>
                <w:color w:val="auto"/>
              </w:rPr>
            </w:pPr>
            <w:r>
              <w:rPr>
                <w:rFonts w:hint="eastAsia" w:ascii="仿宋" w:hAnsi="仿宋" w:eastAsia="仿宋" w:cs="仿宋"/>
                <w:color w:val="auto"/>
              </w:rPr>
              <w:t>2.46</w:t>
            </w:r>
          </w:p>
        </w:tc>
        <w:tc>
          <w:p w14:paraId="361A64C1">
            <w:pPr>
              <w:pStyle w:val="20"/>
              <w:jc w:val="left"/>
              <w:rPr>
                <w:rFonts w:hint="eastAsia" w:ascii="仿宋" w:hAnsi="仿宋" w:eastAsia="仿宋" w:cs="仿宋"/>
                <w:color w:val="auto"/>
              </w:rPr>
            </w:pPr>
            <w:r>
              <w:rPr>
                <w:rFonts w:hint="eastAsia" w:ascii="仿宋" w:hAnsi="仿宋" w:eastAsia="仿宋" w:cs="仿宋"/>
                <w:color w:val="auto"/>
              </w:rPr>
              <w:t>9.69</w:t>
            </w:r>
          </w:p>
        </w:tc>
      </w:tr>
      <w:tr w14:paraId="541DE296">
        <w:tblPrEx>
          <w:tblCellMar>
            <w:top w:w="0" w:type="dxa"/>
            <w:left w:w="108" w:type="dxa"/>
            <w:bottom w:w="0" w:type="dxa"/>
            <w:right w:w="108" w:type="dxa"/>
          </w:tblCellMar>
        </w:tblPrEx>
        <w:trPr>
          <w:jc w:val="center"/>
        </w:trPr>
        <w:tc>
          <w:p w14:paraId="4B41CBD9">
            <w:pPr>
              <w:pStyle w:val="20"/>
              <w:jc w:val="left"/>
              <w:rPr>
                <w:rFonts w:hint="eastAsia" w:ascii="仿宋" w:hAnsi="仿宋" w:eastAsia="仿宋" w:cs="仿宋"/>
                <w:color w:val="auto"/>
              </w:rPr>
            </w:pPr>
            <w:r>
              <w:rPr>
                <w:rFonts w:hint="eastAsia" w:ascii="仿宋" w:hAnsi="仿宋" w:eastAsia="仿宋" w:cs="仿宋"/>
                <w:color w:val="auto"/>
              </w:rPr>
              <w:t>Ours + DAG</w:t>
            </w:r>
          </w:p>
        </w:tc>
        <w:tc>
          <w:p w14:paraId="418799D5">
            <w:pPr>
              <w:pStyle w:val="20"/>
              <w:jc w:val="left"/>
              <w:rPr>
                <w:rFonts w:hint="eastAsia" w:ascii="仿宋" w:hAnsi="仿宋" w:eastAsia="仿宋" w:cs="仿宋"/>
                <w:color w:val="auto"/>
              </w:rPr>
            </w:pPr>
            <w:r>
              <w:rPr>
                <w:rFonts w:hint="eastAsia" w:ascii="仿宋" w:hAnsi="仿宋" w:eastAsia="仿宋" w:cs="仿宋"/>
                <w:color w:val="auto"/>
              </w:rPr>
              <w:t>94.4%</w:t>
            </w:r>
          </w:p>
        </w:tc>
        <w:tc>
          <w:p w14:paraId="52E0E57D">
            <w:pPr>
              <w:pStyle w:val="20"/>
              <w:jc w:val="left"/>
              <w:rPr>
                <w:rFonts w:hint="eastAsia" w:ascii="仿宋" w:hAnsi="仿宋" w:eastAsia="仿宋" w:cs="仿宋"/>
                <w:color w:val="auto"/>
              </w:rPr>
            </w:pPr>
            <w:r>
              <w:rPr>
                <w:rFonts w:hint="eastAsia" w:ascii="仿宋" w:hAnsi="仿宋" w:eastAsia="仿宋" w:cs="仿宋"/>
                <w:color w:val="auto"/>
              </w:rPr>
              <w:t>5.94</w:t>
            </w:r>
          </w:p>
        </w:tc>
        <w:tc>
          <w:p w14:paraId="03025D5A">
            <w:pPr>
              <w:pStyle w:val="20"/>
              <w:jc w:val="left"/>
              <w:rPr>
                <w:rFonts w:hint="eastAsia" w:ascii="仿宋" w:hAnsi="仿宋" w:eastAsia="仿宋" w:cs="仿宋"/>
                <w:color w:val="auto"/>
              </w:rPr>
            </w:pPr>
            <w:r>
              <w:rPr>
                <w:rFonts w:hint="eastAsia" w:ascii="仿宋" w:hAnsi="仿宋" w:eastAsia="仿宋" w:cs="仿宋"/>
                <w:color w:val="auto"/>
              </w:rPr>
              <w:t>4.96</w:t>
            </w:r>
          </w:p>
        </w:tc>
        <w:tc>
          <w:p w14:paraId="128D342A">
            <w:pPr>
              <w:pStyle w:val="20"/>
              <w:jc w:val="left"/>
              <w:rPr>
                <w:rFonts w:hint="eastAsia" w:ascii="仿宋" w:hAnsi="仿宋" w:eastAsia="仿宋" w:cs="仿宋"/>
                <w:color w:val="auto"/>
              </w:rPr>
            </w:pPr>
            <w:r>
              <w:rPr>
                <w:rFonts w:hint="eastAsia" w:ascii="仿宋" w:hAnsi="仿宋" w:eastAsia="仿宋" w:cs="仿宋"/>
                <w:color w:val="auto"/>
              </w:rPr>
              <w:t>11.17</w:t>
            </w:r>
          </w:p>
        </w:tc>
      </w:tr>
      <w:tr w14:paraId="447F0F43">
        <w:tblPrEx>
          <w:tblCellMar>
            <w:top w:w="0" w:type="dxa"/>
            <w:left w:w="108" w:type="dxa"/>
            <w:bottom w:w="0" w:type="dxa"/>
            <w:right w:w="108" w:type="dxa"/>
          </w:tblCellMar>
        </w:tblPrEx>
        <w:trPr>
          <w:jc w:val="center"/>
        </w:trPr>
        <w:tc>
          <w:p w14:paraId="3353F1EC">
            <w:pPr>
              <w:pStyle w:val="20"/>
              <w:jc w:val="left"/>
              <w:rPr>
                <w:rFonts w:hint="eastAsia" w:ascii="仿宋" w:hAnsi="仿宋" w:eastAsia="仿宋" w:cs="仿宋"/>
                <w:color w:val="auto"/>
              </w:rPr>
            </w:pPr>
            <w:r>
              <w:rPr>
                <w:rFonts w:hint="eastAsia" w:ascii="仿宋" w:hAnsi="仿宋" w:eastAsia="仿宋" w:cs="仿宋"/>
                <w:b/>
                <w:bCs/>
                <w:color w:val="auto"/>
              </w:rPr>
              <w:t>Ours_full</w:t>
            </w:r>
          </w:p>
        </w:tc>
        <w:tc>
          <w:p w14:paraId="622E41A8">
            <w:pPr>
              <w:pStyle w:val="20"/>
              <w:jc w:val="left"/>
              <w:rPr>
                <w:rFonts w:hint="eastAsia" w:ascii="仿宋" w:hAnsi="仿宋" w:eastAsia="仿宋" w:cs="仿宋"/>
                <w:color w:val="auto"/>
              </w:rPr>
            </w:pPr>
            <w:r>
              <w:rPr>
                <w:rFonts w:hint="eastAsia" w:ascii="仿宋" w:hAnsi="仿宋" w:eastAsia="仿宋" w:cs="仿宋"/>
                <w:b/>
                <w:bCs/>
                <w:color w:val="auto"/>
              </w:rPr>
              <w:t>100.0%</w:t>
            </w:r>
          </w:p>
        </w:tc>
        <w:tc>
          <w:p w14:paraId="39730FFA">
            <w:pPr>
              <w:pStyle w:val="20"/>
              <w:jc w:val="left"/>
              <w:rPr>
                <w:rFonts w:hint="eastAsia" w:ascii="仿宋" w:hAnsi="仿宋" w:eastAsia="仿宋" w:cs="仿宋"/>
                <w:color w:val="auto"/>
              </w:rPr>
            </w:pPr>
            <w:r>
              <w:rPr>
                <w:rFonts w:hint="eastAsia" w:ascii="仿宋" w:hAnsi="仿宋" w:eastAsia="仿宋" w:cs="仿宋"/>
                <w:color w:val="auto"/>
              </w:rPr>
              <w:t>5.89</w:t>
            </w:r>
          </w:p>
        </w:tc>
        <w:tc>
          <w:p w14:paraId="2D0A034B">
            <w:pPr>
              <w:pStyle w:val="20"/>
              <w:jc w:val="left"/>
              <w:rPr>
                <w:rFonts w:hint="eastAsia" w:ascii="仿宋" w:hAnsi="仿宋" w:eastAsia="仿宋" w:cs="仿宋"/>
                <w:color w:val="auto"/>
              </w:rPr>
            </w:pPr>
            <w:r>
              <w:rPr>
                <w:rFonts w:hint="eastAsia" w:ascii="仿宋" w:hAnsi="仿宋" w:eastAsia="仿宋" w:cs="仿宋"/>
                <w:color w:val="auto"/>
              </w:rPr>
              <w:t>4.89</w:t>
            </w:r>
          </w:p>
        </w:tc>
        <w:tc>
          <w:p w14:paraId="2A278F70">
            <w:pPr>
              <w:pStyle w:val="20"/>
              <w:jc w:val="left"/>
              <w:rPr>
                <w:rFonts w:hint="eastAsia" w:ascii="仿宋" w:hAnsi="仿宋" w:eastAsia="仿宋" w:cs="仿宋"/>
                <w:color w:val="auto"/>
              </w:rPr>
            </w:pPr>
            <w:r>
              <w:rPr>
                <w:rFonts w:hint="eastAsia" w:ascii="仿宋" w:hAnsi="仿宋" w:eastAsia="仿宋" w:cs="仿宋"/>
                <w:color w:val="auto"/>
              </w:rPr>
              <w:t>14.68</w:t>
            </w:r>
          </w:p>
        </w:tc>
      </w:tr>
    </w:tbl>
    <w:p w14:paraId="533DA94B">
      <w:pPr>
        <w:pStyle w:val="5"/>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仿宋" w:hAnsi="仿宋" w:eastAsia="仿宋" w:cs="仿宋"/>
          <w:color w:val="auto"/>
        </w:rPr>
      </w:pPr>
      <w:r>
        <w:rPr>
          <w:rFonts w:hint="eastAsia" w:ascii="仿宋" w:hAnsi="仿宋" w:eastAsia="仿宋" w:cs="仿宋"/>
          <w:color w:val="auto"/>
        </w:rPr>
        <w:t>主力方案 Ours 与 Ours_full 在本测试集上均达到 100% 成功率，相比朴素 ReAct 基线 B1 提升 10.3 个百分点，相比业界最强基线 Reflexion 提升 5.6 个百分点，达到预期目标。值得注意的是，B2 CoT 相比 B1 反而下降 11.1 个百分点，分析发现其冗长的中间推理文本更容易触发 LLM function.arguments 的 JSON 解析错误</w:t>
      </w:r>
      <w:r>
        <w:rPr>
          <w:rFonts w:hint="eastAsia" w:ascii="仿宋" w:hAnsi="仿宋" w:eastAsia="仿宋" w:cs="仿宋"/>
          <w:color w:val="auto"/>
          <w:lang w:eastAsia="zh-CN"/>
        </w:rPr>
        <w:t>。</w:t>
      </w:r>
      <w:r>
        <w:rPr>
          <w:rFonts w:hint="eastAsia" w:ascii="仿宋" w:hAnsi="仿宋" w:eastAsia="仿宋" w:cs="仿宋"/>
          <w:color w:val="auto"/>
        </w:rPr>
        <w:t>RATS 单独接入时的效果是典型的效率换精度，在当前 12 工具规模下平均耗时降低约 36%，成功率相应损失 9.3 个百分点，该权衡在工具库扩展到百级规模时将反转为 RATS 的优势。</w:t>
      </w:r>
      <w:bookmarkEnd w:id="9"/>
    </w:p>
    <w:bookmarkEnd w:id="8"/>
    <w:p w14:paraId="7706BBED">
      <w:pPr>
        <w:pStyle w:val="6"/>
        <w:rPr>
          <w:rFonts w:hint="eastAsia" w:ascii="仿宋" w:hAnsi="仿宋" w:eastAsia="仿宋"/>
          <w:color w:val="FF0000"/>
        </w:rPr>
      </w:pPr>
    </w:p>
    <w:p w14:paraId="55C468FB">
      <w:pPr>
        <w:pStyle w:val="3"/>
        <w:rPr>
          <w:rFonts w:hint="eastAsia" w:ascii="宋体" w:hAnsi="宋体" w:eastAsia="宋体"/>
          <w:sz w:val="30"/>
          <w:lang w:eastAsia="zh-CN"/>
        </w:rPr>
      </w:pPr>
      <w:r>
        <w:rPr>
          <w:rFonts w:hint="eastAsia" w:ascii="宋体" w:hAnsi="宋体" w:eastAsia="宋体"/>
          <w:sz w:val="30"/>
          <w:lang w:eastAsia="zh-CN"/>
        </w:rPr>
        <w:t>3. 问题与建议</w:t>
      </w:r>
    </w:p>
    <w:p w14:paraId="4D8F11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仿宋" w:hAnsi="仿宋" w:eastAsia="仿宋" w:cs="仿宋"/>
          <w:color w:val="auto"/>
          <w:kern w:val="2"/>
          <w:sz w:val="21"/>
          <w:szCs w:val="24"/>
          <w:shd w:val="clear" w:color="auto" w:fill="auto"/>
          <w:lang w:val="en-US" w:eastAsia="zh-CN" w:bidi="ar-SA"/>
        </w:rPr>
      </w:pPr>
      <w:r>
        <w:rPr>
          <w:rFonts w:hint="default" w:ascii="仿宋" w:hAnsi="仿宋" w:eastAsia="仿宋" w:cs="仿宋"/>
          <w:color w:val="auto"/>
          <w:kern w:val="2"/>
          <w:sz w:val="21"/>
          <w:szCs w:val="24"/>
          <w:shd w:val="clear" w:color="auto" w:fill="auto"/>
          <w:lang w:val="en-US" w:eastAsia="zh-CN" w:bidi="ar-SA"/>
        </w:rPr>
        <w:t>自建科学任务集虽已较开题阶段的设想明显扩充，但相对公开大规模 agent 基准仍属中小规模，外部可推广性需要更谨慎地表述。此前曾评估将 ScienceAgentBench、BFCL、GAIA 等公开数据纳入对比，因接口对齐与任务定义差异带来的工程成本较高而暂缓，当前以定向压力题补强弱项属于务实折中，但也会在论文中作为方法适用边界加以说明，并在条件允许时探索引入体量可控的公开子集以增强对照说服力。</w:t>
      </w:r>
    </w:p>
    <w:p w14:paraId="4459AC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仿宋" w:hAnsi="仿宋" w:eastAsia="仿宋" w:cs="仿宋"/>
          <w:color w:val="auto"/>
          <w:kern w:val="2"/>
          <w:sz w:val="21"/>
          <w:szCs w:val="24"/>
          <w:shd w:val="clear" w:color="auto" w:fill="auto"/>
          <w:lang w:val="en-US" w:eastAsia="zh-CN" w:bidi="ar-SA"/>
        </w:rPr>
      </w:pPr>
      <w:r>
        <w:rPr>
          <w:rFonts w:hint="default" w:ascii="仿宋" w:hAnsi="仿宋" w:eastAsia="仿宋" w:cs="仿宋"/>
          <w:color w:val="auto"/>
          <w:kern w:val="2"/>
          <w:sz w:val="21"/>
          <w:szCs w:val="24"/>
          <w:shd w:val="clear" w:color="auto" w:fill="auto"/>
          <w:lang w:val="en-US" w:eastAsia="zh-CN" w:bidi="ar-SA"/>
        </w:rPr>
        <w:t>主力实验依托同一供应商的 LLM 与 embedding，虽然便于统一鉴权与复现实验，但也意味着跨厂商、跨版本、跨模态的泛化结论仍不充分。RATS 与 DAGPlanner 在更强或更弱的基座模型上是否保持同样的相对优势，需要额外实验才能支撑，而这受到 API 成本与工程时间的现实约束。与此同时，科学工具库目前覆盖数值、统计与可视化三类高频能力，RATS 在"百级工具库"场景下的收益论证仍主要依赖外推，尚缺乏同口径的大规模工具库压力测试</w:t>
      </w:r>
      <w:r>
        <w:rPr>
          <w:rFonts w:hint="eastAsia" w:ascii="仿宋" w:hAnsi="仿宋" w:eastAsia="仿宋" w:cs="仿宋"/>
          <w:color w:val="auto"/>
          <w:kern w:val="2"/>
          <w:sz w:val="21"/>
          <w:szCs w:val="24"/>
          <w:shd w:val="clear" w:color="auto" w:fill="auto"/>
          <w:lang w:val="en-US" w:eastAsia="zh-CN" w:bidi="ar-SA"/>
        </w:rPr>
        <w:t>。</w:t>
      </w:r>
    </w:p>
    <w:p w14:paraId="2D2F69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仿宋" w:hAnsi="仿宋" w:eastAsia="仿宋" w:cs="仿宋"/>
          <w:color w:val="auto"/>
          <w:kern w:val="2"/>
          <w:sz w:val="21"/>
          <w:szCs w:val="24"/>
          <w:shd w:val="clear" w:color="auto" w:fill="auto"/>
          <w:lang w:val="en-US" w:eastAsia="zh-CN" w:bidi="ar-SA"/>
        </w:rPr>
      </w:pPr>
      <w:r>
        <w:rPr>
          <w:rFonts w:hint="default" w:ascii="仿宋" w:hAnsi="仿宋" w:eastAsia="仿宋" w:cs="仿宋"/>
          <w:color w:val="auto"/>
          <w:kern w:val="2"/>
          <w:sz w:val="21"/>
          <w:szCs w:val="24"/>
          <w:shd w:val="clear" w:color="auto" w:fill="auto"/>
          <w:lang w:val="en-US" w:eastAsia="zh-CN" w:bidi="ar-SA"/>
        </w:rPr>
        <w:t>以上问题并不否定当前工程与实验产出的可复现性，但要求论文在贡献陈述上更加克制，在局限性与未来工作中写得更具体，也更能回应开题阶段导师与专家关于"技术深度与评估充分性"的关切</w:t>
      </w:r>
      <w:r>
        <w:rPr>
          <w:rFonts w:hint="eastAsia" w:ascii="仿宋" w:hAnsi="仿宋" w:eastAsia="仿宋" w:cs="仿宋"/>
          <w:color w:val="auto"/>
          <w:kern w:val="2"/>
          <w:sz w:val="21"/>
          <w:szCs w:val="24"/>
          <w:shd w:val="clear" w:color="auto" w:fill="auto"/>
          <w:lang w:val="en-US" w:eastAsia="zh-CN" w:bidi="ar-SA"/>
        </w:rPr>
        <w:t>。</w:t>
      </w:r>
    </w:p>
    <w:p w14:paraId="5ABC3C41">
      <w:pPr>
        <w:pStyle w:val="6"/>
        <w:ind w:left="0" w:leftChars="0" w:firstLine="0" w:firstLineChars="0"/>
        <w:rPr>
          <w:rFonts w:ascii="仿宋" w:hAnsi="仿宋" w:eastAsia="仿宋"/>
          <w:color w:val="FF0000"/>
        </w:rPr>
      </w:pPr>
    </w:p>
    <w:p w14:paraId="06D10266">
      <w:pPr>
        <w:pStyle w:val="3"/>
        <w:rPr>
          <w:rFonts w:hint="eastAsia" w:ascii="仿宋" w:hAnsi="仿宋" w:eastAsia="仿宋"/>
          <w:bCs/>
          <w:color w:val="FF0000"/>
          <w:sz w:val="28"/>
          <w:szCs w:val="28"/>
        </w:rPr>
      </w:pPr>
      <w:r>
        <w:rPr>
          <w:rFonts w:hint="eastAsia" w:ascii="仿宋" w:hAnsi="仿宋" w:eastAsia="仿宋"/>
          <w:sz w:val="30"/>
          <w:lang w:eastAsia="zh-CN"/>
        </w:rPr>
        <w:t>4. 其它</w:t>
      </w:r>
    </w:p>
    <w:p w14:paraId="27079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sectPr>
          <w:headerReference r:id="rId5" w:type="default"/>
          <w:footerReference r:id="rId6" w:type="default"/>
          <w:pgSz w:w="11906" w:h="16838"/>
          <w:pgMar w:top="1440" w:right="1134" w:bottom="1440" w:left="1418" w:header="1191" w:footer="992" w:gutter="0"/>
          <w:cols w:space="425" w:num="1"/>
          <w:docGrid w:type="linesAndChars" w:linePitch="312" w:charSpace="0"/>
        </w:sectPr>
      </w:pPr>
      <w:r>
        <w:rPr>
          <w:rFonts w:hint="eastAsia" w:ascii="仿宋" w:hAnsi="仿宋" w:eastAsia="仿宋" w:cs="仿宋"/>
          <w:color w:val="auto"/>
          <w:kern w:val="2"/>
          <w:sz w:val="21"/>
          <w:szCs w:val="24"/>
          <w:shd w:val="clear" w:color="auto" w:fill="auto"/>
          <w:lang w:val="en-US" w:eastAsia="zh-CN" w:bidi="ar-SA"/>
        </w:rPr>
        <w:t>针对开题报告考核中，导师与盲审专家提出的“技术深度不足”等问题，着重加强了算法深化，主要体现在引入RATS与DAGPlanner算法模块，以提升最终效果。</w:t>
      </w:r>
    </w:p>
    <w:p w14:paraId="164D19FF">
      <w:pPr>
        <w:rPr>
          <w:rFonts w:hint="eastAsia" w:ascii="华文仿宋" w:hAnsi="宋体" w:eastAsia="华文仿宋"/>
          <w:b/>
          <w:bCs/>
          <w:sz w:val="32"/>
          <w:szCs w:val="32"/>
        </w:rPr>
      </w:pPr>
    </w:p>
    <w:p w14:paraId="0F8FB068">
      <w:pPr>
        <w:ind w:firstLine="614" w:firstLineChars="192"/>
        <w:jc w:val="center"/>
        <w:rPr>
          <w:rFonts w:ascii="仿宋" w:hAnsi="仿宋" w:eastAsia="仿宋"/>
          <w:b/>
          <w:sz w:val="32"/>
          <w:szCs w:val="32"/>
        </w:rPr>
      </w:pPr>
      <w:r>
        <w:rPr>
          <w:rFonts w:hint="eastAsia" w:ascii="仿宋" w:hAnsi="仿宋" w:eastAsia="仿宋"/>
          <w:b/>
          <w:bCs/>
          <w:sz w:val="32"/>
          <w:szCs w:val="32"/>
        </w:rPr>
        <w:t>毕业设计中期报告考核</w:t>
      </w:r>
    </w:p>
    <w:p w14:paraId="246F307A">
      <w:pPr>
        <w:ind w:firstLine="537" w:firstLineChars="192"/>
        <w:jc w:val="left"/>
        <w:rPr>
          <w:rFonts w:ascii="仿宋" w:hAnsi="仿宋" w:eastAsia="仿宋"/>
          <w:b/>
          <w:sz w:val="28"/>
        </w:rPr>
      </w:pPr>
      <w:r>
        <w:rPr>
          <w:rFonts w:hint="eastAsia" w:ascii="仿宋" w:hAnsi="仿宋" w:eastAsia="仿宋"/>
          <w:b/>
          <w:sz w:val="28"/>
        </w:rPr>
        <w:t>导师对中期报告的评语及成绩评定：</w:t>
      </w:r>
    </w:p>
    <w:p w14:paraId="06478D4F">
      <w:pPr>
        <w:jc w:val="left"/>
        <w:rPr>
          <w:rFonts w:hint="eastAsia" w:ascii="仿宋" w:hAnsi="仿宋" w:eastAsia="仿宋"/>
          <w:b/>
          <w:color w:val="0000FF"/>
          <w:sz w:val="28"/>
          <w:szCs w:val="28"/>
        </w:rPr>
      </w:pPr>
    </w:p>
    <w:p w14:paraId="217B8B91">
      <w:pPr>
        <w:jc w:val="left"/>
        <w:rPr>
          <w:rFonts w:hint="eastAsia" w:ascii="仿宋" w:hAnsi="仿宋" w:eastAsia="仿宋"/>
          <w:b/>
          <w:color w:val="0000FF"/>
          <w:sz w:val="28"/>
          <w:szCs w:val="28"/>
        </w:rPr>
      </w:pPr>
    </w:p>
    <w:p w14:paraId="6119A070">
      <w:pPr>
        <w:jc w:val="left"/>
        <w:rPr>
          <w:rFonts w:hint="eastAsia" w:ascii="仿宋" w:hAnsi="仿宋" w:eastAsia="仿宋"/>
          <w:b/>
          <w:color w:val="0000FF"/>
          <w:sz w:val="28"/>
          <w:szCs w:val="28"/>
        </w:rPr>
      </w:pPr>
    </w:p>
    <w:p w14:paraId="02596AAC">
      <w:pPr>
        <w:jc w:val="left"/>
        <w:rPr>
          <w:rFonts w:hint="eastAsia" w:ascii="仿宋" w:hAnsi="仿宋" w:eastAsia="仿宋"/>
          <w:b/>
          <w:color w:val="0000FF"/>
          <w:sz w:val="28"/>
          <w:szCs w:val="28"/>
        </w:rPr>
      </w:pPr>
    </w:p>
    <w:p w14:paraId="18213378">
      <w:pPr>
        <w:jc w:val="left"/>
        <w:rPr>
          <w:rFonts w:hint="eastAsia" w:ascii="仿宋" w:hAnsi="仿宋" w:eastAsia="仿宋"/>
          <w:b/>
          <w:color w:val="0000FF"/>
          <w:sz w:val="28"/>
          <w:szCs w:val="28"/>
        </w:rPr>
      </w:pPr>
    </w:p>
    <w:p w14:paraId="2C7E48FA">
      <w:pPr>
        <w:jc w:val="left"/>
        <w:rPr>
          <w:rFonts w:ascii="仿宋" w:hAnsi="仿宋" w:eastAsia="仿宋"/>
          <w:b/>
          <w:sz w:val="32"/>
          <w:szCs w:val="32"/>
        </w:rPr>
      </w:pPr>
    </w:p>
    <w:p w14:paraId="45F089A1">
      <w:pPr>
        <w:jc w:val="left"/>
        <w:rPr>
          <w:rFonts w:ascii="仿宋" w:hAnsi="仿宋" w:eastAsia="仿宋"/>
          <w:b/>
          <w:sz w:val="32"/>
          <w:szCs w:val="32"/>
        </w:rPr>
      </w:pPr>
    </w:p>
    <w:tbl>
      <w:tblPr>
        <w:tblStyle w:val="13"/>
        <w:tblW w:w="0" w:type="auto"/>
        <w:tblInd w:w="45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663"/>
      </w:tblGrid>
      <w:tr w14:paraId="6B95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620" w:type="dxa"/>
            <w:noWrap w:val="0"/>
            <w:vAlign w:val="top"/>
          </w:tcPr>
          <w:p w14:paraId="4506672A">
            <w:pPr>
              <w:rPr>
                <w:rFonts w:ascii="仿宋" w:hAnsi="仿宋" w:eastAsia="仿宋"/>
                <w:b/>
                <w:sz w:val="28"/>
                <w:szCs w:val="28"/>
              </w:rPr>
            </w:pPr>
            <w:r>
              <w:rPr>
                <w:rFonts w:hint="eastAsia" w:ascii="仿宋" w:hAnsi="仿宋" w:eastAsia="仿宋"/>
                <w:b/>
                <w:sz w:val="28"/>
                <w:szCs w:val="28"/>
              </w:rPr>
              <w:t>成绩比例</w:t>
            </w:r>
          </w:p>
        </w:tc>
        <w:tc>
          <w:tcPr>
            <w:tcW w:w="1663" w:type="dxa"/>
            <w:noWrap w:val="0"/>
            <w:vAlign w:val="top"/>
          </w:tcPr>
          <w:p w14:paraId="76F59FB3">
            <w:pPr>
              <w:rPr>
                <w:rFonts w:ascii="仿宋" w:hAnsi="仿宋" w:eastAsia="仿宋"/>
                <w:b/>
                <w:color w:val="000000"/>
                <w:szCs w:val="21"/>
              </w:rPr>
            </w:pPr>
            <w:r>
              <w:rPr>
                <w:rFonts w:hint="eastAsia" w:ascii="仿宋" w:hAnsi="仿宋" w:eastAsia="仿宋"/>
                <w:b/>
                <w:color w:val="000000"/>
                <w:szCs w:val="21"/>
              </w:rPr>
              <w:t>中期报告</w:t>
            </w:r>
          </w:p>
          <w:p w14:paraId="20C05F73">
            <w:pPr>
              <w:rPr>
                <w:rFonts w:ascii="仿宋" w:hAnsi="仿宋" w:eastAsia="仿宋"/>
                <w:b/>
                <w:color w:val="FF0000"/>
                <w:szCs w:val="21"/>
              </w:rPr>
            </w:pPr>
            <w:r>
              <w:rPr>
                <w:rFonts w:hint="eastAsia" w:ascii="仿宋" w:hAnsi="仿宋" w:eastAsia="仿宋"/>
                <w:b/>
                <w:color w:val="000000"/>
                <w:szCs w:val="21"/>
              </w:rPr>
              <w:t>（</w:t>
            </w:r>
            <w:r>
              <w:rPr>
                <w:rFonts w:ascii="仿宋" w:hAnsi="仿宋" w:eastAsia="仿宋"/>
                <w:b/>
                <w:color w:val="000000"/>
                <w:szCs w:val="21"/>
              </w:rPr>
              <w:t>10%</w:t>
            </w:r>
            <w:r>
              <w:rPr>
                <w:rFonts w:hint="eastAsia" w:ascii="仿宋" w:hAnsi="仿宋" w:eastAsia="仿宋"/>
                <w:b/>
                <w:color w:val="000000"/>
                <w:szCs w:val="21"/>
              </w:rPr>
              <w:t>）</w:t>
            </w:r>
          </w:p>
        </w:tc>
      </w:tr>
      <w:tr w14:paraId="5BF3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620" w:type="dxa"/>
            <w:noWrap w:val="0"/>
            <w:vAlign w:val="top"/>
          </w:tcPr>
          <w:p w14:paraId="6E119CB5">
            <w:pPr>
              <w:ind w:firstLine="137" w:firstLineChars="49"/>
              <w:rPr>
                <w:rFonts w:ascii="仿宋" w:hAnsi="仿宋" w:eastAsia="仿宋"/>
                <w:b/>
                <w:sz w:val="28"/>
                <w:szCs w:val="28"/>
              </w:rPr>
            </w:pPr>
            <w:r>
              <w:rPr>
                <w:rFonts w:hint="eastAsia" w:ascii="仿宋" w:hAnsi="仿宋" w:eastAsia="仿宋"/>
                <w:b/>
                <w:sz w:val="28"/>
                <w:szCs w:val="28"/>
              </w:rPr>
              <w:t>分</w:t>
            </w:r>
            <w:r>
              <w:rPr>
                <w:rFonts w:ascii="仿宋" w:hAnsi="仿宋" w:eastAsia="仿宋"/>
                <w:b/>
                <w:sz w:val="28"/>
                <w:szCs w:val="28"/>
              </w:rPr>
              <w:t xml:space="preserve"> </w:t>
            </w:r>
            <w:r>
              <w:rPr>
                <w:rFonts w:hint="eastAsia" w:ascii="仿宋" w:hAnsi="仿宋" w:eastAsia="仿宋"/>
                <w:b/>
                <w:sz w:val="28"/>
                <w:szCs w:val="28"/>
              </w:rPr>
              <w:t>值</w:t>
            </w:r>
          </w:p>
        </w:tc>
        <w:tc>
          <w:tcPr>
            <w:tcW w:w="1663" w:type="dxa"/>
            <w:noWrap w:val="0"/>
            <w:vAlign w:val="top"/>
          </w:tcPr>
          <w:p w14:paraId="13A2A814">
            <w:pPr>
              <w:rPr>
                <w:rFonts w:ascii="仿宋" w:hAnsi="仿宋" w:eastAsia="仿宋"/>
                <w:sz w:val="36"/>
              </w:rPr>
            </w:pPr>
          </w:p>
        </w:tc>
      </w:tr>
    </w:tbl>
    <w:p w14:paraId="00CCB2A7">
      <w:pPr>
        <w:ind w:firstLine="3407" w:firstLineChars="1217"/>
        <w:rPr>
          <w:rFonts w:ascii="仿宋" w:hAnsi="仿宋" w:eastAsia="仿宋"/>
          <w:b/>
          <w:sz w:val="28"/>
          <w:szCs w:val="28"/>
        </w:rPr>
      </w:pPr>
    </w:p>
    <w:p w14:paraId="6EA146F1">
      <w:pPr>
        <w:ind w:firstLine="3292" w:firstLineChars="1568"/>
        <w:rPr>
          <w:rFonts w:ascii="仿宋" w:hAnsi="仿宋" w:eastAsia="仿宋"/>
          <w:b/>
          <w:sz w:val="24"/>
          <w:u w:val="wave"/>
        </w:rPr>
      </w:pPr>
      <w:r>
        <w:rPr>
          <w:rFonts w:ascii="仿宋" w:hAnsi="仿宋" w:eastAsia="仿宋"/>
          <w:b/>
        </w:rPr>
        <w:t xml:space="preserve">               </w:t>
      </w:r>
      <w:r>
        <w:rPr>
          <w:rFonts w:hint="eastAsia" w:ascii="仿宋" w:hAnsi="仿宋" w:eastAsia="仿宋"/>
          <w:b/>
          <w:sz w:val="24"/>
        </w:rPr>
        <w:t>导师签名</w:t>
      </w:r>
      <w:r>
        <w:rPr>
          <w:rFonts w:ascii="仿宋" w:hAnsi="仿宋" w:eastAsia="仿宋"/>
          <w:b/>
          <w:sz w:val="24"/>
          <w:u w:val="single"/>
        </w:rPr>
        <w:t xml:space="preserve">           </w:t>
      </w:r>
    </w:p>
    <w:p w14:paraId="6BF003EF">
      <w:pPr>
        <w:ind w:firstLine="5892" w:firstLineChars="2455"/>
        <w:rPr>
          <w:rFonts w:ascii="仿宋" w:hAnsi="仿宋" w:eastAsia="仿宋"/>
          <w:b/>
          <w:sz w:val="24"/>
        </w:rPr>
      </w:pPr>
      <w:r>
        <w:rPr>
          <w:rFonts w:ascii="仿宋" w:hAnsi="仿宋" w:eastAsia="仿宋"/>
          <w:b/>
          <w:sz w:val="24"/>
        </w:rPr>
        <w:t xml:space="preserve"> </w:t>
      </w:r>
      <w:r>
        <w:rPr>
          <w:rFonts w:hint="eastAsia" w:ascii="仿宋" w:hAnsi="仿宋" w:eastAsia="仿宋"/>
          <w:b/>
          <w:sz w:val="24"/>
        </w:rPr>
        <w:t>年</w:t>
      </w:r>
      <w:r>
        <w:rPr>
          <w:rFonts w:ascii="仿宋" w:hAnsi="仿宋" w:eastAsia="仿宋"/>
          <w:b/>
          <w:sz w:val="24"/>
        </w:rPr>
        <w:t xml:space="preserve">    </w:t>
      </w:r>
      <w:r>
        <w:rPr>
          <w:rFonts w:hint="eastAsia" w:ascii="仿宋" w:hAnsi="仿宋" w:eastAsia="仿宋"/>
          <w:b/>
          <w:sz w:val="24"/>
        </w:rPr>
        <w:t>月</w:t>
      </w:r>
      <w:r>
        <w:rPr>
          <w:rFonts w:ascii="仿宋" w:hAnsi="仿宋" w:eastAsia="仿宋"/>
          <w:b/>
          <w:sz w:val="24"/>
        </w:rPr>
        <w:t xml:space="preserve">    </w:t>
      </w:r>
      <w:r>
        <w:rPr>
          <w:rFonts w:hint="eastAsia" w:ascii="仿宋" w:hAnsi="仿宋" w:eastAsia="仿宋"/>
          <w:b/>
          <w:sz w:val="24"/>
        </w:rPr>
        <w:t>日</w:t>
      </w:r>
    </w:p>
    <w:p w14:paraId="4AAB4BB0">
      <w:pPr>
        <w:ind w:firstLine="8841" w:firstLineChars="2763"/>
        <w:rPr>
          <w:rFonts w:ascii="宋体"/>
          <w:b/>
          <w:sz w:val="32"/>
          <w:szCs w:val="32"/>
        </w:rPr>
      </w:pPr>
    </w:p>
    <w:bookmarkEnd w:id="1"/>
    <w:p w14:paraId="36251D10">
      <w:pPr>
        <w:rPr>
          <w:rFonts w:hint="eastAsia" w:eastAsia="华文仿宋"/>
          <w:sz w:val="24"/>
          <w:u w:val="wave"/>
        </w:rPr>
      </w:pPr>
    </w:p>
    <w:p w14:paraId="3E7F73F5"/>
    <w:sectPr>
      <w:headerReference r:id="rId7" w:type="default"/>
      <w:footerReference r:id="rId9" w:type="default"/>
      <w:headerReference r:id="rId8" w:type="even"/>
      <w:footerReference r:id="rId10" w:type="even"/>
      <w:pgSz w:w="11906" w:h="16838"/>
      <w:pgMar w:top="1440" w:right="1134" w:bottom="1440" w:left="1418"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altName w:val="仿宋"/>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1" w:csb1="00000000"/>
  </w:font>
  <w:font w:name="方正小标宋简体">
    <w:altName w:val="微软雅黑"/>
    <w:panose1 w:val="02010601030101010101"/>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F2A07">
    <w:pPr>
      <w:pStyle w:val="8"/>
      <w:jc w:val="center"/>
    </w:pPr>
  </w:p>
  <w:p w14:paraId="36A20C82">
    <w:pPr>
      <w:pStyle w:val="8"/>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E1262">
    <w:pPr>
      <w:pStyle w:val="8"/>
      <w:ind w:right="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C3C1E">
    <w:pPr>
      <w:pStyle w:val="8"/>
      <w:ind w:right="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FCDC7">
    <w:pPr>
      <w:pStyle w:val="8"/>
      <w:jc w:val="center"/>
    </w:pPr>
  </w:p>
  <w:p w14:paraId="0D48C591">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7F2E8">
    <w:pPr>
      <w:pStyle w:val="9"/>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1516C">
    <w:pPr>
      <w:pStyle w:val="9"/>
      <w:pBdr>
        <w:bottom w:val="none" w:color="auto" w:sz="0" w:space="0"/>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7EE04">
    <w:pPr>
      <w:pStyle w:val="9"/>
      <w:pBdr>
        <w:bottom w:val="none" w:color="auto" w:sz="0" w:space="0"/>
      </w:pBd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8C33E">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B15955"/>
    <w:rsid w:val="280258B0"/>
    <w:rsid w:val="60107EBF"/>
    <w:rsid w:val="64B1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keepNext/>
      <w:keepLines/>
      <w:spacing w:before="340" w:after="330" w:line="576" w:lineRule="auto"/>
      <w:outlineLvl w:val="0"/>
    </w:pPr>
    <w:rPr>
      <w:b/>
      <w:kern w:val="44"/>
      <w:sz w:val="44"/>
      <w:szCs w:val="20"/>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szCs w:val="20"/>
    </w:rPr>
  </w:style>
  <w:style w:type="paragraph" w:styleId="4">
    <w:name w:val="heading 3"/>
    <w:basedOn w:val="1"/>
    <w:next w:val="5"/>
    <w:qFormat/>
    <w:uiPriority w:val="0"/>
    <w:pPr>
      <w:keepNext/>
      <w:keepLines/>
      <w:spacing w:before="260" w:after="260" w:line="416" w:lineRule="auto"/>
      <w:outlineLvl w:val="2"/>
    </w:pPr>
    <w:rPr>
      <w:b/>
      <w:bCs/>
      <w:sz w:val="32"/>
      <w:szCs w:val="32"/>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5">
    <w:name w:val="Body Text"/>
    <w:basedOn w:val="1"/>
    <w:link w:val="22"/>
    <w:qFormat/>
    <w:uiPriority w:val="0"/>
    <w:pPr>
      <w:spacing w:before="180" w:after="180"/>
    </w:pPr>
  </w:style>
  <w:style w:type="paragraph" w:styleId="6">
    <w:name w:val="Body Text Indent"/>
    <w:basedOn w:val="1"/>
    <w:qFormat/>
    <w:uiPriority w:val="0"/>
    <w:pPr>
      <w:ind w:left="850" w:leftChars="405" w:firstLine="1"/>
    </w:pPr>
    <w:rPr>
      <w:sz w:val="24"/>
    </w:rPr>
  </w:style>
  <w:style w:type="paragraph" w:styleId="7">
    <w:name w:val="toc 3"/>
    <w:basedOn w:val="1"/>
    <w:next w:val="1"/>
    <w:unhideWhenUsed/>
    <w:qFormat/>
    <w:uiPriority w:val="39"/>
    <w:pPr>
      <w:widowControl/>
      <w:spacing w:after="100" w:line="276" w:lineRule="auto"/>
      <w:ind w:left="440"/>
      <w:jc w:val="left"/>
    </w:pPr>
    <w:rPr>
      <w:rFonts w:ascii="Calibri" w:hAnsi="Calibri" w:eastAsia="宋体" w:cs="Times New Roman"/>
      <w:kern w:val="0"/>
      <w:sz w:val="22"/>
      <w:szCs w:val="22"/>
    </w:r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widowControl/>
      <w:tabs>
        <w:tab w:val="right" w:leader="dot" w:pos="9344"/>
      </w:tabs>
      <w:spacing w:after="100" w:line="276" w:lineRule="auto"/>
      <w:jc w:val="left"/>
    </w:pPr>
    <w:rPr>
      <w:rFonts w:ascii="黑体" w:hAnsi="黑体" w:eastAsia="黑体"/>
      <w:kern w:val="0"/>
      <w:sz w:val="24"/>
    </w:rPr>
  </w:style>
  <w:style w:type="paragraph" w:styleId="11">
    <w:name w:val="toc 2"/>
    <w:basedOn w:val="1"/>
    <w:next w:val="1"/>
    <w:unhideWhenUsed/>
    <w:qFormat/>
    <w:uiPriority w:val="39"/>
    <w:pPr>
      <w:widowControl/>
      <w:spacing w:after="100" w:line="276" w:lineRule="auto"/>
      <w:ind w:left="220"/>
      <w:jc w:val="left"/>
    </w:pPr>
    <w:rPr>
      <w:rFonts w:ascii="Calibri" w:hAnsi="Calibri" w:eastAsia="宋体" w:cs="Times New Roman"/>
      <w:kern w:val="0"/>
      <w:sz w:val="22"/>
      <w:szCs w:val="22"/>
    </w:rPr>
  </w:style>
  <w:style w:type="paragraph" w:styleId="12">
    <w:name w:val="Normal (Web)"/>
    <w:basedOn w:val="1"/>
    <w:unhideWhenUsed/>
    <w:uiPriority w:val="99"/>
    <w:pPr>
      <w:widowControl/>
      <w:spacing w:before="100" w:beforeAutospacing="1" w:after="100" w:afterAutospacing="1"/>
      <w:jc w:val="left"/>
    </w:pPr>
    <w:rPr>
      <w:rFonts w:ascii="宋体" w:hAnsi="宋体" w:cs="宋体"/>
      <w:kern w:val="0"/>
      <w:sz w:val="24"/>
    </w:rPr>
  </w:style>
  <w:style w:type="character" w:styleId="15">
    <w:name w:val="Hyperlink"/>
    <w:qFormat/>
    <w:uiPriority w:val="99"/>
    <w:rPr>
      <w:color w:val="0000FF"/>
      <w:u w:val="single"/>
    </w:rPr>
  </w:style>
  <w:style w:type="paragraph" w:customStyle="1" w:styleId="16">
    <w:name w:val="附录标识"/>
    <w:basedOn w:val="1"/>
    <w:qFormat/>
    <w:uiPriority w:val="0"/>
    <w:pPr>
      <w:widowControl/>
      <w:shd w:val="clear" w:color="FFFFFF" w:fill="FFFFFF"/>
      <w:tabs>
        <w:tab w:val="left" w:pos="6405"/>
      </w:tabs>
      <w:spacing w:before="640" w:after="200"/>
      <w:ind w:left="4320"/>
      <w:jc w:val="center"/>
      <w:outlineLvl w:val="0"/>
    </w:pPr>
    <w:rPr>
      <w:rFonts w:ascii="黑体" w:eastAsia="黑体"/>
      <w:kern w:val="0"/>
      <w:szCs w:val="20"/>
    </w:rPr>
  </w:style>
  <w:style w:type="paragraph" w:customStyle="1" w:styleId="17">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18">
    <w:name w:val="标题 1 Char"/>
    <w:link w:val="2"/>
    <w:qFormat/>
    <w:uiPriority w:val="9"/>
    <w:rPr>
      <w:b/>
      <w:kern w:val="44"/>
      <w:sz w:val="44"/>
      <w:szCs w:val="20"/>
    </w:rPr>
  </w:style>
  <w:style w:type="paragraph" w:customStyle="1" w:styleId="19">
    <w:name w:val="First Paragraph"/>
    <w:basedOn w:val="5"/>
    <w:next w:val="5"/>
    <w:qFormat/>
    <w:uiPriority w:val="0"/>
  </w:style>
  <w:style w:type="paragraph" w:customStyle="1" w:styleId="20">
    <w:name w:val="Compact"/>
    <w:basedOn w:val="5"/>
    <w:qFormat/>
    <w:uiPriority w:val="0"/>
    <w:pPr>
      <w:spacing w:before="36" w:after="36"/>
    </w:pPr>
  </w:style>
  <w:style w:type="character" w:customStyle="1" w:styleId="21">
    <w:name w:val="Verbatim Char"/>
    <w:basedOn w:val="22"/>
    <w:link w:val="23"/>
    <w:qFormat/>
    <w:uiPriority w:val="0"/>
  </w:style>
  <w:style w:type="character" w:customStyle="1" w:styleId="22">
    <w:name w:val="Body Text Char"/>
    <w:basedOn w:val="14"/>
    <w:link w:val="5"/>
    <w:qFormat/>
    <w:uiPriority w:val="0"/>
  </w:style>
  <w:style w:type="paragraph" w:customStyle="1" w:styleId="23">
    <w:name w:val="Source Code"/>
    <w:basedOn w:val="1"/>
    <w:link w:val="21"/>
    <w:uiPriority w:val="0"/>
    <w:pPr>
      <w:wordWrap w:val="0"/>
    </w:pPr>
  </w:style>
  <w:style w:type="table" w:customStyle="1" w:styleId="2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2026-04-23T09:22:00Z</dcterms:created>
  <dc:creator>WPS_1776062672</dc:creator>
  <cp:lastModifiedBy>WPS_1776062672</cp:lastModifiedBy>
  <dcterms:modified xsi:type="dcterms:W3CDTF">2026-04-23T09:49:57Z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319D886CF8664CE0B85571CDC32FE39F_11</vt:lpwstr>
  </property>
  <property fmtid="{D5CDD505-2E9C-101B-9397-08002B2CF9AE}" pid="4" name="KSOTemplateDocerSaveRecord">
    <vt:lpwstr>eyJoZGlkIjoiNmE0ZTYyODE1ZDlmMWIxZDgwZDhlZjcyYTI1OWRkZGQiLCJ1c2VySWQiOiIxODIwNjE0NDY2In0=</vt:lpwstr>
  </property>
</Properties>
</file>