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8FC203" w14:textId="77777777" w:rsidR="00523ED0" w:rsidRDefault="00523ED0">
      <w:pPr>
        <w:spacing w:after="160"/>
      </w:pPr>
    </w:p>
    <w:p w14:paraId="7712AA87" w14:textId="77777777" w:rsidR="00523ED0" w:rsidRDefault="00523ED0">
      <w:pPr>
        <w:spacing w:after="160"/>
      </w:pPr>
    </w:p>
    <w:p w14:paraId="2224FB26" w14:textId="77777777" w:rsidR="00523ED0" w:rsidRDefault="00523ED0">
      <w:pPr>
        <w:spacing w:after="160"/>
      </w:pPr>
    </w:p>
    <w:p w14:paraId="7FC3AF40" w14:textId="77777777" w:rsidR="00523ED0" w:rsidRDefault="00523ED0">
      <w:pPr>
        <w:spacing w:after="160"/>
      </w:pPr>
    </w:p>
    <w:p w14:paraId="11273146" w14:textId="77777777" w:rsidR="00523ED0" w:rsidRDefault="00523ED0">
      <w:pPr>
        <w:spacing w:after="160"/>
      </w:pPr>
    </w:p>
    <w:p w14:paraId="279A0A0C" w14:textId="77777777" w:rsidR="00523ED0" w:rsidRDefault="00000000">
      <w:pPr>
        <w:spacing w:after="360"/>
        <w:jc w:val="center"/>
      </w:pPr>
      <w:r>
        <w:rPr>
          <w:b/>
          <w:color w:val="B48025"/>
          <w:sz w:val="20"/>
        </w:rPr>
        <w:t>FINS5545  ·  FINANCIAL MARKET DATA LITERACY</w:t>
      </w:r>
    </w:p>
    <w:p w14:paraId="5B802A00" w14:textId="77777777" w:rsidR="00523ED0" w:rsidRDefault="00000000">
      <w:pPr>
        <w:spacing w:after="160"/>
        <w:jc w:val="center"/>
      </w:pPr>
      <w:r>
        <w:rPr>
          <w:b/>
          <w:color w:val="0B2545"/>
          <w:sz w:val="60"/>
        </w:rPr>
        <w:t>AtlasSignal</w:t>
      </w:r>
    </w:p>
    <w:p w14:paraId="5ED83251" w14:textId="77777777" w:rsidR="00523ED0" w:rsidRDefault="00000000">
      <w:pPr>
        <w:jc w:val="center"/>
      </w:pPr>
      <w:r>
        <w:rPr>
          <w:color w:val="2563EB"/>
          <w:sz w:val="30"/>
        </w:rPr>
        <w:t>Funds, Sentiment and an Evidence-First Investment App</w:t>
      </w:r>
    </w:p>
    <w:p w14:paraId="270F31FB" w14:textId="77777777" w:rsidR="00523ED0" w:rsidRDefault="00000000">
      <w:pPr>
        <w:spacing w:after="840"/>
        <w:jc w:val="center"/>
      </w:pPr>
      <w:r>
        <w:rPr>
          <w:i/>
          <w:color w:val="5E6978"/>
        </w:rPr>
        <w:t>Project B: Data Factory Floor Stations 3–4</w:t>
      </w:r>
    </w:p>
    <w:p w14:paraId="69C8BBA1" w14:textId="77777777" w:rsidR="00523ED0" w:rsidRDefault="00000000">
      <w:pPr>
        <w:spacing w:after="80"/>
        <w:jc w:val="center"/>
      </w:pPr>
      <w:r>
        <w:rPr>
          <w:b/>
          <w:color w:val="0B2545"/>
        </w:rPr>
        <w:t>Student ID  ·  z5646061</w:t>
      </w:r>
    </w:p>
    <w:p w14:paraId="54D2ECEC" w14:textId="77777777" w:rsidR="00523ED0" w:rsidRDefault="00000000">
      <w:pPr>
        <w:spacing w:after="80"/>
        <w:jc w:val="center"/>
      </w:pPr>
      <w:r>
        <w:rPr>
          <w:color w:val="5E6978"/>
          <w:sz w:val="20"/>
        </w:rPr>
        <w:t>UNSW Business School  ·  August 2026</w:t>
      </w:r>
    </w:p>
    <w:p w14:paraId="3AD806FB" w14:textId="77777777" w:rsidR="00523ED0" w:rsidRDefault="00000000">
      <w:r>
        <w:br w:type="page"/>
      </w:r>
    </w:p>
    <w:p w14:paraId="4315955C" w14:textId="77777777" w:rsidR="002E2401" w:rsidRDefault="002E2401" w:rsidP="002E2401">
      <w:pPr>
        <w:pStyle w:val="Heading1"/>
      </w:pPr>
      <w:r>
        <w:lastRenderedPageBreak/>
        <w:t>Executive Summary</w:t>
      </w:r>
    </w:p>
    <w:p w14:paraId="2E0FD5A5" w14:textId="5C012C23" w:rsidR="002E2401" w:rsidRDefault="00E10D0E" w:rsidP="002E2401">
      <w:pPr>
        <w:keepLines/>
        <w:pBdr>
          <w:left w:val="single" w:sz="18" w:space="8" w:color="2563EB"/>
        </w:pBdr>
        <w:shd w:val="clear" w:color="auto" w:fill="E8EEF5"/>
        <w:spacing w:before="120" w:after="200"/>
        <w:ind w:left="173" w:right="115"/>
      </w:pPr>
      <w:r w:rsidRPr="00E10D0E">
        <w:rPr>
          <w:b/>
          <w:color w:val="0B2545"/>
        </w:rPr>
        <w:t xml:space="preserve">AtlasSignal is a prototype investment platform that integrates systematic portfolio construction, financial news sentiment analysis and </w:t>
      </w:r>
      <w:r w:rsidR="0047546B">
        <w:rPr>
          <w:b/>
          <w:color w:val="0B2545"/>
          <w:lang w:eastAsia="zh-CN"/>
        </w:rPr>
        <w:t xml:space="preserve">a </w:t>
      </w:r>
      <w:r w:rsidRPr="00E10D0E">
        <w:rPr>
          <w:b/>
          <w:color w:val="0B2545"/>
        </w:rPr>
        <w:t xml:space="preserve">Streamlit </w:t>
      </w:r>
      <w:r w:rsidR="0047546B">
        <w:rPr>
          <w:b/>
          <w:color w:val="0B2545"/>
        </w:rPr>
        <w:t>app</w:t>
      </w:r>
      <w:r w:rsidRPr="00E10D0E">
        <w:rPr>
          <w:b/>
          <w:color w:val="0B2545"/>
        </w:rPr>
        <w:t xml:space="preserve"> for investors. The project compares twelve funds, rather than assuming that one </w:t>
      </w:r>
      <w:r w:rsidR="006550A9">
        <w:rPr>
          <w:b/>
          <w:color w:val="0B2545"/>
        </w:rPr>
        <w:t>optimisation</w:t>
      </w:r>
      <w:r w:rsidRPr="00E10D0E">
        <w:rPr>
          <w:b/>
          <w:color w:val="0B2545"/>
        </w:rPr>
        <w:t xml:space="preserve"> method </w:t>
      </w:r>
      <w:r w:rsidR="0047546B">
        <w:rPr>
          <w:b/>
          <w:color w:val="0B2545"/>
        </w:rPr>
        <w:t>will work best for every asset family</w:t>
      </w:r>
      <w:r w:rsidRPr="00E10D0E">
        <w:rPr>
          <w:b/>
          <w:color w:val="0B2545"/>
        </w:rPr>
        <w:t xml:space="preserve">. </w:t>
      </w:r>
      <w:r w:rsidR="0047546B">
        <w:rPr>
          <w:b/>
          <w:color w:val="0B2545"/>
        </w:rPr>
        <w:t xml:space="preserve">One </w:t>
      </w:r>
      <w:r w:rsidRPr="00E10D0E">
        <w:rPr>
          <w:b/>
          <w:color w:val="0B2545"/>
        </w:rPr>
        <w:t xml:space="preserve">main result is that </w:t>
      </w:r>
      <w:r w:rsidR="0047546B" w:rsidRPr="0047546B">
        <w:rPr>
          <w:b/>
          <w:bCs/>
        </w:rPr>
        <w:t>Combined Risk Parity has</w:t>
      </w:r>
      <w:r w:rsidR="0047546B">
        <w:t xml:space="preserve"> </w:t>
      </w:r>
      <w:r w:rsidRPr="00E10D0E">
        <w:rPr>
          <w:b/>
          <w:color w:val="0B2545"/>
        </w:rPr>
        <w:t xml:space="preserve">the strongest risk-adjusted return performance </w:t>
      </w:r>
      <w:r w:rsidR="00EB320A">
        <w:rPr>
          <w:b/>
          <w:color w:val="0B2545"/>
        </w:rPr>
        <w:t>within the combined family</w:t>
      </w:r>
      <w:r w:rsidRPr="00E10D0E">
        <w:rPr>
          <w:b/>
          <w:color w:val="0B2545"/>
        </w:rPr>
        <w:t xml:space="preserve">, although this </w:t>
      </w:r>
      <w:r w:rsidR="0047546B">
        <w:rPr>
          <w:b/>
          <w:color w:val="0B2545"/>
        </w:rPr>
        <w:t>result</w:t>
      </w:r>
      <w:r w:rsidRPr="00E10D0E">
        <w:rPr>
          <w:b/>
          <w:color w:val="0B2545"/>
        </w:rPr>
        <w:t xml:space="preserve"> is based on a shorter historical sample </w:t>
      </w:r>
      <w:r w:rsidR="0047546B" w:rsidRPr="0047546B">
        <w:rPr>
          <w:b/>
          <w:color w:val="0B2545"/>
        </w:rPr>
        <w:t>so I would not treat the ranking as a forecast</w:t>
      </w:r>
      <w:r w:rsidR="002E2401">
        <w:rPr>
          <w:b/>
          <w:color w:val="0B2545"/>
        </w:rPr>
        <w:t>.</w:t>
      </w:r>
    </w:p>
    <w:p w14:paraId="3083F202" w14:textId="1722ABD5" w:rsidR="002E2401" w:rsidRDefault="0047546B" w:rsidP="002E2401">
      <w:r>
        <w:t>The twelve funds cover three asset families: equity-only, crypto-only and combined equity–crypto portfolios</w:t>
      </w:r>
      <w:r w:rsidR="00E10D0E" w:rsidRPr="00E10D0E">
        <w:t xml:space="preserve">. </w:t>
      </w:r>
      <w:r>
        <w:t>Each asset family is tested using four construction methods: Equal Weight, Minimum Variance, Maximum Sharpe and Risk Parit</w:t>
      </w:r>
      <w:r w:rsidR="00E10D0E" w:rsidRPr="00E10D0E">
        <w:t xml:space="preserve">y. </w:t>
      </w:r>
      <w:r>
        <w:t>Performance is evaluated using a monthly walk-forward out-of-sample (OOS) design</w:t>
      </w:r>
      <w:r w:rsidR="00E10D0E" w:rsidRPr="00E10D0E">
        <w:t>: target weight</w:t>
      </w:r>
      <w:r>
        <w:t>s</w:t>
      </w:r>
      <w:r w:rsidR="00E10D0E" w:rsidRPr="00E10D0E">
        <w:t xml:space="preserve"> </w:t>
      </w:r>
      <w:r>
        <w:t>are</w:t>
      </w:r>
      <w:r w:rsidR="00E10D0E" w:rsidRPr="00E10D0E">
        <w:t xml:space="preserve"> only determined </w:t>
      </w:r>
      <w:r>
        <w:t>from information</w:t>
      </w:r>
      <w:r w:rsidR="00E10D0E" w:rsidRPr="00E10D0E">
        <w:t xml:space="preserve"> available before </w:t>
      </w:r>
      <w:r>
        <w:t xml:space="preserve">each </w:t>
      </w:r>
      <w:r w:rsidR="00E10D0E" w:rsidRPr="00E10D0E">
        <w:t>rebalanc</w:t>
      </w:r>
      <w:r>
        <w:t>e</w:t>
      </w:r>
      <w:r w:rsidR="00E10D0E" w:rsidRPr="00E10D0E">
        <w:t xml:space="preserve"> date</w:t>
      </w:r>
      <w:r>
        <w:t>. After that,</w:t>
      </w:r>
      <w:r w:rsidR="00E10D0E" w:rsidRPr="00E10D0E">
        <w:t xml:space="preserve"> </w:t>
      </w:r>
      <w:r>
        <w:t>the holdings are allowed to drift with realized asset returns until the next monthly rebalance</w:t>
      </w:r>
      <w:r w:rsidR="00E10D0E" w:rsidRPr="00E10D0E">
        <w:t xml:space="preserve">. </w:t>
      </w:r>
      <w:r w:rsidR="00EB320A">
        <w:t>Equity</w:t>
      </w:r>
      <w:r w:rsidR="00E10D0E" w:rsidRPr="00E10D0E">
        <w:t xml:space="preserve"> and </w:t>
      </w:r>
      <w:r w:rsidR="00EC6803">
        <w:t>combined</w:t>
      </w:r>
      <w:r w:rsidR="00E10D0E" w:rsidRPr="00E10D0E">
        <w:t xml:space="preserve"> funds use 252 observations and trading days per year, while cryptocurrency funds follow their original seven-day calendar and use 365 observations per year.</w:t>
      </w:r>
    </w:p>
    <w:p w14:paraId="50E8131D" w14:textId="3A4D6BCA" w:rsidR="002E2401" w:rsidRDefault="0047546B" w:rsidP="002E2401">
      <w:r>
        <w:t>Within the equity family</w:t>
      </w:r>
      <w:r w:rsidR="00E10D0E" w:rsidRPr="00E10D0E">
        <w:t xml:space="preserve">, </w:t>
      </w:r>
      <w:r>
        <w:t>Equal Weight has the highest realised</w:t>
      </w:r>
      <w:r w:rsidR="00E10D0E" w:rsidRPr="00E10D0E">
        <w:t xml:space="preserve"> Sharpe ratio at 0.819. </w:t>
      </w:r>
      <w:r w:rsidR="00EB320A">
        <w:t>Crypto M</w:t>
      </w:r>
      <w:r w:rsidR="00E10D0E" w:rsidRPr="00E10D0E">
        <w:t xml:space="preserve">inimum </w:t>
      </w:r>
      <w:r w:rsidR="00EB320A">
        <w:t>V</w:t>
      </w:r>
      <w:r w:rsidR="00E10D0E" w:rsidRPr="00E10D0E">
        <w:t xml:space="preserve">ariance </w:t>
      </w:r>
      <w:r w:rsidR="00EB320A">
        <w:t>has the highest Sharpe ratio within the  crypto family at</w:t>
      </w:r>
      <w:r w:rsidR="00E10D0E" w:rsidRPr="00E10D0E">
        <w:t xml:space="preserve"> 1.075, but this result is not low risk in the absolute sense: the </w:t>
      </w:r>
      <w:r w:rsidR="006550A9">
        <w:t>annualise</w:t>
      </w:r>
      <w:r w:rsidR="00E10D0E" w:rsidRPr="00E10D0E">
        <w:t xml:space="preserve">d volatility is 76.9%, and the maximum </w:t>
      </w:r>
      <w:r w:rsidR="006550A9">
        <w:t>drawdown</w:t>
      </w:r>
      <w:r w:rsidR="00E10D0E" w:rsidRPr="00E10D0E">
        <w:t xml:space="preserve"> is -72.8%. </w:t>
      </w:r>
      <w:r>
        <w:t>Combined Risk Parity has the highest Sharpe ratio within the combined family, at 0.888, with a 14.39% annualised return and 16.20% volatility. So, I think return should be considered together with</w:t>
      </w:r>
      <w:r w:rsidR="00E10D0E" w:rsidRPr="00E10D0E">
        <w:t xml:space="preserve"> volatility and </w:t>
      </w:r>
      <w:r w:rsidR="006550A9">
        <w:t>drawdown</w:t>
      </w:r>
      <w:r w:rsidR="00E10D0E" w:rsidRPr="00E10D0E">
        <w:t xml:space="preserve">, rather than ranking funds </w:t>
      </w:r>
      <w:r>
        <w:t>only by historical return.</w:t>
      </w:r>
    </w:p>
    <w:p w14:paraId="723217F3" w14:textId="2134D77F" w:rsidR="002E2401" w:rsidRDefault="006550A9" w:rsidP="002E2401">
      <w:r>
        <w:t>Sentiment</w:t>
      </w:r>
      <w:r w:rsidR="00E10D0E" w:rsidRPr="00E10D0E">
        <w:t xml:space="preserve"> results are more </w:t>
      </w:r>
      <w:r w:rsidR="0047546B">
        <w:t>mixed</w:t>
      </w:r>
      <w:r w:rsidR="00E10D0E" w:rsidRPr="00E10D0E">
        <w:t xml:space="preserve">. VADER provides a transparent description of the tone of </w:t>
      </w:r>
      <w:r>
        <w:t>sector</w:t>
      </w:r>
      <w:r w:rsidR="0035706F">
        <w:t xml:space="preserve"> </w:t>
      </w:r>
      <w:r w:rsidR="00E10D0E" w:rsidRPr="00E10D0E">
        <w:t xml:space="preserve">news, but adding the signal to </w:t>
      </w:r>
      <w:r>
        <w:t>Risk Parity</w:t>
      </w:r>
      <w:r w:rsidR="00E10D0E" w:rsidRPr="00E10D0E">
        <w:t xml:space="preserve"> has not improved the </w:t>
      </w:r>
      <w:r w:rsidR="00EB320A">
        <w:t xml:space="preserve">out-of-sample </w:t>
      </w:r>
      <w:r w:rsidR="00E10D0E" w:rsidRPr="00E10D0E">
        <w:t xml:space="preserve">Sharpe ratio. The </w:t>
      </w:r>
      <w:r>
        <w:t>coverage-adjusted</w:t>
      </w:r>
      <w:r w:rsidR="00E10D0E" w:rsidRPr="00E10D0E">
        <w:t xml:space="preserve"> version performs better than </w:t>
      </w:r>
      <w:r w:rsidR="0000251F">
        <w:t>the naive</w:t>
      </w:r>
      <w:r w:rsidR="00E10D0E" w:rsidRPr="00E10D0E">
        <w:t xml:space="preserve"> </w:t>
      </w:r>
      <w:r>
        <w:t>sentiment</w:t>
      </w:r>
      <w:r w:rsidR="00E10D0E" w:rsidRPr="00E10D0E">
        <w:t xml:space="preserve"> tilt strategy and produces less </w:t>
      </w:r>
      <w:r>
        <w:t>turnover</w:t>
      </w:r>
      <w:r w:rsidR="00E10D0E" w:rsidRPr="00E10D0E">
        <w:t>, but it is still lower than the benchmark level based on price alone. Therefore, I regard coverage adjustment as a way to reduce the impact of under</w:t>
      </w:r>
      <w:r w:rsidR="00EC6803">
        <w:t>-</w:t>
      </w:r>
      <w:r w:rsidR="00E10D0E" w:rsidRPr="00E10D0E">
        <w:t xml:space="preserve">representative news, rather than evidence that </w:t>
      </w:r>
      <w:r>
        <w:t>sentiment</w:t>
      </w:r>
      <w:r w:rsidR="00E10D0E" w:rsidRPr="00E10D0E">
        <w:t xml:space="preserve"> signals can create excess returns</w:t>
      </w:r>
      <w:r w:rsidR="002E2401">
        <w:t>.</w:t>
      </w:r>
    </w:p>
    <w:p w14:paraId="06CDAC02" w14:textId="6AB883E8" w:rsidR="002E2401" w:rsidRDefault="00E10D0E" w:rsidP="002E2401">
      <w:r w:rsidRPr="00E10D0E">
        <w:t xml:space="preserve">The Streamlit application transforms these results into a simple investor journey: compare fund product lines, open fund data tables, test historical fund allocations, and </w:t>
      </w:r>
      <w:r w:rsidR="0085490B">
        <w:t>explore the</w:t>
      </w:r>
      <w:r w:rsidRPr="00E10D0E">
        <w:t xml:space="preserve"> </w:t>
      </w:r>
      <w:r w:rsidR="006550A9">
        <w:t>sentiment</w:t>
      </w:r>
      <w:r w:rsidRPr="00E10D0E">
        <w:t xml:space="preserve"> experiment. </w:t>
      </w:r>
      <w:r w:rsidR="0085490B">
        <w:t>Combined Risk Parity is a reasonable diversified reference portfolio in this prototype because it has the strongest risk-adjusted result within the combined family.</w:t>
      </w:r>
      <w:r w:rsidR="0085490B" w:rsidRPr="0085490B">
        <w:t xml:space="preserve"> </w:t>
      </w:r>
      <w:r w:rsidR="0085490B">
        <w:t>This does not mean it will always outperform the other funds</w:t>
      </w:r>
      <w:r w:rsidRPr="00E10D0E">
        <w:t xml:space="preserve">. The </w:t>
      </w:r>
      <w:r w:rsidR="006550A9">
        <w:t>sentiment</w:t>
      </w:r>
      <w:r w:rsidRPr="00E10D0E">
        <w:t xml:space="preserve"> analysis function is still in the experimental stage. Before supporting investors' decision-making, real products also need to be checked for suitability, more accurate cost </w:t>
      </w:r>
      <w:r w:rsidR="006550A9">
        <w:t>modelling</w:t>
      </w:r>
      <w:r w:rsidRPr="00E10D0E">
        <w:t xml:space="preserve"> and </w:t>
      </w:r>
      <w:r w:rsidR="0000251F">
        <w:t>live</w:t>
      </w:r>
      <w:r w:rsidR="00E26FFF">
        <w:t>-</w:t>
      </w:r>
      <w:r w:rsidRPr="00E10D0E">
        <w:t>forward monitoring</w:t>
      </w:r>
      <w:r w:rsidR="002E2401">
        <w:t>.</w:t>
      </w:r>
    </w:p>
    <w:p w14:paraId="1B4C7D67" w14:textId="55C381C0" w:rsidR="002E2401" w:rsidRDefault="00E10D0E" w:rsidP="002E2401">
      <w:r w:rsidRPr="00E10D0E">
        <w:t xml:space="preserve">The evidence covers daily </w:t>
      </w:r>
      <w:r w:rsidR="0085490B">
        <w:t xml:space="preserve">walk-forward OOS </w:t>
      </w:r>
      <w:r w:rsidRPr="00E10D0E">
        <w:t xml:space="preserve">results from January 2021 to December 2023. The comparison of major funds assumes that the risk-free interest rate is 0% and </w:t>
      </w:r>
      <w:r w:rsidR="00EB320A">
        <w:t>the main fund comparison assumes 0 bps transaction costs. Turnover is still reported, and the fusion experiment also includes a 10 bps cost robustness check.</w:t>
      </w:r>
      <w:r w:rsidRPr="00E10D0E">
        <w:t xml:space="preserve"> These choices make prototypes easy to compare, but also limit the scope of promotion of historical results</w:t>
      </w:r>
      <w:r w:rsidR="002E2401">
        <w:t>.</w:t>
      </w:r>
    </w:p>
    <w:p w14:paraId="236E2F95" w14:textId="77777777" w:rsidR="002E2401" w:rsidRDefault="002E2401" w:rsidP="002E2401">
      <w:pPr>
        <w:pStyle w:val="Heading1"/>
      </w:pPr>
      <w:r>
        <w:lastRenderedPageBreak/>
        <w:t>1. Fund design and walk-forward testing</w:t>
      </w:r>
    </w:p>
    <w:p w14:paraId="55242219" w14:textId="388BF453" w:rsidR="002E2401" w:rsidRDefault="00E10D0E" w:rsidP="002E2401">
      <w:r w:rsidRPr="00E10D0E">
        <w:t xml:space="preserve">Part B uses the </w:t>
      </w:r>
      <w:r w:rsidR="0085490B">
        <w:t>cleaned</w:t>
      </w:r>
      <w:r w:rsidRPr="00E10D0E">
        <w:t xml:space="preserve"> equity, crypto and </w:t>
      </w:r>
      <w:r w:rsidR="0085490B">
        <w:t xml:space="preserve">headline data prepared earlier </w:t>
      </w:r>
      <w:r w:rsidRPr="00E10D0E">
        <w:t>to build a series of fund prototypes. The purpose is to compare the performance of different portfolio rules in the face of the same investment environment,</w:t>
      </w:r>
      <w:r w:rsidR="0085490B">
        <w:t xml:space="preserve"> rather than treating one optimi</w:t>
      </w:r>
      <w:r w:rsidR="0035706F">
        <w:t>s</w:t>
      </w:r>
      <w:r w:rsidR="0085490B">
        <w:t>er as automatically correct</w:t>
      </w:r>
      <w:r w:rsidRPr="00E10D0E">
        <w:t xml:space="preserve">. The final product includes twelve funds: </w:t>
      </w:r>
      <w:r w:rsidR="006550A9">
        <w:t>equity-only</w:t>
      </w:r>
      <w:r w:rsidRPr="00E10D0E">
        <w:t xml:space="preserve">, </w:t>
      </w:r>
      <w:r w:rsidR="006550A9">
        <w:t>crypto-only</w:t>
      </w:r>
      <w:r w:rsidRPr="00E10D0E">
        <w:t xml:space="preserve"> and </w:t>
      </w:r>
      <w:r w:rsidR="0000251F">
        <w:t xml:space="preserve">combined </w:t>
      </w:r>
      <w:r w:rsidRPr="00E10D0E">
        <w:t>equity</w:t>
      </w:r>
      <w:r w:rsidR="0000251F">
        <w:t>-</w:t>
      </w:r>
      <w:r w:rsidRPr="00E10D0E">
        <w:t>crypt</w:t>
      </w:r>
      <w:r w:rsidR="0000251F">
        <w:t>o</w:t>
      </w:r>
      <w:r w:rsidR="006550A9">
        <w:t xml:space="preserve"> fund</w:t>
      </w:r>
      <w:r w:rsidRPr="00E10D0E">
        <w:t xml:space="preserve">s. Each </w:t>
      </w:r>
      <w:r w:rsidR="00EB320A">
        <w:t>asset family contains four funds constructed using Equal Weight,</w:t>
      </w:r>
      <w:r w:rsidRPr="00E10D0E">
        <w:t xml:space="preserve"> </w:t>
      </w:r>
      <w:r w:rsidR="00EB320A">
        <w:t>M</w:t>
      </w:r>
      <w:r w:rsidRPr="00E10D0E">
        <w:t xml:space="preserve">inimum </w:t>
      </w:r>
      <w:r w:rsidR="00EB320A">
        <w:t>V</w:t>
      </w:r>
      <w:r w:rsidRPr="00E10D0E">
        <w:t xml:space="preserve">ariance, </w:t>
      </w:r>
      <w:r w:rsidR="00EB320A">
        <w:t>M</w:t>
      </w:r>
      <w:r w:rsidRPr="00E10D0E">
        <w:t xml:space="preserve">aximum Sharpe ratio and </w:t>
      </w:r>
      <w:r w:rsidR="006550A9">
        <w:t>Risk Parity</w:t>
      </w:r>
      <w:r w:rsidR="002E2401">
        <w:t>.</w:t>
      </w:r>
    </w:p>
    <w:p w14:paraId="663CF10C" w14:textId="7FF8FCF1" w:rsidR="002E2401" w:rsidRDefault="00E10D0E" w:rsidP="002E2401">
      <w:r w:rsidRPr="00E10D0E">
        <w:t xml:space="preserve">These four methods rely on different information. The equal weighting method is the simplest benchmark, and does not use the estimated mean or covariance. The minimum variance method uses the covariance matrix to seek the lowest estimated portfolio variance. The maximum Sharpe ratio method also uses the estimated mean rate of return, so its weight depends more on the estimated value of the historical rate of return. </w:t>
      </w:r>
      <w:r w:rsidR="006550A9">
        <w:t>Risk Parity</w:t>
      </w:r>
      <w:r w:rsidRPr="00E10D0E">
        <w:t xml:space="preserve"> focuses on the contribution of each asset to portfolio risk. These differences make it possible to produce different asset allocations and different out-of-sample performance even if the underlying assets are the same</w:t>
      </w:r>
      <w:r w:rsidR="002E2401">
        <w:t xml:space="preserve"> (Markowitz 1952; Maillard, Roncalli &amp; Teiletche 2010).</w:t>
      </w:r>
    </w:p>
    <w:p w14:paraId="6AEBC5C4" w14:textId="77777777" w:rsidR="00523ED0" w:rsidRDefault="00000000">
      <w:pPr>
        <w:keepLines/>
        <w:spacing w:before="80" w:after="160"/>
        <w:jc w:val="center"/>
      </w:pPr>
      <w:r>
        <w:rPr>
          <w:rFonts w:ascii="Cambria Math" w:hAnsi="Cambria Math"/>
          <w:i/>
          <w:color w:val="0B2545"/>
        </w:rPr>
        <w:t>Minimum Variance:   min_w  w' Sigma w</w:t>
      </w:r>
    </w:p>
    <w:p w14:paraId="720EEDEE" w14:textId="77777777" w:rsidR="00523ED0" w:rsidRDefault="00000000">
      <w:pPr>
        <w:keepLines/>
        <w:spacing w:before="80" w:after="160"/>
        <w:jc w:val="center"/>
      </w:pPr>
      <w:r>
        <w:rPr>
          <w:rFonts w:ascii="Cambria Math" w:hAnsi="Cambria Math"/>
          <w:i/>
          <w:color w:val="0B2545"/>
        </w:rPr>
        <w:t>Maximum Sharpe:   max_w  [w'(mu - r_f)] / sqrt(w' Sigma w)</w:t>
      </w:r>
    </w:p>
    <w:p w14:paraId="41CABBB9" w14:textId="77777777" w:rsidR="00523ED0" w:rsidRDefault="00000000">
      <w:pPr>
        <w:keepLines/>
        <w:spacing w:before="80" w:after="160"/>
        <w:jc w:val="center"/>
      </w:pPr>
      <w:r>
        <w:rPr>
          <w:rFonts w:ascii="Cambria Math" w:hAnsi="Cambria Math"/>
          <w:i/>
          <w:color w:val="0B2545"/>
        </w:rPr>
        <w:t>Risk contribution:   RC_i = w_i (Sigma w)_i / (w' Sigma w)</w:t>
      </w:r>
    </w:p>
    <w:p w14:paraId="2A27AEB4" w14:textId="0B424A94" w:rsidR="002E2401" w:rsidRDefault="00E10D0E" w:rsidP="002E2401">
      <w:r w:rsidRPr="00E10D0E">
        <w:t xml:space="preserve">Portfolio performance is evaluated </w:t>
      </w:r>
      <w:r w:rsidR="0085490B">
        <w:t>using a monthly fixed-window walk-forward OOS backtest</w:t>
      </w:r>
      <w:r w:rsidRPr="00E10D0E">
        <w:t xml:space="preserve">. On the first available date of each month, each model will generate a new target weight based on the estimation window before rebalancing. Subsequently, the portfolio holds these target weights and allows the weights to drift with the actual asset return until the next rebalancing. This schedule </w:t>
      </w:r>
      <w:r w:rsidR="0085490B">
        <w:t xml:space="preserve">prevents </w:t>
      </w:r>
      <w:r w:rsidRPr="00E10D0E">
        <w:t xml:space="preserve">future information </w:t>
      </w:r>
      <w:r w:rsidR="0000251F">
        <w:t xml:space="preserve">from </w:t>
      </w:r>
      <w:r w:rsidRPr="00E10D0E">
        <w:t>affecting decision-making and also avoid</w:t>
      </w:r>
      <w:r w:rsidR="0000251F">
        <w:t>s</w:t>
      </w:r>
      <w:r w:rsidRPr="00E10D0E">
        <w:t xml:space="preserve"> the assumption of daily rebalancing. All portfolios are long-</w:t>
      </w:r>
      <w:r w:rsidR="0085490B">
        <w:t>only</w:t>
      </w:r>
      <w:r w:rsidRPr="00E10D0E">
        <w:t xml:space="preserve"> and fully invested. </w:t>
      </w:r>
      <w:r w:rsidR="0085490B">
        <w:t>Equity and combined portfolios have a 10% maximum individual asset weight. Crypto-only portfolios use a 25% individual asset cap, while combined funds also have a 20% aggregate crypto-sleeve cap</w:t>
      </w:r>
      <w:r w:rsidRPr="00E10D0E">
        <w:t xml:space="preserve">. These </w:t>
      </w:r>
      <w:r w:rsidR="0085490B">
        <w:t xml:space="preserve">constraints reduce extreme </w:t>
      </w:r>
      <w:r w:rsidRPr="00E10D0E">
        <w:t>concentration</w:t>
      </w:r>
      <w:r w:rsidR="0085490B">
        <w:t>, although they do not remove estimat</w:t>
      </w:r>
      <w:r w:rsidR="00EB320A">
        <w:t>ion</w:t>
      </w:r>
      <w:r w:rsidRPr="00E10D0E">
        <w:t xml:space="preserve"> risk</w:t>
      </w:r>
      <w:r w:rsidR="0085490B">
        <w:t xml:space="preserve"> from </w:t>
      </w:r>
      <w:r w:rsidRPr="00E10D0E">
        <w:t xml:space="preserve">the </w:t>
      </w:r>
      <w:r w:rsidR="006550A9">
        <w:t>optimisation</w:t>
      </w:r>
      <w:r w:rsidRPr="00E10D0E">
        <w:t xml:space="preserve"> process</w:t>
      </w:r>
      <w:r w:rsidR="002E2401">
        <w:t>.</w:t>
      </w:r>
    </w:p>
    <w:p w14:paraId="552DB6CF" w14:textId="77777777" w:rsidR="00523ED0" w:rsidRDefault="00000000">
      <w:pPr>
        <w:pStyle w:val="Caption"/>
      </w:pPr>
      <w:r>
        <w:t>Table 1. Walk-forward design by asset family. Windows and annualisation use observations on each family's stated calendar.</w:t>
      </w:r>
    </w:p>
    <w:tbl>
      <w:tblPr>
        <w:tblStyle w:val="TableGrid"/>
        <w:tblW w:w="9360" w:type="dxa"/>
        <w:tblInd w:w="12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200"/>
        <w:gridCol w:w="900"/>
        <w:gridCol w:w="1050"/>
        <w:gridCol w:w="1050"/>
        <w:gridCol w:w="2760"/>
        <w:gridCol w:w="2400"/>
      </w:tblGrid>
      <w:tr w:rsidR="00523ED0" w14:paraId="73750A16" w14:textId="77777777">
        <w:trPr>
          <w:tblHeader/>
        </w:trPr>
        <w:tc>
          <w:tcPr>
            <w:tcW w:w="1200" w:type="dxa"/>
            <w:shd w:val="clear" w:color="auto" w:fill="E8EEF5"/>
            <w:tcMar>
              <w:top w:w="80" w:type="dxa"/>
              <w:left w:w="120" w:type="dxa"/>
              <w:bottom w:w="80" w:type="dxa"/>
              <w:right w:w="120" w:type="dxa"/>
            </w:tcMar>
            <w:vAlign w:val="center"/>
          </w:tcPr>
          <w:p w14:paraId="55CB1251" w14:textId="77777777" w:rsidR="00523ED0" w:rsidRDefault="00000000">
            <w:pPr>
              <w:spacing w:after="0"/>
              <w:jc w:val="center"/>
            </w:pPr>
            <w:r>
              <w:rPr>
                <w:b/>
                <w:color w:val="0B2545"/>
                <w:sz w:val="18"/>
              </w:rPr>
              <w:t>Family</w:t>
            </w:r>
          </w:p>
        </w:tc>
        <w:tc>
          <w:tcPr>
            <w:tcW w:w="900" w:type="dxa"/>
            <w:shd w:val="clear" w:color="auto" w:fill="E8EEF5"/>
            <w:tcMar>
              <w:top w:w="80" w:type="dxa"/>
              <w:left w:w="120" w:type="dxa"/>
              <w:bottom w:w="80" w:type="dxa"/>
              <w:right w:w="120" w:type="dxa"/>
            </w:tcMar>
            <w:vAlign w:val="center"/>
          </w:tcPr>
          <w:p w14:paraId="6A8A9593" w14:textId="77777777" w:rsidR="00523ED0" w:rsidRDefault="00000000">
            <w:pPr>
              <w:spacing w:after="0"/>
              <w:jc w:val="center"/>
            </w:pPr>
            <w:r>
              <w:rPr>
                <w:b/>
                <w:color w:val="0B2545"/>
                <w:sz w:val="18"/>
              </w:rPr>
              <w:t>Assets</w:t>
            </w:r>
          </w:p>
        </w:tc>
        <w:tc>
          <w:tcPr>
            <w:tcW w:w="1050" w:type="dxa"/>
            <w:shd w:val="clear" w:color="auto" w:fill="E8EEF5"/>
            <w:tcMar>
              <w:top w:w="80" w:type="dxa"/>
              <w:left w:w="120" w:type="dxa"/>
              <w:bottom w:w="80" w:type="dxa"/>
              <w:right w:w="120" w:type="dxa"/>
            </w:tcMar>
            <w:vAlign w:val="center"/>
          </w:tcPr>
          <w:p w14:paraId="619914AC" w14:textId="77777777" w:rsidR="00523ED0" w:rsidRDefault="00000000">
            <w:pPr>
              <w:spacing w:after="0"/>
              <w:jc w:val="center"/>
            </w:pPr>
            <w:r>
              <w:rPr>
                <w:b/>
                <w:color w:val="0B2545"/>
                <w:sz w:val="18"/>
              </w:rPr>
              <w:t>Window</w:t>
            </w:r>
          </w:p>
        </w:tc>
        <w:tc>
          <w:tcPr>
            <w:tcW w:w="1050" w:type="dxa"/>
            <w:shd w:val="clear" w:color="auto" w:fill="E8EEF5"/>
            <w:tcMar>
              <w:top w:w="80" w:type="dxa"/>
              <w:left w:w="120" w:type="dxa"/>
              <w:bottom w:w="80" w:type="dxa"/>
              <w:right w:w="120" w:type="dxa"/>
            </w:tcMar>
            <w:vAlign w:val="center"/>
          </w:tcPr>
          <w:p w14:paraId="48BAF662" w14:textId="77777777" w:rsidR="00523ED0" w:rsidRDefault="00000000">
            <w:pPr>
              <w:spacing w:after="0"/>
              <w:jc w:val="center"/>
            </w:pPr>
            <w:r>
              <w:rPr>
                <w:b/>
                <w:color w:val="0B2545"/>
                <w:sz w:val="18"/>
              </w:rPr>
              <w:t>Periods/year</w:t>
            </w:r>
          </w:p>
        </w:tc>
        <w:tc>
          <w:tcPr>
            <w:tcW w:w="2760" w:type="dxa"/>
            <w:shd w:val="clear" w:color="auto" w:fill="E8EEF5"/>
            <w:tcMar>
              <w:top w:w="80" w:type="dxa"/>
              <w:left w:w="120" w:type="dxa"/>
              <w:bottom w:w="80" w:type="dxa"/>
              <w:right w:w="120" w:type="dxa"/>
            </w:tcMar>
            <w:vAlign w:val="center"/>
          </w:tcPr>
          <w:p w14:paraId="478AD6A8" w14:textId="77777777" w:rsidR="00523ED0" w:rsidRDefault="00000000">
            <w:pPr>
              <w:spacing w:after="0"/>
              <w:jc w:val="center"/>
            </w:pPr>
            <w:r>
              <w:rPr>
                <w:b/>
                <w:color w:val="0B2545"/>
                <w:sz w:val="18"/>
              </w:rPr>
              <w:t>Live OOS period</w:t>
            </w:r>
          </w:p>
        </w:tc>
        <w:tc>
          <w:tcPr>
            <w:tcW w:w="2400" w:type="dxa"/>
            <w:shd w:val="clear" w:color="auto" w:fill="E8EEF5"/>
            <w:tcMar>
              <w:top w:w="80" w:type="dxa"/>
              <w:left w:w="120" w:type="dxa"/>
              <w:bottom w:w="80" w:type="dxa"/>
              <w:right w:w="120" w:type="dxa"/>
            </w:tcMar>
            <w:vAlign w:val="center"/>
          </w:tcPr>
          <w:p w14:paraId="3459C8B1" w14:textId="77777777" w:rsidR="00523ED0" w:rsidRDefault="00000000">
            <w:pPr>
              <w:spacing w:after="0"/>
              <w:jc w:val="center"/>
            </w:pPr>
            <w:r>
              <w:rPr>
                <w:b/>
                <w:color w:val="0B2545"/>
                <w:sz w:val="18"/>
              </w:rPr>
              <w:t>Weight cap</w:t>
            </w:r>
          </w:p>
        </w:tc>
      </w:tr>
      <w:tr w:rsidR="00523ED0" w14:paraId="6C455BBA" w14:textId="77777777">
        <w:tc>
          <w:tcPr>
            <w:tcW w:w="1200" w:type="dxa"/>
            <w:tcMar>
              <w:top w:w="80" w:type="dxa"/>
              <w:left w:w="120" w:type="dxa"/>
              <w:bottom w:w="80" w:type="dxa"/>
              <w:right w:w="120" w:type="dxa"/>
            </w:tcMar>
            <w:vAlign w:val="center"/>
          </w:tcPr>
          <w:p w14:paraId="6C10DB63" w14:textId="77777777" w:rsidR="00523ED0" w:rsidRDefault="00000000">
            <w:pPr>
              <w:spacing w:after="0" w:line="252" w:lineRule="auto"/>
            </w:pPr>
            <w:r>
              <w:rPr>
                <w:sz w:val="17"/>
              </w:rPr>
              <w:t>Equity</w:t>
            </w:r>
          </w:p>
        </w:tc>
        <w:tc>
          <w:tcPr>
            <w:tcW w:w="900" w:type="dxa"/>
            <w:tcMar>
              <w:top w:w="80" w:type="dxa"/>
              <w:left w:w="120" w:type="dxa"/>
              <w:bottom w:w="80" w:type="dxa"/>
              <w:right w:w="120" w:type="dxa"/>
            </w:tcMar>
            <w:vAlign w:val="center"/>
          </w:tcPr>
          <w:p w14:paraId="5DBD464C" w14:textId="77777777" w:rsidR="00523ED0" w:rsidRDefault="00000000">
            <w:pPr>
              <w:spacing w:after="0" w:line="252" w:lineRule="auto"/>
              <w:jc w:val="center"/>
            </w:pPr>
            <w:r>
              <w:rPr>
                <w:sz w:val="17"/>
              </w:rPr>
              <w:t>50</w:t>
            </w:r>
          </w:p>
        </w:tc>
        <w:tc>
          <w:tcPr>
            <w:tcW w:w="1050" w:type="dxa"/>
            <w:tcMar>
              <w:top w:w="80" w:type="dxa"/>
              <w:left w:w="120" w:type="dxa"/>
              <w:bottom w:w="80" w:type="dxa"/>
              <w:right w:w="120" w:type="dxa"/>
            </w:tcMar>
            <w:vAlign w:val="center"/>
          </w:tcPr>
          <w:p w14:paraId="413EA9A6" w14:textId="77777777" w:rsidR="00523ED0" w:rsidRDefault="00000000">
            <w:pPr>
              <w:spacing w:after="0" w:line="252" w:lineRule="auto"/>
              <w:jc w:val="center"/>
            </w:pPr>
            <w:r>
              <w:rPr>
                <w:sz w:val="17"/>
              </w:rPr>
              <w:t>252</w:t>
            </w:r>
          </w:p>
        </w:tc>
        <w:tc>
          <w:tcPr>
            <w:tcW w:w="1050" w:type="dxa"/>
            <w:tcMar>
              <w:top w:w="80" w:type="dxa"/>
              <w:left w:w="120" w:type="dxa"/>
              <w:bottom w:w="80" w:type="dxa"/>
              <w:right w:w="120" w:type="dxa"/>
            </w:tcMar>
            <w:vAlign w:val="center"/>
          </w:tcPr>
          <w:p w14:paraId="1BFF2F8E" w14:textId="77777777" w:rsidR="00523ED0" w:rsidRDefault="00000000">
            <w:pPr>
              <w:spacing w:after="0" w:line="252" w:lineRule="auto"/>
              <w:jc w:val="center"/>
            </w:pPr>
            <w:r>
              <w:rPr>
                <w:sz w:val="17"/>
              </w:rPr>
              <w:t>252</w:t>
            </w:r>
          </w:p>
        </w:tc>
        <w:tc>
          <w:tcPr>
            <w:tcW w:w="2760" w:type="dxa"/>
            <w:tcMar>
              <w:top w:w="80" w:type="dxa"/>
              <w:left w:w="120" w:type="dxa"/>
              <w:bottom w:w="80" w:type="dxa"/>
              <w:right w:w="120" w:type="dxa"/>
            </w:tcMar>
            <w:vAlign w:val="center"/>
          </w:tcPr>
          <w:p w14:paraId="27D023CB" w14:textId="77777777" w:rsidR="00523ED0" w:rsidRDefault="00000000">
            <w:pPr>
              <w:spacing w:after="0" w:line="252" w:lineRule="auto"/>
            </w:pPr>
            <w:r>
              <w:rPr>
                <w:sz w:val="17"/>
              </w:rPr>
              <w:t>2021-01-04 to 2023-12-29</w:t>
            </w:r>
          </w:p>
        </w:tc>
        <w:tc>
          <w:tcPr>
            <w:tcW w:w="2400" w:type="dxa"/>
            <w:tcMar>
              <w:top w:w="80" w:type="dxa"/>
              <w:left w:w="120" w:type="dxa"/>
              <w:bottom w:w="80" w:type="dxa"/>
              <w:right w:w="120" w:type="dxa"/>
            </w:tcMar>
            <w:vAlign w:val="center"/>
          </w:tcPr>
          <w:p w14:paraId="76F9E7FA" w14:textId="77777777" w:rsidR="00523ED0" w:rsidRDefault="00000000">
            <w:pPr>
              <w:spacing w:after="0" w:line="252" w:lineRule="auto"/>
            </w:pPr>
            <w:r>
              <w:rPr>
                <w:sz w:val="17"/>
              </w:rPr>
              <w:t>10%</w:t>
            </w:r>
          </w:p>
        </w:tc>
      </w:tr>
      <w:tr w:rsidR="00523ED0" w14:paraId="4037577E" w14:textId="77777777">
        <w:tc>
          <w:tcPr>
            <w:tcW w:w="1200" w:type="dxa"/>
            <w:shd w:val="clear" w:color="auto" w:fill="FAFBFC"/>
            <w:tcMar>
              <w:top w:w="80" w:type="dxa"/>
              <w:left w:w="120" w:type="dxa"/>
              <w:bottom w:w="80" w:type="dxa"/>
              <w:right w:w="120" w:type="dxa"/>
            </w:tcMar>
            <w:vAlign w:val="center"/>
          </w:tcPr>
          <w:p w14:paraId="3BDCDCCA" w14:textId="77777777" w:rsidR="00523ED0" w:rsidRDefault="00000000">
            <w:pPr>
              <w:spacing w:after="0" w:line="252" w:lineRule="auto"/>
            </w:pPr>
            <w:r>
              <w:rPr>
                <w:sz w:val="17"/>
              </w:rPr>
              <w:t>Crypto</w:t>
            </w:r>
          </w:p>
        </w:tc>
        <w:tc>
          <w:tcPr>
            <w:tcW w:w="900" w:type="dxa"/>
            <w:shd w:val="clear" w:color="auto" w:fill="FAFBFC"/>
            <w:tcMar>
              <w:top w:w="80" w:type="dxa"/>
              <w:left w:w="120" w:type="dxa"/>
              <w:bottom w:w="80" w:type="dxa"/>
              <w:right w:w="120" w:type="dxa"/>
            </w:tcMar>
            <w:vAlign w:val="center"/>
          </w:tcPr>
          <w:p w14:paraId="230F12B7" w14:textId="77777777" w:rsidR="00523ED0" w:rsidRDefault="00000000">
            <w:pPr>
              <w:spacing w:after="0" w:line="252" w:lineRule="auto"/>
              <w:jc w:val="center"/>
            </w:pPr>
            <w:r>
              <w:rPr>
                <w:sz w:val="17"/>
              </w:rPr>
              <w:t>10</w:t>
            </w:r>
          </w:p>
        </w:tc>
        <w:tc>
          <w:tcPr>
            <w:tcW w:w="1050" w:type="dxa"/>
            <w:shd w:val="clear" w:color="auto" w:fill="FAFBFC"/>
            <w:tcMar>
              <w:top w:w="80" w:type="dxa"/>
              <w:left w:w="120" w:type="dxa"/>
              <w:bottom w:w="80" w:type="dxa"/>
              <w:right w:w="120" w:type="dxa"/>
            </w:tcMar>
            <w:vAlign w:val="center"/>
          </w:tcPr>
          <w:p w14:paraId="144DCE73" w14:textId="77777777" w:rsidR="00523ED0" w:rsidRDefault="00000000">
            <w:pPr>
              <w:spacing w:after="0" w:line="252" w:lineRule="auto"/>
              <w:jc w:val="center"/>
            </w:pPr>
            <w:r>
              <w:rPr>
                <w:sz w:val="17"/>
              </w:rPr>
              <w:t>365</w:t>
            </w:r>
          </w:p>
        </w:tc>
        <w:tc>
          <w:tcPr>
            <w:tcW w:w="1050" w:type="dxa"/>
            <w:shd w:val="clear" w:color="auto" w:fill="FAFBFC"/>
            <w:tcMar>
              <w:top w:w="80" w:type="dxa"/>
              <w:left w:w="120" w:type="dxa"/>
              <w:bottom w:w="80" w:type="dxa"/>
              <w:right w:w="120" w:type="dxa"/>
            </w:tcMar>
            <w:vAlign w:val="center"/>
          </w:tcPr>
          <w:p w14:paraId="07F5CEB3" w14:textId="77777777" w:rsidR="00523ED0" w:rsidRDefault="00000000">
            <w:pPr>
              <w:spacing w:after="0" w:line="252" w:lineRule="auto"/>
              <w:jc w:val="center"/>
            </w:pPr>
            <w:r>
              <w:rPr>
                <w:sz w:val="17"/>
              </w:rPr>
              <w:t>365</w:t>
            </w:r>
          </w:p>
        </w:tc>
        <w:tc>
          <w:tcPr>
            <w:tcW w:w="2760" w:type="dxa"/>
            <w:shd w:val="clear" w:color="auto" w:fill="FAFBFC"/>
            <w:tcMar>
              <w:top w:w="80" w:type="dxa"/>
              <w:left w:w="120" w:type="dxa"/>
              <w:bottom w:w="80" w:type="dxa"/>
              <w:right w:w="120" w:type="dxa"/>
            </w:tcMar>
            <w:vAlign w:val="center"/>
          </w:tcPr>
          <w:p w14:paraId="7C074FFD" w14:textId="77777777" w:rsidR="00523ED0" w:rsidRDefault="00000000">
            <w:pPr>
              <w:spacing w:after="0" w:line="252" w:lineRule="auto"/>
            </w:pPr>
            <w:r>
              <w:rPr>
                <w:sz w:val="17"/>
              </w:rPr>
              <w:t>2021-01-01 to 2023-12-31</w:t>
            </w:r>
          </w:p>
        </w:tc>
        <w:tc>
          <w:tcPr>
            <w:tcW w:w="2400" w:type="dxa"/>
            <w:shd w:val="clear" w:color="auto" w:fill="FAFBFC"/>
            <w:tcMar>
              <w:top w:w="80" w:type="dxa"/>
              <w:left w:w="120" w:type="dxa"/>
              <w:bottom w:w="80" w:type="dxa"/>
              <w:right w:w="120" w:type="dxa"/>
            </w:tcMar>
            <w:vAlign w:val="center"/>
          </w:tcPr>
          <w:p w14:paraId="3F948822" w14:textId="77777777" w:rsidR="00523ED0" w:rsidRDefault="00000000">
            <w:pPr>
              <w:spacing w:after="0" w:line="252" w:lineRule="auto"/>
            </w:pPr>
            <w:r>
              <w:rPr>
                <w:sz w:val="17"/>
              </w:rPr>
              <w:t>25%</w:t>
            </w:r>
          </w:p>
        </w:tc>
      </w:tr>
      <w:tr w:rsidR="00523ED0" w14:paraId="18532D69" w14:textId="77777777">
        <w:tc>
          <w:tcPr>
            <w:tcW w:w="1200" w:type="dxa"/>
            <w:tcMar>
              <w:top w:w="80" w:type="dxa"/>
              <w:left w:w="120" w:type="dxa"/>
              <w:bottom w:w="80" w:type="dxa"/>
              <w:right w:w="120" w:type="dxa"/>
            </w:tcMar>
            <w:vAlign w:val="center"/>
          </w:tcPr>
          <w:p w14:paraId="26246021" w14:textId="77777777" w:rsidR="00523ED0" w:rsidRDefault="00000000">
            <w:pPr>
              <w:spacing w:after="0" w:line="252" w:lineRule="auto"/>
            </w:pPr>
            <w:r>
              <w:rPr>
                <w:sz w:val="17"/>
              </w:rPr>
              <w:t>Combined</w:t>
            </w:r>
          </w:p>
        </w:tc>
        <w:tc>
          <w:tcPr>
            <w:tcW w:w="900" w:type="dxa"/>
            <w:tcMar>
              <w:top w:w="80" w:type="dxa"/>
              <w:left w:w="120" w:type="dxa"/>
              <w:bottom w:w="80" w:type="dxa"/>
              <w:right w:w="120" w:type="dxa"/>
            </w:tcMar>
            <w:vAlign w:val="center"/>
          </w:tcPr>
          <w:p w14:paraId="5C88A648" w14:textId="77777777" w:rsidR="00523ED0" w:rsidRDefault="00000000">
            <w:pPr>
              <w:spacing w:after="0" w:line="252" w:lineRule="auto"/>
              <w:jc w:val="center"/>
            </w:pPr>
            <w:r>
              <w:rPr>
                <w:sz w:val="17"/>
              </w:rPr>
              <w:t>60</w:t>
            </w:r>
          </w:p>
        </w:tc>
        <w:tc>
          <w:tcPr>
            <w:tcW w:w="1050" w:type="dxa"/>
            <w:tcMar>
              <w:top w:w="80" w:type="dxa"/>
              <w:left w:w="120" w:type="dxa"/>
              <w:bottom w:w="80" w:type="dxa"/>
              <w:right w:w="120" w:type="dxa"/>
            </w:tcMar>
            <w:vAlign w:val="center"/>
          </w:tcPr>
          <w:p w14:paraId="015FFF43" w14:textId="77777777" w:rsidR="00523ED0" w:rsidRDefault="00000000">
            <w:pPr>
              <w:spacing w:after="0" w:line="252" w:lineRule="auto"/>
              <w:jc w:val="center"/>
            </w:pPr>
            <w:r>
              <w:rPr>
                <w:sz w:val="17"/>
              </w:rPr>
              <w:t>252</w:t>
            </w:r>
          </w:p>
        </w:tc>
        <w:tc>
          <w:tcPr>
            <w:tcW w:w="1050" w:type="dxa"/>
            <w:tcMar>
              <w:top w:w="80" w:type="dxa"/>
              <w:left w:w="120" w:type="dxa"/>
              <w:bottom w:w="80" w:type="dxa"/>
              <w:right w:w="120" w:type="dxa"/>
            </w:tcMar>
            <w:vAlign w:val="center"/>
          </w:tcPr>
          <w:p w14:paraId="5AD05E6B" w14:textId="77777777" w:rsidR="00523ED0" w:rsidRDefault="00000000">
            <w:pPr>
              <w:spacing w:after="0" w:line="252" w:lineRule="auto"/>
              <w:jc w:val="center"/>
            </w:pPr>
            <w:r>
              <w:rPr>
                <w:sz w:val="17"/>
              </w:rPr>
              <w:t>252</w:t>
            </w:r>
          </w:p>
        </w:tc>
        <w:tc>
          <w:tcPr>
            <w:tcW w:w="2760" w:type="dxa"/>
            <w:tcMar>
              <w:top w:w="80" w:type="dxa"/>
              <w:left w:w="120" w:type="dxa"/>
              <w:bottom w:w="80" w:type="dxa"/>
              <w:right w:w="120" w:type="dxa"/>
            </w:tcMar>
            <w:vAlign w:val="center"/>
          </w:tcPr>
          <w:p w14:paraId="06C307BE" w14:textId="77777777" w:rsidR="00523ED0" w:rsidRDefault="00000000">
            <w:pPr>
              <w:spacing w:after="0" w:line="252" w:lineRule="auto"/>
            </w:pPr>
            <w:r>
              <w:rPr>
                <w:sz w:val="17"/>
              </w:rPr>
              <w:t>2021-01-04 to 2023-12-29</w:t>
            </w:r>
          </w:p>
        </w:tc>
        <w:tc>
          <w:tcPr>
            <w:tcW w:w="2400" w:type="dxa"/>
            <w:tcMar>
              <w:top w:w="80" w:type="dxa"/>
              <w:left w:w="120" w:type="dxa"/>
              <w:bottom w:w="80" w:type="dxa"/>
              <w:right w:w="120" w:type="dxa"/>
            </w:tcMar>
            <w:vAlign w:val="center"/>
          </w:tcPr>
          <w:p w14:paraId="030CACF0" w14:textId="77777777" w:rsidR="00523ED0" w:rsidRDefault="00000000">
            <w:pPr>
              <w:spacing w:after="0" w:line="252" w:lineRule="auto"/>
            </w:pPr>
            <w:r>
              <w:rPr>
                <w:sz w:val="17"/>
              </w:rPr>
              <w:t>10%; crypto sleeve 20%</w:t>
            </w:r>
          </w:p>
        </w:tc>
      </w:tr>
    </w:tbl>
    <w:p w14:paraId="4A01CDCB" w14:textId="77777777" w:rsidR="00523ED0" w:rsidRDefault="00523ED0">
      <w:pPr>
        <w:spacing w:after="40"/>
      </w:pPr>
    </w:p>
    <w:p w14:paraId="4240BB83" w14:textId="77777777" w:rsidR="00523ED0" w:rsidRDefault="00000000">
      <w:pPr>
        <w:spacing w:before="80" w:after="80"/>
      </w:pPr>
      <w:r>
        <w:rPr>
          <w:i/>
          <w:color w:val="5E6978"/>
          <w:sz w:val="17"/>
        </w:rPr>
        <w:t>Source: Author calculations from results/tables/backtest_design.csv; price inputs supplied through the course data-access helper.</w:t>
      </w:r>
    </w:p>
    <w:p w14:paraId="12041AD1" w14:textId="02BA46DF" w:rsidR="002E2401" w:rsidRDefault="00E10D0E" w:rsidP="002E2401">
      <w:r w:rsidRPr="00E10D0E">
        <w:t xml:space="preserve">Calendar processing is also very important. Equity and </w:t>
      </w:r>
      <w:r w:rsidR="0000251F">
        <w:t>combined</w:t>
      </w:r>
      <w:r w:rsidRPr="00E10D0E">
        <w:t xml:space="preserve"> portfolios follow the U.S. stock trading calendar and use 252 trading days per year; while </w:t>
      </w:r>
      <w:r w:rsidR="006550A9">
        <w:t>crypto-only</w:t>
      </w:r>
      <w:r w:rsidRPr="00E10D0E">
        <w:t xml:space="preserve"> funds retain all seven days and use 365 trading days. For the combin</w:t>
      </w:r>
      <w:r w:rsidR="0000251F">
        <w:t>ed</w:t>
      </w:r>
      <w:r w:rsidRPr="00E10D0E">
        <w:t xml:space="preserve"> universe, crypto</w:t>
      </w:r>
      <w:r w:rsidR="0085490B">
        <w:t xml:space="preserve"> returns are first</w:t>
      </w:r>
      <w:r w:rsidRPr="00E10D0E">
        <w:t xml:space="preserve"> calculated based on the </w:t>
      </w:r>
      <w:r w:rsidR="0085490B">
        <w:t xml:space="preserve">native </w:t>
      </w:r>
      <w:r w:rsidR="0000251F">
        <w:t>seven-</w:t>
      </w:r>
      <w:r w:rsidR="0085490B">
        <w:lastRenderedPageBreak/>
        <w:t xml:space="preserve">day calendar and are only then </w:t>
      </w:r>
      <w:r w:rsidRPr="00E10D0E">
        <w:t>align</w:t>
      </w:r>
      <w:r w:rsidR="0085490B">
        <w:t>ed</w:t>
      </w:r>
      <w:r w:rsidRPr="00E10D0E">
        <w:t xml:space="preserve"> </w:t>
      </w:r>
      <w:r w:rsidR="0085490B">
        <w:t>to</w:t>
      </w:r>
      <w:r w:rsidRPr="00E10D0E">
        <w:t xml:space="preserve"> the equity </w:t>
      </w:r>
      <w:r w:rsidR="00A73C54">
        <w:t xml:space="preserve">trading </w:t>
      </w:r>
      <w:r w:rsidRPr="00E10D0E">
        <w:t xml:space="preserve">date. </w:t>
      </w:r>
      <w:r w:rsidR="0085490B">
        <w:t>If weekends were removed before calculating crypto returns, several days of crypto price movement would be combined into a single Monday return</w:t>
      </w:r>
      <w:r w:rsidRPr="00E10D0E">
        <w:t xml:space="preserve">. In this project, the Sharpe ratio is reported with an annual risk-free interest rate of 0% as a </w:t>
      </w:r>
      <w:r w:rsidR="006550A9">
        <w:t>modelling</w:t>
      </w:r>
      <w:r w:rsidRPr="00E10D0E">
        <w:t xml:space="preserve"> hypothesis (Sharpe 1966)</w:t>
      </w:r>
      <w:r w:rsidR="002E2401">
        <w:t>.</w:t>
      </w:r>
    </w:p>
    <w:p w14:paraId="42857DD8" w14:textId="77777777" w:rsidR="002E2401" w:rsidRDefault="002E2401" w:rsidP="002E2401">
      <w:pPr>
        <w:pStyle w:val="Heading1"/>
      </w:pPr>
      <w:r>
        <w:t>2. Portfolio results differ by asset family</w:t>
      </w:r>
    </w:p>
    <w:p w14:paraId="1639B0F8" w14:textId="3304147F" w:rsidR="002E2401" w:rsidRDefault="00A73C54" w:rsidP="002E2401">
      <w:r>
        <w:t>Within the equity family</w:t>
      </w:r>
      <w:r w:rsidR="00E10D0E" w:rsidRPr="00E10D0E">
        <w:t xml:space="preserve">, the equal weighted strategy has achieved the highest </w:t>
      </w:r>
      <w:r w:rsidR="0035706F">
        <w:t>out-</w:t>
      </w:r>
      <w:r w:rsidR="00E10D0E" w:rsidRPr="00E10D0E">
        <w:t xml:space="preserve">of-sample Sharpe ratio of 0.819, with an </w:t>
      </w:r>
      <w:r w:rsidR="006550A9">
        <w:t>annualise</w:t>
      </w:r>
      <w:r w:rsidR="00E10D0E" w:rsidRPr="00E10D0E">
        <w:t xml:space="preserve">d return of 13.21% and a volatility of 16.12%. This result is important because </w:t>
      </w:r>
      <w:r>
        <w:t xml:space="preserve">in this sample, </w:t>
      </w:r>
      <w:r w:rsidR="00E10D0E" w:rsidRPr="00E10D0E">
        <w:t xml:space="preserve">the simplest strategy </w:t>
      </w:r>
      <w:r>
        <w:t>produced a higher realised risk-adjusted return than the three optimi</w:t>
      </w:r>
      <w:r w:rsidR="0035706F">
        <w:t>s</w:t>
      </w:r>
      <w:r>
        <w:t>ation methods.</w:t>
      </w:r>
      <w:r w:rsidR="00E10D0E" w:rsidRPr="00E10D0E">
        <w:t xml:space="preserve"> The </w:t>
      </w:r>
      <w:r w:rsidR="006550A9">
        <w:t>Risk Parity</w:t>
      </w:r>
      <w:r w:rsidR="00E10D0E" w:rsidRPr="00E10D0E">
        <w:t xml:space="preserve"> strategy reduced the volatility to 14.53%, with a maximum </w:t>
      </w:r>
      <w:r w:rsidR="006550A9">
        <w:t>drawdown</w:t>
      </w:r>
      <w:r w:rsidR="00E10D0E" w:rsidRPr="00E10D0E">
        <w:t xml:space="preserve"> of -18.49%, but its </w:t>
      </w:r>
      <w:r w:rsidR="006550A9">
        <w:t>annualise</w:t>
      </w:r>
      <w:r w:rsidR="00E10D0E" w:rsidRPr="00E10D0E">
        <w:t xml:space="preserve">d return was only 10.51%, resulting in the Sharpe ratio of only 0.723. A reasonable explanation is that the equal weighting strategy is less sensitive to estimated errors because it does not depend on the estimated expected rate of return. </w:t>
      </w:r>
      <w:r>
        <w:t>This does not mean that optimisation is useless. Instead, it shows that a more complex model does not necessarily lead to better OOS performance</w:t>
      </w:r>
      <w:r w:rsidR="002E2401">
        <w:t>.</w:t>
      </w:r>
    </w:p>
    <w:p w14:paraId="3E46EA58" w14:textId="2240E6D5" w:rsidR="002E2401" w:rsidRDefault="00E10D0E" w:rsidP="002E2401">
      <w:r w:rsidRPr="00E10D0E">
        <w:t>Crypto need</w:t>
      </w:r>
      <w:r w:rsidR="0000251F">
        <w:t>s</w:t>
      </w:r>
      <w:r w:rsidRPr="00E10D0E">
        <w:t xml:space="preserve"> to be evaluated </w:t>
      </w:r>
      <w:r w:rsidR="00EB320A">
        <w:t>on</w:t>
      </w:r>
      <w:r w:rsidR="00A73C54">
        <w:t xml:space="preserve"> a</w:t>
      </w:r>
      <w:r w:rsidRPr="00E10D0E">
        <w:t xml:space="preserve"> different risk </w:t>
      </w:r>
      <w:r w:rsidR="00A73C54">
        <w:t>scale</w:t>
      </w:r>
      <w:r w:rsidRPr="00E10D0E">
        <w:t xml:space="preserve">. The </w:t>
      </w:r>
      <w:r w:rsidR="006550A9">
        <w:t>annualise</w:t>
      </w:r>
      <w:r w:rsidRPr="00E10D0E">
        <w:t xml:space="preserve">d arithmetic rate of return of Crypto Minimum Variance is 82.66%, the volatility rate is 76.91%, the </w:t>
      </w:r>
      <w:r w:rsidR="006550A9">
        <w:t>Sharpe ratio</w:t>
      </w:r>
      <w:r w:rsidRPr="00E10D0E">
        <w:t xml:space="preserve"> is 1.075, and the maximum </w:t>
      </w:r>
      <w:r w:rsidR="006550A9">
        <w:t>drawdown</w:t>
      </w:r>
      <w:r w:rsidRPr="00E10D0E">
        <w:t xml:space="preserve"> is -72.82%. The label </w:t>
      </w:r>
      <w:r w:rsidR="00A73C54">
        <w:t>“</w:t>
      </w:r>
      <w:r w:rsidRPr="00E10D0E">
        <w:t>minimum variance</w:t>
      </w:r>
      <w:r w:rsidR="00A73C54">
        <w:t>”</w:t>
      </w:r>
      <w:r w:rsidRPr="00E10D0E">
        <w:t xml:space="preserve"> only indicates that its variance is lower than that of other cryptocurrency portfolios in the </w:t>
      </w:r>
      <w:r w:rsidR="00A73C54">
        <w:t xml:space="preserve">crypto </w:t>
      </w:r>
      <w:r w:rsidR="006550A9">
        <w:t>opportunity set</w:t>
      </w:r>
      <w:r w:rsidRPr="00E10D0E">
        <w:t>, which is not a low-risk investment in the traditional sense. Crypto Equal Weight and Crypto Risk Parity also los</w:t>
      </w:r>
      <w:r w:rsidR="00A73C54">
        <w:t>t</w:t>
      </w:r>
      <w:r w:rsidRPr="00E10D0E">
        <w:t xml:space="preserve"> about four-fifths of the</w:t>
      </w:r>
      <w:r w:rsidR="00A73C54">
        <w:t>ir previous</w:t>
      </w:r>
      <w:r w:rsidRPr="00E10D0E">
        <w:t xml:space="preserve"> peak value </w:t>
      </w:r>
      <w:r w:rsidR="00A73C54">
        <w:t>at</w:t>
      </w:r>
      <w:r w:rsidRPr="00E10D0E">
        <w:t xml:space="preserve"> the worst </w:t>
      </w:r>
      <w:r w:rsidR="00A73C54">
        <w:t>point</w:t>
      </w:r>
      <w:r w:rsidRPr="00E10D0E">
        <w:t>, so the high growth path in the</w:t>
      </w:r>
      <w:r w:rsidR="0000251F">
        <w:t xml:space="preserve"> Exhibit</w:t>
      </w:r>
      <w:r w:rsidRPr="00E10D0E">
        <w:t xml:space="preserve"> A2 must be considered together with the </w:t>
      </w:r>
      <w:r w:rsidR="006550A9">
        <w:t>drawdown</w:t>
      </w:r>
      <w:r w:rsidRPr="00E10D0E">
        <w:t xml:space="preserve"> in the </w:t>
      </w:r>
      <w:r w:rsidR="0000251F">
        <w:t xml:space="preserve">Exhibit </w:t>
      </w:r>
      <w:r w:rsidRPr="00E10D0E">
        <w:t>A3</w:t>
      </w:r>
      <w:r w:rsidR="002E2401">
        <w:t>.</w:t>
      </w:r>
    </w:p>
    <w:p w14:paraId="46D5D6B5" w14:textId="77777777" w:rsidR="00523ED0" w:rsidRDefault="00000000">
      <w:pPr>
        <w:pStyle w:val="Caption"/>
      </w:pPr>
      <w:r>
        <w:t>Table 2. Highest realised out-of-sample Sharpe fund within each family, January 2021–December 2023.</w:t>
      </w:r>
    </w:p>
    <w:tbl>
      <w:tblPr>
        <w:tblStyle w:val="TableGrid"/>
        <w:tblW w:w="9360" w:type="dxa"/>
        <w:tblInd w:w="12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200"/>
        <w:gridCol w:w="2880"/>
        <w:gridCol w:w="1440"/>
        <w:gridCol w:w="1440"/>
        <w:gridCol w:w="1200"/>
        <w:gridCol w:w="1200"/>
      </w:tblGrid>
      <w:tr w:rsidR="00523ED0" w14:paraId="1C9C4475" w14:textId="77777777">
        <w:trPr>
          <w:tblHeader/>
        </w:trPr>
        <w:tc>
          <w:tcPr>
            <w:tcW w:w="1200" w:type="dxa"/>
            <w:shd w:val="clear" w:color="auto" w:fill="E8EEF5"/>
            <w:tcMar>
              <w:top w:w="80" w:type="dxa"/>
              <w:left w:w="120" w:type="dxa"/>
              <w:bottom w:w="80" w:type="dxa"/>
              <w:right w:w="120" w:type="dxa"/>
            </w:tcMar>
            <w:vAlign w:val="center"/>
          </w:tcPr>
          <w:p w14:paraId="149ABE90" w14:textId="77777777" w:rsidR="00523ED0" w:rsidRDefault="00000000">
            <w:pPr>
              <w:spacing w:after="0"/>
              <w:jc w:val="center"/>
            </w:pPr>
            <w:r>
              <w:rPr>
                <w:b/>
                <w:color w:val="0B2545"/>
                <w:sz w:val="18"/>
              </w:rPr>
              <w:t>Family</w:t>
            </w:r>
          </w:p>
        </w:tc>
        <w:tc>
          <w:tcPr>
            <w:tcW w:w="2880" w:type="dxa"/>
            <w:shd w:val="clear" w:color="auto" w:fill="E8EEF5"/>
            <w:tcMar>
              <w:top w:w="80" w:type="dxa"/>
              <w:left w:w="120" w:type="dxa"/>
              <w:bottom w:w="80" w:type="dxa"/>
              <w:right w:w="120" w:type="dxa"/>
            </w:tcMar>
            <w:vAlign w:val="center"/>
          </w:tcPr>
          <w:p w14:paraId="0F8D67DE" w14:textId="77777777" w:rsidR="00523ED0" w:rsidRDefault="00000000">
            <w:pPr>
              <w:spacing w:after="0"/>
              <w:jc w:val="center"/>
            </w:pPr>
            <w:r>
              <w:rPr>
                <w:b/>
                <w:color w:val="0B2545"/>
                <w:sz w:val="18"/>
              </w:rPr>
              <w:t>Fund</w:t>
            </w:r>
          </w:p>
        </w:tc>
        <w:tc>
          <w:tcPr>
            <w:tcW w:w="1440" w:type="dxa"/>
            <w:shd w:val="clear" w:color="auto" w:fill="E8EEF5"/>
            <w:tcMar>
              <w:top w:w="80" w:type="dxa"/>
              <w:left w:w="120" w:type="dxa"/>
              <w:bottom w:w="80" w:type="dxa"/>
              <w:right w:w="120" w:type="dxa"/>
            </w:tcMar>
            <w:vAlign w:val="center"/>
          </w:tcPr>
          <w:p w14:paraId="3ED6630D" w14:textId="77777777" w:rsidR="00523ED0" w:rsidRDefault="00000000">
            <w:pPr>
              <w:spacing w:after="0"/>
              <w:jc w:val="center"/>
            </w:pPr>
            <w:r>
              <w:rPr>
                <w:b/>
                <w:color w:val="0B2545"/>
                <w:sz w:val="18"/>
              </w:rPr>
              <w:t>Ann. return</w:t>
            </w:r>
          </w:p>
        </w:tc>
        <w:tc>
          <w:tcPr>
            <w:tcW w:w="1440" w:type="dxa"/>
            <w:shd w:val="clear" w:color="auto" w:fill="E8EEF5"/>
            <w:tcMar>
              <w:top w:w="80" w:type="dxa"/>
              <w:left w:w="120" w:type="dxa"/>
              <w:bottom w:w="80" w:type="dxa"/>
              <w:right w:w="120" w:type="dxa"/>
            </w:tcMar>
            <w:vAlign w:val="center"/>
          </w:tcPr>
          <w:p w14:paraId="41A2B46D" w14:textId="77777777" w:rsidR="00523ED0" w:rsidRDefault="00000000">
            <w:pPr>
              <w:spacing w:after="0"/>
              <w:jc w:val="center"/>
            </w:pPr>
            <w:r>
              <w:rPr>
                <w:b/>
                <w:color w:val="0B2545"/>
                <w:sz w:val="18"/>
              </w:rPr>
              <w:t>Ann. vol.</w:t>
            </w:r>
          </w:p>
        </w:tc>
        <w:tc>
          <w:tcPr>
            <w:tcW w:w="1200" w:type="dxa"/>
            <w:shd w:val="clear" w:color="auto" w:fill="E8EEF5"/>
            <w:tcMar>
              <w:top w:w="80" w:type="dxa"/>
              <w:left w:w="120" w:type="dxa"/>
              <w:bottom w:w="80" w:type="dxa"/>
              <w:right w:w="120" w:type="dxa"/>
            </w:tcMar>
            <w:vAlign w:val="center"/>
          </w:tcPr>
          <w:p w14:paraId="19F0971C" w14:textId="77777777" w:rsidR="00523ED0" w:rsidRDefault="00000000">
            <w:pPr>
              <w:spacing w:after="0"/>
              <w:jc w:val="center"/>
            </w:pPr>
            <w:r>
              <w:rPr>
                <w:b/>
                <w:color w:val="0B2545"/>
                <w:sz w:val="18"/>
              </w:rPr>
              <w:t>Sharpe</w:t>
            </w:r>
          </w:p>
        </w:tc>
        <w:tc>
          <w:tcPr>
            <w:tcW w:w="1200" w:type="dxa"/>
            <w:shd w:val="clear" w:color="auto" w:fill="E8EEF5"/>
            <w:tcMar>
              <w:top w:w="80" w:type="dxa"/>
              <w:left w:w="120" w:type="dxa"/>
              <w:bottom w:w="80" w:type="dxa"/>
              <w:right w:w="120" w:type="dxa"/>
            </w:tcMar>
            <w:vAlign w:val="center"/>
          </w:tcPr>
          <w:p w14:paraId="3DE1DB06" w14:textId="77777777" w:rsidR="00523ED0" w:rsidRDefault="00000000">
            <w:pPr>
              <w:spacing w:after="0"/>
              <w:jc w:val="center"/>
            </w:pPr>
            <w:r>
              <w:rPr>
                <w:b/>
                <w:color w:val="0B2545"/>
                <w:sz w:val="18"/>
              </w:rPr>
              <w:t>Max DD</w:t>
            </w:r>
          </w:p>
        </w:tc>
      </w:tr>
      <w:tr w:rsidR="00523ED0" w14:paraId="6702F5A8" w14:textId="77777777">
        <w:tc>
          <w:tcPr>
            <w:tcW w:w="1200" w:type="dxa"/>
            <w:tcMar>
              <w:top w:w="80" w:type="dxa"/>
              <w:left w:w="120" w:type="dxa"/>
              <w:bottom w:w="80" w:type="dxa"/>
              <w:right w:w="120" w:type="dxa"/>
            </w:tcMar>
            <w:vAlign w:val="center"/>
          </w:tcPr>
          <w:p w14:paraId="31FAF6B9" w14:textId="77777777" w:rsidR="00523ED0" w:rsidRDefault="00000000">
            <w:pPr>
              <w:spacing w:after="0" w:line="252" w:lineRule="auto"/>
            </w:pPr>
            <w:r>
              <w:rPr>
                <w:sz w:val="17"/>
              </w:rPr>
              <w:t>Equity</w:t>
            </w:r>
          </w:p>
        </w:tc>
        <w:tc>
          <w:tcPr>
            <w:tcW w:w="2880" w:type="dxa"/>
            <w:tcMar>
              <w:top w:w="80" w:type="dxa"/>
              <w:left w:w="120" w:type="dxa"/>
              <w:bottom w:w="80" w:type="dxa"/>
              <w:right w:w="120" w:type="dxa"/>
            </w:tcMar>
            <w:vAlign w:val="center"/>
          </w:tcPr>
          <w:p w14:paraId="03D7F638" w14:textId="77777777" w:rsidR="00523ED0" w:rsidRDefault="00000000">
            <w:pPr>
              <w:spacing w:after="0" w:line="252" w:lineRule="auto"/>
            </w:pPr>
            <w:r>
              <w:rPr>
                <w:sz w:val="17"/>
              </w:rPr>
              <w:t>Equity Equal Weight</w:t>
            </w:r>
          </w:p>
        </w:tc>
        <w:tc>
          <w:tcPr>
            <w:tcW w:w="1440" w:type="dxa"/>
            <w:tcMar>
              <w:top w:w="80" w:type="dxa"/>
              <w:left w:w="120" w:type="dxa"/>
              <w:bottom w:w="80" w:type="dxa"/>
              <w:right w:w="120" w:type="dxa"/>
            </w:tcMar>
            <w:vAlign w:val="center"/>
          </w:tcPr>
          <w:p w14:paraId="0F0D821C" w14:textId="77777777" w:rsidR="00523ED0" w:rsidRDefault="00000000">
            <w:pPr>
              <w:spacing w:after="0" w:line="252" w:lineRule="auto"/>
              <w:jc w:val="center"/>
            </w:pPr>
            <w:r>
              <w:rPr>
                <w:sz w:val="17"/>
              </w:rPr>
              <w:t>13.21%</w:t>
            </w:r>
          </w:p>
        </w:tc>
        <w:tc>
          <w:tcPr>
            <w:tcW w:w="1440" w:type="dxa"/>
            <w:tcMar>
              <w:top w:w="80" w:type="dxa"/>
              <w:left w:w="120" w:type="dxa"/>
              <w:bottom w:w="80" w:type="dxa"/>
              <w:right w:w="120" w:type="dxa"/>
            </w:tcMar>
            <w:vAlign w:val="center"/>
          </w:tcPr>
          <w:p w14:paraId="144535C1" w14:textId="77777777" w:rsidR="00523ED0" w:rsidRDefault="00000000">
            <w:pPr>
              <w:spacing w:after="0" w:line="252" w:lineRule="auto"/>
              <w:jc w:val="center"/>
            </w:pPr>
            <w:r>
              <w:rPr>
                <w:sz w:val="17"/>
              </w:rPr>
              <w:t>16.12%</w:t>
            </w:r>
          </w:p>
        </w:tc>
        <w:tc>
          <w:tcPr>
            <w:tcW w:w="1200" w:type="dxa"/>
            <w:tcMar>
              <w:top w:w="80" w:type="dxa"/>
              <w:left w:w="120" w:type="dxa"/>
              <w:bottom w:w="80" w:type="dxa"/>
              <w:right w:w="120" w:type="dxa"/>
            </w:tcMar>
            <w:vAlign w:val="center"/>
          </w:tcPr>
          <w:p w14:paraId="3E2BEED3" w14:textId="77777777" w:rsidR="00523ED0" w:rsidRDefault="00000000">
            <w:pPr>
              <w:spacing w:after="0" w:line="252" w:lineRule="auto"/>
              <w:jc w:val="center"/>
            </w:pPr>
            <w:r>
              <w:rPr>
                <w:sz w:val="17"/>
              </w:rPr>
              <w:t>0.819</w:t>
            </w:r>
          </w:p>
        </w:tc>
        <w:tc>
          <w:tcPr>
            <w:tcW w:w="1200" w:type="dxa"/>
            <w:tcMar>
              <w:top w:w="80" w:type="dxa"/>
              <w:left w:w="120" w:type="dxa"/>
              <w:bottom w:w="80" w:type="dxa"/>
              <w:right w:w="120" w:type="dxa"/>
            </w:tcMar>
            <w:vAlign w:val="center"/>
          </w:tcPr>
          <w:p w14:paraId="3675F9F5" w14:textId="77777777" w:rsidR="00523ED0" w:rsidRDefault="00000000">
            <w:pPr>
              <w:spacing w:after="0" w:line="252" w:lineRule="auto"/>
              <w:jc w:val="center"/>
            </w:pPr>
            <w:r>
              <w:rPr>
                <w:sz w:val="17"/>
              </w:rPr>
              <w:t>-20.25%</w:t>
            </w:r>
          </w:p>
        </w:tc>
      </w:tr>
      <w:tr w:rsidR="00523ED0" w14:paraId="74B0904E" w14:textId="77777777">
        <w:tc>
          <w:tcPr>
            <w:tcW w:w="1200" w:type="dxa"/>
            <w:shd w:val="clear" w:color="auto" w:fill="FAFBFC"/>
            <w:tcMar>
              <w:top w:w="80" w:type="dxa"/>
              <w:left w:w="120" w:type="dxa"/>
              <w:bottom w:w="80" w:type="dxa"/>
              <w:right w:w="120" w:type="dxa"/>
            </w:tcMar>
            <w:vAlign w:val="center"/>
          </w:tcPr>
          <w:p w14:paraId="77971D12" w14:textId="77777777" w:rsidR="00523ED0" w:rsidRDefault="00000000">
            <w:pPr>
              <w:spacing w:after="0" w:line="252" w:lineRule="auto"/>
            </w:pPr>
            <w:r>
              <w:rPr>
                <w:sz w:val="17"/>
              </w:rPr>
              <w:t>Crypto</w:t>
            </w:r>
          </w:p>
        </w:tc>
        <w:tc>
          <w:tcPr>
            <w:tcW w:w="2880" w:type="dxa"/>
            <w:shd w:val="clear" w:color="auto" w:fill="FAFBFC"/>
            <w:tcMar>
              <w:top w:w="80" w:type="dxa"/>
              <w:left w:w="120" w:type="dxa"/>
              <w:bottom w:w="80" w:type="dxa"/>
              <w:right w:w="120" w:type="dxa"/>
            </w:tcMar>
            <w:vAlign w:val="center"/>
          </w:tcPr>
          <w:p w14:paraId="7B434315" w14:textId="77777777" w:rsidR="00523ED0" w:rsidRDefault="00000000">
            <w:pPr>
              <w:spacing w:after="0" w:line="252" w:lineRule="auto"/>
            </w:pPr>
            <w:r>
              <w:rPr>
                <w:sz w:val="17"/>
              </w:rPr>
              <w:t>Crypto Minimum Variance</w:t>
            </w:r>
          </w:p>
        </w:tc>
        <w:tc>
          <w:tcPr>
            <w:tcW w:w="1440" w:type="dxa"/>
            <w:shd w:val="clear" w:color="auto" w:fill="FAFBFC"/>
            <w:tcMar>
              <w:top w:w="80" w:type="dxa"/>
              <w:left w:w="120" w:type="dxa"/>
              <w:bottom w:w="80" w:type="dxa"/>
              <w:right w:w="120" w:type="dxa"/>
            </w:tcMar>
            <w:vAlign w:val="center"/>
          </w:tcPr>
          <w:p w14:paraId="5E716D18" w14:textId="77777777" w:rsidR="00523ED0" w:rsidRDefault="00000000">
            <w:pPr>
              <w:spacing w:after="0" w:line="252" w:lineRule="auto"/>
              <w:jc w:val="center"/>
            </w:pPr>
            <w:r>
              <w:rPr>
                <w:sz w:val="17"/>
              </w:rPr>
              <w:t>82.66%</w:t>
            </w:r>
          </w:p>
        </w:tc>
        <w:tc>
          <w:tcPr>
            <w:tcW w:w="1440" w:type="dxa"/>
            <w:shd w:val="clear" w:color="auto" w:fill="FAFBFC"/>
            <w:tcMar>
              <w:top w:w="80" w:type="dxa"/>
              <w:left w:w="120" w:type="dxa"/>
              <w:bottom w:w="80" w:type="dxa"/>
              <w:right w:w="120" w:type="dxa"/>
            </w:tcMar>
            <w:vAlign w:val="center"/>
          </w:tcPr>
          <w:p w14:paraId="40732449" w14:textId="77777777" w:rsidR="00523ED0" w:rsidRDefault="00000000">
            <w:pPr>
              <w:spacing w:after="0" w:line="252" w:lineRule="auto"/>
              <w:jc w:val="center"/>
            </w:pPr>
            <w:r>
              <w:rPr>
                <w:sz w:val="17"/>
              </w:rPr>
              <w:t>76.91%</w:t>
            </w:r>
          </w:p>
        </w:tc>
        <w:tc>
          <w:tcPr>
            <w:tcW w:w="1200" w:type="dxa"/>
            <w:shd w:val="clear" w:color="auto" w:fill="FAFBFC"/>
            <w:tcMar>
              <w:top w:w="80" w:type="dxa"/>
              <w:left w:w="120" w:type="dxa"/>
              <w:bottom w:w="80" w:type="dxa"/>
              <w:right w:w="120" w:type="dxa"/>
            </w:tcMar>
            <w:vAlign w:val="center"/>
          </w:tcPr>
          <w:p w14:paraId="1C43D3F2" w14:textId="77777777" w:rsidR="00523ED0" w:rsidRDefault="00000000">
            <w:pPr>
              <w:spacing w:after="0" w:line="252" w:lineRule="auto"/>
              <w:jc w:val="center"/>
            </w:pPr>
            <w:r>
              <w:rPr>
                <w:sz w:val="17"/>
              </w:rPr>
              <w:t>1.075</w:t>
            </w:r>
          </w:p>
        </w:tc>
        <w:tc>
          <w:tcPr>
            <w:tcW w:w="1200" w:type="dxa"/>
            <w:shd w:val="clear" w:color="auto" w:fill="FAFBFC"/>
            <w:tcMar>
              <w:top w:w="80" w:type="dxa"/>
              <w:left w:w="120" w:type="dxa"/>
              <w:bottom w:w="80" w:type="dxa"/>
              <w:right w:w="120" w:type="dxa"/>
            </w:tcMar>
            <w:vAlign w:val="center"/>
          </w:tcPr>
          <w:p w14:paraId="7126B311" w14:textId="77777777" w:rsidR="00523ED0" w:rsidRDefault="00000000">
            <w:pPr>
              <w:spacing w:after="0" w:line="252" w:lineRule="auto"/>
              <w:jc w:val="center"/>
            </w:pPr>
            <w:r>
              <w:rPr>
                <w:sz w:val="17"/>
              </w:rPr>
              <w:t>-72.82%</w:t>
            </w:r>
          </w:p>
        </w:tc>
      </w:tr>
      <w:tr w:rsidR="00523ED0" w14:paraId="24BBD7DC" w14:textId="77777777">
        <w:tc>
          <w:tcPr>
            <w:tcW w:w="1200" w:type="dxa"/>
            <w:tcMar>
              <w:top w:w="80" w:type="dxa"/>
              <w:left w:w="120" w:type="dxa"/>
              <w:bottom w:w="80" w:type="dxa"/>
              <w:right w:w="120" w:type="dxa"/>
            </w:tcMar>
            <w:vAlign w:val="center"/>
          </w:tcPr>
          <w:p w14:paraId="349CE737" w14:textId="77777777" w:rsidR="00523ED0" w:rsidRDefault="00000000">
            <w:pPr>
              <w:spacing w:after="0" w:line="252" w:lineRule="auto"/>
            </w:pPr>
            <w:r>
              <w:rPr>
                <w:sz w:val="17"/>
              </w:rPr>
              <w:t>Combined</w:t>
            </w:r>
          </w:p>
        </w:tc>
        <w:tc>
          <w:tcPr>
            <w:tcW w:w="2880" w:type="dxa"/>
            <w:tcMar>
              <w:top w:w="80" w:type="dxa"/>
              <w:left w:w="120" w:type="dxa"/>
              <w:bottom w:w="80" w:type="dxa"/>
              <w:right w:w="120" w:type="dxa"/>
            </w:tcMar>
            <w:vAlign w:val="center"/>
          </w:tcPr>
          <w:p w14:paraId="025EEB99" w14:textId="77777777" w:rsidR="00523ED0" w:rsidRDefault="00000000">
            <w:pPr>
              <w:spacing w:after="0" w:line="252" w:lineRule="auto"/>
            </w:pPr>
            <w:r>
              <w:rPr>
                <w:sz w:val="17"/>
              </w:rPr>
              <w:t>Combined Risk Parity</w:t>
            </w:r>
          </w:p>
        </w:tc>
        <w:tc>
          <w:tcPr>
            <w:tcW w:w="1440" w:type="dxa"/>
            <w:tcMar>
              <w:top w:w="80" w:type="dxa"/>
              <w:left w:w="120" w:type="dxa"/>
              <w:bottom w:w="80" w:type="dxa"/>
              <w:right w:w="120" w:type="dxa"/>
            </w:tcMar>
            <w:vAlign w:val="center"/>
          </w:tcPr>
          <w:p w14:paraId="0E80EC0E" w14:textId="77777777" w:rsidR="00523ED0" w:rsidRDefault="00000000">
            <w:pPr>
              <w:spacing w:after="0" w:line="252" w:lineRule="auto"/>
              <w:jc w:val="center"/>
            </w:pPr>
            <w:r>
              <w:rPr>
                <w:sz w:val="17"/>
              </w:rPr>
              <w:t>14.39%</w:t>
            </w:r>
          </w:p>
        </w:tc>
        <w:tc>
          <w:tcPr>
            <w:tcW w:w="1440" w:type="dxa"/>
            <w:tcMar>
              <w:top w:w="80" w:type="dxa"/>
              <w:left w:w="120" w:type="dxa"/>
              <w:bottom w:w="80" w:type="dxa"/>
              <w:right w:w="120" w:type="dxa"/>
            </w:tcMar>
            <w:vAlign w:val="center"/>
          </w:tcPr>
          <w:p w14:paraId="02EC93A8" w14:textId="77777777" w:rsidR="00523ED0" w:rsidRDefault="00000000">
            <w:pPr>
              <w:spacing w:after="0" w:line="252" w:lineRule="auto"/>
              <w:jc w:val="center"/>
            </w:pPr>
            <w:r>
              <w:rPr>
                <w:sz w:val="17"/>
              </w:rPr>
              <w:t>16.20%</w:t>
            </w:r>
          </w:p>
        </w:tc>
        <w:tc>
          <w:tcPr>
            <w:tcW w:w="1200" w:type="dxa"/>
            <w:tcMar>
              <w:top w:w="80" w:type="dxa"/>
              <w:left w:w="120" w:type="dxa"/>
              <w:bottom w:w="80" w:type="dxa"/>
              <w:right w:w="120" w:type="dxa"/>
            </w:tcMar>
            <w:vAlign w:val="center"/>
          </w:tcPr>
          <w:p w14:paraId="48E951D9" w14:textId="77777777" w:rsidR="00523ED0" w:rsidRDefault="00000000">
            <w:pPr>
              <w:spacing w:after="0" w:line="252" w:lineRule="auto"/>
              <w:jc w:val="center"/>
            </w:pPr>
            <w:r>
              <w:rPr>
                <w:sz w:val="17"/>
              </w:rPr>
              <w:t>0.888</w:t>
            </w:r>
          </w:p>
        </w:tc>
        <w:tc>
          <w:tcPr>
            <w:tcW w:w="1200" w:type="dxa"/>
            <w:tcMar>
              <w:top w:w="80" w:type="dxa"/>
              <w:left w:w="120" w:type="dxa"/>
              <w:bottom w:w="80" w:type="dxa"/>
              <w:right w:w="120" w:type="dxa"/>
            </w:tcMar>
            <w:vAlign w:val="center"/>
          </w:tcPr>
          <w:p w14:paraId="39F5C60E" w14:textId="77777777" w:rsidR="00523ED0" w:rsidRDefault="00000000">
            <w:pPr>
              <w:spacing w:after="0" w:line="252" w:lineRule="auto"/>
              <w:jc w:val="center"/>
            </w:pPr>
            <w:r>
              <w:rPr>
                <w:sz w:val="17"/>
              </w:rPr>
              <w:t>-19.47%</w:t>
            </w:r>
          </w:p>
        </w:tc>
      </w:tr>
    </w:tbl>
    <w:p w14:paraId="5554E56B" w14:textId="77777777" w:rsidR="00523ED0" w:rsidRDefault="00523ED0">
      <w:pPr>
        <w:spacing w:after="40"/>
      </w:pPr>
    </w:p>
    <w:p w14:paraId="34F21330" w14:textId="77777777" w:rsidR="00523ED0" w:rsidRDefault="00000000">
      <w:pPr>
        <w:spacing w:before="80" w:after="80"/>
      </w:pPr>
      <w:r>
        <w:rPr>
          <w:i/>
          <w:color w:val="5E6978"/>
          <w:sz w:val="17"/>
        </w:rPr>
        <w:t>Source: Author calculations from results/tables/performance_metrics.csv. Arithmetic annualised returns; risk-free rate 0%; 252/365 annualisation by family.</w:t>
      </w:r>
    </w:p>
    <w:p w14:paraId="0F034627" w14:textId="037B3DDF" w:rsidR="002E2401" w:rsidRDefault="00A73C54" w:rsidP="002E2401">
      <w:r>
        <w:t>Within the combined equity–crypto family</w:t>
      </w:r>
      <w:r w:rsidR="00E10D0E" w:rsidRPr="00E10D0E">
        <w:t xml:space="preserve">, </w:t>
      </w:r>
      <w:r w:rsidR="006550A9">
        <w:t>Risk Parity</w:t>
      </w:r>
      <w:r w:rsidR="00E10D0E" w:rsidRPr="00E10D0E">
        <w:t xml:space="preserve"> </w:t>
      </w:r>
      <w:r>
        <w:t>produced</w:t>
      </w:r>
      <w:r w:rsidR="00E10D0E" w:rsidRPr="00E10D0E">
        <w:t xml:space="preserve"> the highest </w:t>
      </w:r>
      <w:r>
        <w:t>realised</w:t>
      </w:r>
      <w:r w:rsidR="00E10D0E" w:rsidRPr="00E10D0E">
        <w:t xml:space="preserve"> Sharpe ratio, </w:t>
      </w:r>
      <w:r>
        <w:t>at</w:t>
      </w:r>
      <w:r w:rsidR="00E10D0E" w:rsidRPr="00E10D0E">
        <w:t xml:space="preserve"> 0.888. Its </w:t>
      </w:r>
      <w:r w:rsidR="006550A9">
        <w:t>annualise</w:t>
      </w:r>
      <w:r w:rsidR="00E10D0E" w:rsidRPr="00E10D0E">
        <w:t xml:space="preserve">d rate of return is 14.39%, slightly lower than the 16.43% of the equal weight strategy, but the volatility is lower. The </w:t>
      </w:r>
      <w:r w:rsidR="006550A9">
        <w:t>annualise</w:t>
      </w:r>
      <w:r w:rsidR="00E10D0E" w:rsidRPr="00E10D0E">
        <w:t xml:space="preserve">d volatility is only 16.20%, while the equal weight strategy is 21.60%; the maximum </w:t>
      </w:r>
      <w:r w:rsidR="006550A9">
        <w:t>drawdown</w:t>
      </w:r>
      <w:r w:rsidR="00E10D0E" w:rsidRPr="00E10D0E">
        <w:t xml:space="preserve"> is also smaller, -19.47% and -27.87% respectively. The </w:t>
      </w:r>
      <w:r w:rsidR="00EB320A">
        <w:t>M</w:t>
      </w:r>
      <w:r w:rsidR="00E10D0E" w:rsidRPr="00E10D0E">
        <w:t xml:space="preserve">inimum </w:t>
      </w:r>
      <w:r w:rsidR="00EB320A">
        <w:t>V</w:t>
      </w:r>
      <w:r w:rsidR="00E10D0E" w:rsidRPr="00E10D0E">
        <w:t>ariance strategy further reduces volatility to 12.52%</w:t>
      </w:r>
      <w:r w:rsidR="00EB320A">
        <w:t>.</w:t>
      </w:r>
      <w:r w:rsidR="00E10D0E" w:rsidRPr="00E10D0E">
        <w:t xml:space="preserve"> </w:t>
      </w:r>
      <w:r w:rsidR="00EB320A">
        <w:t>I</w:t>
      </w:r>
      <w:r>
        <w:t>t also has the shallowest maximum drawdown</w:t>
      </w:r>
      <w:r w:rsidR="00E10D0E" w:rsidRPr="00E10D0E">
        <w:t xml:space="preserve">, which is -15.78%, but the </w:t>
      </w:r>
      <w:r w:rsidR="006550A9">
        <w:t>annualise</w:t>
      </w:r>
      <w:r w:rsidR="00E10D0E" w:rsidRPr="00E10D0E">
        <w:t xml:space="preserve">d rate of return drops to 6.48%. </w:t>
      </w:r>
      <w:r w:rsidRPr="00A73C54">
        <w:t>So there is no simple “best” fund based on one number. The choice depends on how much return, volatility and drawdown the investor is willing to accept</w:t>
      </w:r>
      <w:r w:rsidR="002E2401">
        <w:t>.</w:t>
      </w:r>
    </w:p>
    <w:p w14:paraId="0BA706AF" w14:textId="50265D11" w:rsidR="002E2401" w:rsidRDefault="00E10D0E" w:rsidP="002E2401">
      <w:pPr>
        <w:keepLines/>
        <w:pBdr>
          <w:left w:val="single" w:sz="18" w:space="8" w:color="B47825"/>
        </w:pBdr>
        <w:shd w:val="clear" w:color="auto" w:fill="FFF8E8"/>
        <w:spacing w:before="120" w:after="200"/>
        <w:ind w:left="173" w:right="115"/>
      </w:pPr>
      <w:r w:rsidRPr="00E10D0E">
        <w:rPr>
          <w:b/>
          <w:color w:val="0B2545"/>
        </w:rPr>
        <w:lastRenderedPageBreak/>
        <w:t>For th</w:t>
      </w:r>
      <w:r w:rsidR="00A73C54">
        <w:rPr>
          <w:b/>
          <w:color w:val="0B2545"/>
        </w:rPr>
        <w:t>is</w:t>
      </w:r>
      <w:r w:rsidRPr="00E10D0E">
        <w:rPr>
          <w:b/>
          <w:color w:val="0B2545"/>
        </w:rPr>
        <w:t xml:space="preserve"> prototype, I </w:t>
      </w:r>
      <w:r w:rsidR="00A73C54">
        <w:rPr>
          <w:b/>
          <w:color w:val="0B2545"/>
        </w:rPr>
        <w:t>would use C</w:t>
      </w:r>
      <w:r w:rsidRPr="00E10D0E">
        <w:rPr>
          <w:b/>
          <w:color w:val="0B2545"/>
        </w:rPr>
        <w:t>ombin</w:t>
      </w:r>
      <w:r w:rsidR="0035706F">
        <w:rPr>
          <w:b/>
          <w:color w:val="0B2545"/>
        </w:rPr>
        <w:t>ed</w:t>
      </w:r>
      <w:r w:rsidRPr="00E10D0E">
        <w:rPr>
          <w:b/>
          <w:color w:val="0B2545"/>
        </w:rPr>
        <w:t xml:space="preserve"> </w:t>
      </w:r>
      <w:r w:rsidR="006550A9">
        <w:rPr>
          <w:b/>
          <w:color w:val="0B2545"/>
        </w:rPr>
        <w:t>Risk Parity</w:t>
      </w:r>
      <w:r w:rsidRPr="00E10D0E">
        <w:rPr>
          <w:b/>
          <w:color w:val="0B2545"/>
        </w:rPr>
        <w:t xml:space="preserve"> as the main diversified reference portfolio. The reason is that it achieves a balance </w:t>
      </w:r>
      <w:r w:rsidR="00A73C54">
        <w:rPr>
          <w:b/>
          <w:color w:val="0B2545"/>
        </w:rPr>
        <w:t>between</w:t>
      </w:r>
      <w:r w:rsidRPr="00E10D0E">
        <w:rPr>
          <w:b/>
          <w:color w:val="0B2545"/>
        </w:rPr>
        <w:t xml:space="preserve"> </w:t>
      </w:r>
      <w:r w:rsidR="00A73C54">
        <w:rPr>
          <w:b/>
          <w:color w:val="0B2545"/>
        </w:rPr>
        <w:t>return</w:t>
      </w:r>
      <w:r w:rsidRPr="00E10D0E">
        <w:rPr>
          <w:b/>
          <w:color w:val="0B2545"/>
        </w:rPr>
        <w:t xml:space="preserve">, volatility and </w:t>
      </w:r>
      <w:r w:rsidR="00A73C54">
        <w:rPr>
          <w:b/>
          <w:color w:val="0B2545"/>
        </w:rPr>
        <w:t>drawdown</w:t>
      </w:r>
      <w:r w:rsidRPr="00E10D0E">
        <w:rPr>
          <w:b/>
          <w:color w:val="0B2545"/>
        </w:rPr>
        <w:t xml:space="preserve"> in the combin</w:t>
      </w:r>
      <w:r w:rsidR="0035706F">
        <w:rPr>
          <w:b/>
          <w:color w:val="0B2545"/>
        </w:rPr>
        <w:t>ed</w:t>
      </w:r>
      <w:r w:rsidRPr="00E10D0E">
        <w:rPr>
          <w:b/>
          <w:color w:val="0B2545"/>
        </w:rPr>
        <w:t xml:space="preserve"> family, not because it wins all indicators. It still fell by about one-fifth from the previous high, so the results should be presented in the form of a historical risk-adjusted comparison, rather than a commitment to future performance</w:t>
      </w:r>
      <w:r w:rsidR="002E2401">
        <w:rPr>
          <w:b/>
          <w:color w:val="0B2545"/>
        </w:rPr>
        <w:t>.</w:t>
      </w:r>
    </w:p>
    <w:p w14:paraId="21B82A1D" w14:textId="77777777" w:rsidR="002E2401" w:rsidRDefault="002E2401" w:rsidP="002E2401">
      <w:pPr>
        <w:pStyle w:val="Heading1"/>
      </w:pPr>
      <w:r>
        <w:t>3. Construction method changes risk, exposure and turnover</w:t>
      </w:r>
    </w:p>
    <w:p w14:paraId="31345967" w14:textId="4FF9FDD3" w:rsidR="002E2401" w:rsidRDefault="00A73C54" w:rsidP="002E2401">
      <w:r>
        <w:t xml:space="preserve">Exhibit A4 </w:t>
      </w:r>
      <w:r w:rsidR="00E10D0E" w:rsidRPr="00E10D0E">
        <w:t xml:space="preserve">helps explain why funds built with the same assets take different paths. </w:t>
      </w:r>
      <w:r>
        <w:t>Combined Equal Weight is mechanically stable because each of the 60 assets receives the same target weight</w:t>
      </w:r>
      <w:r w:rsidR="00E10D0E" w:rsidRPr="00E10D0E">
        <w:t xml:space="preserve">, so that the crypto </w:t>
      </w:r>
      <w:r w:rsidR="00EB320A">
        <w:t xml:space="preserve">sleeve </w:t>
      </w:r>
      <w:r w:rsidR="00E10D0E" w:rsidRPr="00E10D0E">
        <w:t>accounts for about 16.7%, which is lower than the upper limit of 20%. The combin</w:t>
      </w:r>
      <w:r w:rsidR="0035706F">
        <w:t>ed</w:t>
      </w:r>
      <w:r w:rsidR="00E10D0E" w:rsidRPr="00E10D0E">
        <w:t xml:space="preserve"> </w:t>
      </w:r>
      <w:r w:rsidR="006550A9">
        <w:t>Risk Parity</w:t>
      </w:r>
      <w:r w:rsidR="00E10D0E" w:rsidRPr="00E10D0E">
        <w:t xml:space="preserve"> strategy is also relatively stable. </w:t>
      </w:r>
      <w:r>
        <w:t>Healthcare is its largest average equity</w:t>
      </w:r>
      <w:r w:rsidR="0035706F">
        <w:t xml:space="preserve"> </w:t>
      </w:r>
      <w:r>
        <w:t>sector exposure at about 14.0%</w:t>
      </w:r>
      <w:r w:rsidR="00E10D0E" w:rsidRPr="00E10D0E">
        <w:t xml:space="preserve">, and the </w:t>
      </w:r>
      <w:r w:rsidR="006550A9">
        <w:t>annualise</w:t>
      </w:r>
      <w:r w:rsidR="00E10D0E" w:rsidRPr="00E10D0E">
        <w:t xml:space="preserve">d </w:t>
      </w:r>
      <w:r w:rsidR="006550A9">
        <w:t>turnover</w:t>
      </w:r>
      <w:r w:rsidR="00E10D0E" w:rsidRPr="00E10D0E">
        <w:t xml:space="preserve"> is 44.3%. This stability is very important because adjusting the target weight will generate trading activities, and </w:t>
      </w:r>
      <w:r>
        <w:t xml:space="preserve">the main fund </w:t>
      </w:r>
      <w:r w:rsidR="00EB320A">
        <w:t>comparison</w:t>
      </w:r>
      <w:r w:rsidR="00E10D0E" w:rsidRPr="00E10D0E">
        <w:t xml:space="preserve"> assume</w:t>
      </w:r>
      <w:r>
        <w:t>s</w:t>
      </w:r>
      <w:r w:rsidR="00E10D0E" w:rsidRPr="00E10D0E">
        <w:t xml:space="preserve"> zero transaction costs</w:t>
      </w:r>
      <w:r w:rsidR="002E2401">
        <w:t>.</w:t>
      </w:r>
    </w:p>
    <w:p w14:paraId="4056871B" w14:textId="18777269" w:rsidR="002E2401" w:rsidRDefault="00E10D0E" w:rsidP="002E2401">
      <w:r w:rsidRPr="00E10D0E">
        <w:t xml:space="preserve">Although the minimum variance strategy reduces overall volatility, it may still lead to concentrated </w:t>
      </w:r>
      <w:r w:rsidR="0000251F">
        <w:t xml:space="preserve">sector </w:t>
      </w:r>
      <w:r w:rsidRPr="00E10D0E">
        <w:t xml:space="preserve">exposure. In the comprehensive historical data, its largest average </w:t>
      </w:r>
      <w:r w:rsidR="006550A9">
        <w:t>sector</w:t>
      </w:r>
      <w:r w:rsidR="0035706F">
        <w:t xml:space="preserve"> </w:t>
      </w:r>
      <w:r w:rsidRPr="00E10D0E">
        <w:t xml:space="preserve">weights are </w:t>
      </w:r>
      <w:r w:rsidR="00A73C54">
        <w:t>H</w:t>
      </w:r>
      <w:r w:rsidRPr="00E10D0E">
        <w:t xml:space="preserve">ealthcare (27.8%), </w:t>
      </w:r>
      <w:r w:rsidR="00A73C54">
        <w:t>Consumer</w:t>
      </w:r>
      <w:r w:rsidRPr="00E10D0E">
        <w:t xml:space="preserve"> (18.6%) and </w:t>
      </w:r>
      <w:r w:rsidR="00A73C54">
        <w:t>C</w:t>
      </w:r>
      <w:r w:rsidRPr="00E10D0E">
        <w:t xml:space="preserve">ommunication </w:t>
      </w:r>
      <w:r w:rsidR="00A73C54">
        <w:t>S</w:t>
      </w:r>
      <w:r w:rsidRPr="00E10D0E">
        <w:t>ervices (17.9%). This is consistent with the model's goal of finding a low</w:t>
      </w:r>
      <w:r w:rsidR="0000251F">
        <w:t>-</w:t>
      </w:r>
      <w:r w:rsidRPr="00E10D0E">
        <w:t xml:space="preserve">covariance </w:t>
      </w:r>
      <w:r w:rsidR="0000251F">
        <w:t>portfolio</w:t>
      </w:r>
      <w:r w:rsidRPr="00E10D0E">
        <w:t xml:space="preserve"> under the set constraints, and also explains why a single risk indicator should not be used to describe a low-volatility portfolio. Therefore, the application shows the latest OOS </w:t>
      </w:r>
      <w:r w:rsidR="006550A9">
        <w:t>target weight</w:t>
      </w:r>
      <w:r w:rsidRPr="00E10D0E">
        <w:t xml:space="preserve">s as of December 1, 2023, including </w:t>
      </w:r>
      <w:r w:rsidR="006550A9">
        <w:t>sector</w:t>
      </w:r>
      <w:r w:rsidR="0035706F">
        <w:t xml:space="preserve"> </w:t>
      </w:r>
      <w:r w:rsidRPr="00E10D0E">
        <w:t xml:space="preserve">composition and cryptocurrency configuration, rather than </w:t>
      </w:r>
      <w:r w:rsidR="00E26FFF">
        <w:t>live holdings</w:t>
      </w:r>
      <w:r w:rsidR="002E2401">
        <w:t>.</w:t>
      </w:r>
    </w:p>
    <w:p w14:paraId="5289E39C" w14:textId="77DA1611" w:rsidR="002E2401" w:rsidRDefault="00E10D0E" w:rsidP="002E2401">
      <w:r w:rsidRPr="00E10D0E">
        <w:t xml:space="preserve">Maximum Sharpe is the least stable </w:t>
      </w:r>
      <w:r w:rsidR="00EB320A">
        <w:t>construction</w:t>
      </w:r>
      <w:r w:rsidR="00A73C54">
        <w:t xml:space="preserve"> method</w:t>
      </w:r>
      <w:r w:rsidRPr="00E10D0E">
        <w:t xml:space="preserve"> in the sample. It has not reached the highest real</w:t>
      </w:r>
      <w:r w:rsidR="0000251F">
        <w:t>ised</w:t>
      </w:r>
      <w:r w:rsidRPr="00E10D0E">
        <w:t xml:space="preserve"> Sharpe ratio in any family</w:t>
      </w:r>
      <w:r w:rsidR="00E26FFF">
        <w:t>.</w:t>
      </w:r>
      <w:r w:rsidRPr="00E10D0E">
        <w:t xml:space="preserve"> </w:t>
      </w:r>
      <w:r w:rsidR="00E26FFF">
        <w:t>A</w:t>
      </w:r>
      <w:r w:rsidR="006550A9">
        <w:t>nnualise</w:t>
      </w:r>
      <w:r w:rsidRPr="00E10D0E">
        <w:t xml:space="preserve">d turnover </w:t>
      </w:r>
      <w:r w:rsidR="00E26FFF">
        <w:t>for</w:t>
      </w:r>
      <w:r w:rsidRPr="00E10D0E">
        <w:t xml:space="preserve"> </w:t>
      </w:r>
      <w:r w:rsidR="0000251F">
        <w:t>equity</w:t>
      </w:r>
      <w:r w:rsidRPr="00E10D0E">
        <w:t xml:space="preserve"> </w:t>
      </w:r>
      <w:r w:rsidR="00E26FFF">
        <w:t xml:space="preserve">is </w:t>
      </w:r>
      <w:r w:rsidRPr="00E10D0E">
        <w:t xml:space="preserve">292.9%, the crypto is 236.4%, and the </w:t>
      </w:r>
      <w:r w:rsidR="006550A9">
        <w:t>combined fund</w:t>
      </w:r>
      <w:r w:rsidRPr="00E10D0E">
        <w:t xml:space="preserve"> is 299.9%. One possible reason is that it is difficult to estimate the expected rate of return reliably. Small changes in the historical average rate of return may lead to significant fluctuations in the tangen</w:t>
      </w:r>
      <w:r w:rsidR="0000251F">
        <w:t>cy</w:t>
      </w:r>
      <w:r w:rsidRPr="00E10D0E">
        <w:t xml:space="preserve"> portfolio, especially when assets are close to their weight limit. Therefore, </w:t>
      </w:r>
      <w:r w:rsidR="00A73C54">
        <w:t>the</w:t>
      </w:r>
      <w:r w:rsidRPr="00E10D0E">
        <w:t xml:space="preserve"> </w:t>
      </w:r>
      <w:r w:rsidR="006550A9">
        <w:t>optimisation</w:t>
      </w:r>
      <w:r w:rsidRPr="00E10D0E">
        <w:t xml:space="preserve"> </w:t>
      </w:r>
      <w:r w:rsidR="00A73C54">
        <w:t>can still be</w:t>
      </w:r>
      <w:r w:rsidRPr="00E10D0E">
        <w:t xml:space="preserve"> mathematically </w:t>
      </w:r>
      <w:r w:rsidR="00A73C54">
        <w:t>correct while</w:t>
      </w:r>
      <w:r w:rsidRPr="00E10D0E">
        <w:t xml:space="preserve"> the estimated input</w:t>
      </w:r>
      <w:r w:rsidR="00A73C54">
        <w:t>s</w:t>
      </w:r>
      <w:r w:rsidRPr="00E10D0E">
        <w:t xml:space="preserve"> </w:t>
      </w:r>
      <w:r w:rsidR="00A73C54">
        <w:t xml:space="preserve">remain </w:t>
      </w:r>
      <w:r w:rsidRPr="00E10D0E">
        <w:t>nois</w:t>
      </w:r>
      <w:r w:rsidR="00A73C54">
        <w:t>y</w:t>
      </w:r>
      <w:r w:rsidRPr="00E10D0E">
        <w:t>. For more realistic products, I suggest testing the mean shrinkage effect and turnover penalty mechanism before adopting this method</w:t>
      </w:r>
      <w:r w:rsidR="002E2401">
        <w:t>.</w:t>
      </w:r>
    </w:p>
    <w:p w14:paraId="0EEDB87C" w14:textId="7289E0DC" w:rsidR="002E2401" w:rsidRDefault="00E10D0E" w:rsidP="002E2401">
      <w:r w:rsidRPr="00E10D0E">
        <w:t>Each</w:t>
      </w:r>
      <w:r w:rsidR="0000251F">
        <w:t xml:space="preserve"> of the</w:t>
      </w:r>
      <w:r w:rsidRPr="00E10D0E">
        <w:t xml:space="preserve"> twelve fact sheets summari</w:t>
      </w:r>
      <w:r w:rsidR="00E26FFF">
        <w:t>s</w:t>
      </w:r>
      <w:r w:rsidRPr="00E10D0E">
        <w:t>e</w:t>
      </w:r>
      <w:r w:rsidR="00E26FFF">
        <w:t>s</w:t>
      </w:r>
      <w:r w:rsidRPr="00E10D0E">
        <w:t xml:space="preserve"> the required indicators: growth</w:t>
      </w:r>
      <w:r w:rsidR="0000251F">
        <w:t xml:space="preserve"> of $1</w:t>
      </w:r>
      <w:r w:rsidRPr="00E10D0E">
        <w:t xml:space="preserve">, </w:t>
      </w:r>
      <w:r w:rsidR="006550A9">
        <w:t>annualise</w:t>
      </w:r>
      <w:r w:rsidRPr="00E10D0E">
        <w:t xml:space="preserve">d rate of return, volatility, Sharpe ratio, maximum </w:t>
      </w:r>
      <w:r w:rsidR="006550A9">
        <w:t>drawdown</w:t>
      </w:r>
      <w:r w:rsidRPr="00E10D0E">
        <w:t xml:space="preserve"> and the latest OOS target configuration. In addition, it also contains additional information such as Sortino ratio, historical 95% </w:t>
      </w:r>
      <w:r w:rsidR="006550A9">
        <w:t>Value at Risk</w:t>
      </w:r>
      <w:r w:rsidRPr="00E10D0E">
        <w:t xml:space="preserve"> (VaR), </w:t>
      </w:r>
      <w:r w:rsidR="006550A9">
        <w:t>Expected Shortfall</w:t>
      </w:r>
      <w:r w:rsidR="00D45FB3">
        <w:t xml:space="preserve"> (ES)</w:t>
      </w:r>
      <w:r w:rsidRPr="00E10D0E">
        <w:t xml:space="preserve"> and </w:t>
      </w:r>
      <w:r w:rsidR="00D45FB3">
        <w:t>portfolio turnover</w:t>
      </w:r>
      <w:r w:rsidRPr="00E10D0E">
        <w:t>. The latest target comes from OOS rebalancing on December 1, 2023, which is a backtest model target, not a real-time recommendation</w:t>
      </w:r>
      <w:r w:rsidR="002E2401">
        <w:t>.</w:t>
      </w:r>
    </w:p>
    <w:p w14:paraId="319928B1" w14:textId="77777777" w:rsidR="002E2401" w:rsidRDefault="002E2401" w:rsidP="002E2401">
      <w:pPr>
        <w:pStyle w:val="Heading1"/>
      </w:pPr>
      <w:r>
        <w:t>4. What the sector sentiment index shows</w:t>
      </w:r>
    </w:p>
    <w:p w14:paraId="5BBAD375" w14:textId="2E843CDA" w:rsidR="002E2401" w:rsidRPr="00A119D0" w:rsidRDefault="00E10D0E" w:rsidP="002E2401">
      <w:pPr>
        <w:rPr>
          <w:lang w:val="en-AU"/>
        </w:rPr>
      </w:pPr>
      <w:r w:rsidRPr="00E10D0E">
        <w:t xml:space="preserve">The independent sentiment index uses VADER to </w:t>
      </w:r>
      <w:r w:rsidR="00A119D0">
        <w:t>score</w:t>
      </w:r>
      <w:r w:rsidRPr="00E10D0E">
        <w:t xml:space="preserve"> 146,830 mapped headlines. VADER is a transparent dictionary</w:t>
      </w:r>
      <w:r w:rsidR="0000251F">
        <w:t>-</w:t>
      </w:r>
      <w:r w:rsidRPr="00E10D0E">
        <w:t>and</w:t>
      </w:r>
      <w:r w:rsidR="0000251F">
        <w:t>-</w:t>
      </w:r>
      <w:r w:rsidRPr="00E10D0E">
        <w:t xml:space="preserve">rule method that can </w:t>
      </w:r>
      <w:r w:rsidR="00A119D0" w:rsidRPr="00A119D0">
        <w:rPr>
          <w:lang w:val="en-AU"/>
        </w:rPr>
        <w:t>use lexical polarity together with casing, punctuation, intensifiers and negation</w:t>
      </w:r>
      <w:r w:rsidRPr="00E10D0E">
        <w:t xml:space="preserve"> (Hutto &amp; Gilbert 2014). Therefore, the original title text was retained instead of being forcibly cleaned up. This makes the model easy to audit, but also leaves an important limitation: the </w:t>
      </w:r>
      <w:r w:rsidR="00D45FB3">
        <w:t>general-language lexicon</w:t>
      </w:r>
      <w:r w:rsidRPr="00E10D0E">
        <w:t xml:space="preserve"> may misread financial terms, irony or market-specific contexts</w:t>
      </w:r>
      <w:r w:rsidR="002E2401">
        <w:t>.</w:t>
      </w:r>
    </w:p>
    <w:p w14:paraId="294F2272" w14:textId="69D1B8AB" w:rsidR="002E2401" w:rsidRDefault="00E10D0E" w:rsidP="002E2401">
      <w:r w:rsidRPr="00E10D0E">
        <w:lastRenderedPageBreak/>
        <w:t>The aggregation aims to prevent heavily covered companies from dominating a</w:t>
      </w:r>
      <w:r w:rsidR="00D45FB3">
        <w:t xml:space="preserve"> sector</w:t>
      </w:r>
      <w:r w:rsidRPr="00E10D0E">
        <w:t xml:space="preserve">. </w:t>
      </w:r>
      <w:r w:rsidR="00A119D0">
        <w:t>Headlines are first averaged within each ticker-day. The available ticker-day scores are then averaged equally within each sector-day</w:t>
      </w:r>
      <w:r w:rsidRPr="00E10D0E">
        <w:t>.</w:t>
      </w:r>
      <w:r w:rsidR="00A119D0" w:rsidRPr="00A119D0">
        <w:t xml:space="preserve"> </w:t>
      </w:r>
      <w:r w:rsidR="00A119D0">
        <w:t>This prevents a company with many headlines from dominating the sector index.</w:t>
      </w:r>
      <w:r w:rsidRPr="00E10D0E">
        <w:t xml:space="preserve"> The complete se</w:t>
      </w:r>
      <w:r w:rsidR="00A119D0">
        <w:t>ctor-</w:t>
      </w:r>
      <w:r w:rsidRPr="00E10D0E">
        <w:t xml:space="preserve">date grid </w:t>
      </w:r>
      <w:r w:rsidR="00D45FB3">
        <w:t>keeps</w:t>
      </w:r>
      <w:r w:rsidR="0000251F">
        <w:t xml:space="preserve"> </w:t>
      </w:r>
      <w:r w:rsidRPr="00E10D0E">
        <w:t>228 no-news se</w:t>
      </w:r>
      <w:r w:rsidR="00A119D0">
        <w:t>ctor-</w:t>
      </w:r>
      <w:r w:rsidRPr="00E10D0E">
        <w:t xml:space="preserve">days as missing rather than </w:t>
      </w:r>
      <w:r w:rsidR="00D45FB3">
        <w:t>treating them as neutral</w:t>
      </w:r>
      <w:r w:rsidRPr="00E10D0E">
        <w:t xml:space="preserve">. For the use of the portfolio, the signal comes from the previous stock trading day, so </w:t>
      </w:r>
      <w:r w:rsidR="00D45FB3">
        <w:t>w</w:t>
      </w:r>
      <w:r w:rsidR="00A119D0">
        <w:t>eekend or Monday-aligned news cannot affect the Monday decision. It first becomes available to the portfolio signal on the next equity trading day</w:t>
      </w:r>
      <w:r w:rsidR="002E2401">
        <w:t>.</w:t>
      </w:r>
    </w:p>
    <w:p w14:paraId="7396186A" w14:textId="77777777" w:rsidR="00523ED0" w:rsidRDefault="00000000">
      <w:pPr>
        <w:keepLines/>
        <w:spacing w:before="80" w:after="160"/>
        <w:jc w:val="center"/>
      </w:pPr>
      <w:r>
        <w:rPr>
          <w:rFonts w:ascii="Cambria Math" w:hAnsi="Cambria Math"/>
          <w:i/>
          <w:color w:val="0B2545"/>
        </w:rPr>
        <w:t>Sector sentiment_s,t = (1 / N_s,t) sum_i Sentiment_i,t</w:t>
      </w:r>
    </w:p>
    <w:p w14:paraId="05680456" w14:textId="425B92A2" w:rsidR="002E2401" w:rsidRDefault="00A119D0" w:rsidP="002E2401">
      <w:r>
        <w:t>Exhibit</w:t>
      </w:r>
      <w:r w:rsidR="00E10D0E" w:rsidRPr="00E10D0E">
        <w:t xml:space="preserve"> A6 draws the ten </w:t>
      </w:r>
      <w:r w:rsidR="006550A9">
        <w:t>sector</w:t>
      </w:r>
      <w:r w:rsidR="0035706F">
        <w:t xml:space="preserve"> </w:t>
      </w:r>
      <w:r w:rsidR="00E10D0E" w:rsidRPr="00E10D0E">
        <w:t xml:space="preserve">series from 2020 to 2023 as the average value of 21 trading days. The average original sentiment of each </w:t>
      </w:r>
      <w:r w:rsidR="006550A9">
        <w:t>sector</w:t>
      </w:r>
      <w:r w:rsidR="0035706F">
        <w:t xml:space="preserve"> </w:t>
      </w:r>
      <w:r w:rsidR="00E10D0E" w:rsidRPr="00E10D0E">
        <w:t xml:space="preserve">is positive. </w:t>
      </w:r>
      <w:r w:rsidR="00D45FB3">
        <w:t>M</w:t>
      </w:r>
      <w:r w:rsidR="00E10D0E" w:rsidRPr="00E10D0E">
        <w:t>aterial</w:t>
      </w:r>
      <w:r w:rsidR="00D45FB3">
        <w:t>s</w:t>
      </w:r>
      <w:r w:rsidR="00E10D0E" w:rsidRPr="00E10D0E">
        <w:t xml:space="preserve"> </w:t>
      </w:r>
      <w:r w:rsidR="00D45FB3">
        <w:t>has an average raw sentiment of about 0.096, while</w:t>
      </w:r>
      <w:r w:rsidR="00E10D0E" w:rsidRPr="00E10D0E">
        <w:t xml:space="preserve"> </w:t>
      </w:r>
      <w:r w:rsidR="00D45FB3">
        <w:t>U</w:t>
      </w:r>
      <w:r w:rsidR="00E10D0E" w:rsidRPr="00E10D0E">
        <w:t>tilit</w:t>
      </w:r>
      <w:r w:rsidR="00D45FB3">
        <w:t xml:space="preserve">ies </w:t>
      </w:r>
      <w:r w:rsidR="00E10D0E" w:rsidRPr="00E10D0E">
        <w:t>is</w:t>
      </w:r>
      <w:r w:rsidR="00D45FB3">
        <w:t xml:space="preserve"> about</w:t>
      </w:r>
      <w:r w:rsidR="00E10D0E" w:rsidRPr="00E10D0E">
        <w:t xml:space="preserve"> 0.184, but these levels cannot be directly compared without considering the coverage rate. </w:t>
      </w:r>
      <w:r w:rsidR="0000251F">
        <w:t>Utilities has average ticker coverage of 59.3%</w:t>
      </w:r>
      <w:r w:rsidR="00E10D0E" w:rsidRPr="00E10D0E">
        <w:t xml:space="preserve">, and there are 44 trading days without news, while </w:t>
      </w:r>
      <w:r w:rsidR="0000251F">
        <w:t>T</w:t>
      </w:r>
      <w:r w:rsidR="00E10D0E" w:rsidRPr="00E10D0E">
        <w:t xml:space="preserve">echnology </w:t>
      </w:r>
      <w:r w:rsidR="00D45FB3">
        <w:t>has average ticker coverage of</w:t>
      </w:r>
      <w:r w:rsidR="00E10D0E" w:rsidRPr="00E10D0E">
        <w:t xml:space="preserve"> 86.5%. Therefore, the high </w:t>
      </w:r>
      <w:r w:rsidR="006550A9">
        <w:t>sentiment</w:t>
      </w:r>
      <w:r w:rsidR="00E10D0E" w:rsidRPr="00E10D0E">
        <w:t xml:space="preserve"> reading based on weak or concentrated news should be lower than the same interpretation based on extensive reports</w:t>
      </w:r>
      <w:r w:rsidR="002E2401">
        <w:t>.</w:t>
      </w:r>
    </w:p>
    <w:p w14:paraId="027AFBE3" w14:textId="1941508C" w:rsidR="002E2401" w:rsidRDefault="00E10D0E" w:rsidP="002E2401">
      <w:r w:rsidRPr="00E10D0E">
        <w:t xml:space="preserve">Even without profitable trading rules, the index is still very useful as a descriptive feature. It transforms unstructured headlines into auditable </w:t>
      </w:r>
      <w:r w:rsidR="0000251F">
        <w:t>sector</w:t>
      </w:r>
      <w:r w:rsidRPr="00E10D0E">
        <w:t xml:space="preserve">-level time series and makes different contents of news reports visible to users. Its weakness is also obvious: the data is headlines rather than complete articles, publisher information is limited, </w:t>
      </w:r>
      <w:r w:rsidR="00EB320A">
        <w:t>syndicated</w:t>
      </w:r>
      <w:r w:rsidR="00A119D0">
        <w:t xml:space="preserve"> head</w:t>
      </w:r>
      <w:r w:rsidR="0000251F">
        <w:t>l</w:t>
      </w:r>
      <w:r w:rsidR="00A119D0">
        <w:t>ines</w:t>
      </w:r>
      <w:r w:rsidRPr="00E10D0E">
        <w:t xml:space="preserve"> may be repeated, and VADER does not measure whether the news is economically surprising. These restrictions are the reason for treating the index as a context rather than a direct return forecast</w:t>
      </w:r>
      <w:r w:rsidR="002E2401">
        <w:t>.</w:t>
      </w:r>
    </w:p>
    <w:p w14:paraId="431DE01F" w14:textId="77777777" w:rsidR="002E2401" w:rsidRDefault="002E2401" w:rsidP="002E2401">
      <w:pPr>
        <w:pStyle w:val="Heading1"/>
      </w:pPr>
      <w:r>
        <w:t>5. Coverage adjustment helps control a weak signal</w:t>
      </w:r>
    </w:p>
    <w:p w14:paraId="6C2BE8FE" w14:textId="289189EC" w:rsidR="002E2401" w:rsidRDefault="009C069D" w:rsidP="002E2401">
      <w:r w:rsidRPr="009C069D">
        <w:t xml:space="preserve">The main innovation is based on the </w:t>
      </w:r>
      <w:r w:rsidR="00A119D0">
        <w:t>news-</w:t>
      </w:r>
      <w:r w:rsidRPr="009C069D">
        <w:t>concentrat</w:t>
      </w:r>
      <w:r w:rsidR="00A119D0">
        <w:t>ion</w:t>
      </w:r>
      <w:r w:rsidRPr="009C069D">
        <w:t xml:space="preserve"> measure</w:t>
      </w:r>
      <w:r w:rsidR="00A119D0">
        <w:t xml:space="preserve"> developed in</w:t>
      </w:r>
      <w:r w:rsidRPr="009C069D">
        <w:t xml:space="preserve"> Part A. When most headlines</w:t>
      </w:r>
      <w:r w:rsidR="00A119D0">
        <w:t xml:space="preserve"> </w:t>
      </w:r>
      <w:r w:rsidRPr="009C069D">
        <w:t>come from</w:t>
      </w:r>
      <w:r w:rsidR="00A119D0">
        <w:t xml:space="preserve"> only</w:t>
      </w:r>
      <w:r w:rsidRPr="009C069D">
        <w:t xml:space="preserve"> a few </w:t>
      </w:r>
      <w:r w:rsidR="00A119D0">
        <w:t>tickers</w:t>
      </w:r>
      <w:r w:rsidRPr="009C069D">
        <w:t xml:space="preserve">, or when there is very little news in the </w:t>
      </w:r>
      <w:r w:rsidR="0000251F">
        <w:t>sector</w:t>
      </w:r>
      <w:r w:rsidRPr="009C069D">
        <w:t xml:space="preserve">, the </w:t>
      </w:r>
      <w:r w:rsidR="006550A9">
        <w:t>sector</w:t>
      </w:r>
      <w:r w:rsidR="00A119D0">
        <w:t xml:space="preserve"> </w:t>
      </w:r>
      <w:r w:rsidRPr="009C069D">
        <w:t xml:space="preserve">sentiment score is less representative. Therefore, AtlasSignal adjusts the </w:t>
      </w:r>
      <w:r w:rsidR="00A119D0">
        <w:t xml:space="preserve">lagged </w:t>
      </w:r>
      <w:r w:rsidRPr="009C069D">
        <w:t>relative</w:t>
      </w:r>
      <w:r w:rsidR="00A119D0">
        <w:t xml:space="preserve">-sector </w:t>
      </w:r>
      <w:r w:rsidRPr="009C069D">
        <w:t xml:space="preserve">sentiment signal </w:t>
      </w:r>
      <w:r w:rsidR="0000251F">
        <w:t xml:space="preserve">using </w:t>
      </w:r>
      <w:r w:rsidRPr="009C069D">
        <w:t xml:space="preserve">a confidence </w:t>
      </w:r>
      <w:r w:rsidR="00D45FB3">
        <w:t>term</w:t>
      </w:r>
      <w:r w:rsidRPr="009C069D">
        <w:t xml:space="preserve">, which combines the </w:t>
      </w:r>
      <w:r w:rsidR="006550A9">
        <w:t>normalised</w:t>
      </w:r>
      <w:r w:rsidRPr="009C069D">
        <w:t xml:space="preserve"> </w:t>
      </w:r>
      <w:r w:rsidR="00A119D0">
        <w:t>head</w:t>
      </w:r>
      <w:r w:rsidRPr="009C069D">
        <w:t xml:space="preserve">line HHI of the </w:t>
      </w:r>
      <w:r w:rsidR="00D45FB3">
        <w:t>previous three completed months</w:t>
      </w:r>
      <w:r w:rsidRPr="009C069D">
        <w:t xml:space="preserve"> with the </w:t>
      </w:r>
      <w:r w:rsidR="00A119D0">
        <w:t>ticker</w:t>
      </w:r>
      <w:r w:rsidRPr="009C069D">
        <w:t xml:space="preserve"> coverage of the past 21 trading days. Only the information available before the portfolio decision enters this adjustment stage</w:t>
      </w:r>
      <w:r w:rsidR="002E2401">
        <w:t>.</w:t>
      </w:r>
    </w:p>
    <w:p w14:paraId="036BCE13" w14:textId="77777777" w:rsidR="00523ED0" w:rsidRDefault="00000000">
      <w:pPr>
        <w:keepLines/>
        <w:spacing w:before="80" w:after="160"/>
        <w:jc w:val="center"/>
      </w:pPr>
      <w:r>
        <w:rPr>
          <w:rFonts w:ascii="Cambria Math" w:hAnsi="Cambria Math"/>
          <w:i/>
          <w:color w:val="0B2545"/>
        </w:rPr>
        <w:t>Confidence_s,t = (1 - mean HHI_s,t over 3 completed months) × sqrt(Coverage_s,t over prior 21 trading days)</w:t>
      </w:r>
    </w:p>
    <w:p w14:paraId="6D269BEE" w14:textId="1FDE5E61" w:rsidR="002E2401" w:rsidRDefault="00A119D0" w:rsidP="002E2401">
      <w:r>
        <w:t>At each monthly rebalance, the lagged 21-trading-day sector sentiment mean is standardised across sectors, clipped, and scaled to a maximum 25% relative tilt</w:t>
      </w:r>
      <w:r w:rsidR="009C069D" w:rsidRPr="009C069D">
        <w:t>. This t</w:t>
      </w:r>
      <w:r w:rsidR="00D45FB3">
        <w:t>ilt</w:t>
      </w:r>
      <w:r w:rsidR="009C069D" w:rsidRPr="009C069D">
        <w:t xml:space="preserve"> only applies to the equity side of risk parity; the crypt</w:t>
      </w:r>
      <w:r>
        <w:t>o</w:t>
      </w:r>
      <w:r w:rsidR="009C069D" w:rsidRPr="009C069D">
        <w:t xml:space="preserve"> target</w:t>
      </w:r>
      <w:r>
        <w:t>s</w:t>
      </w:r>
      <w:r w:rsidR="009C069D" w:rsidRPr="009C069D">
        <w:t xml:space="preserve"> in the co</w:t>
      </w:r>
      <w:r>
        <w:t>mbined</w:t>
      </w:r>
      <w:r w:rsidR="009C069D" w:rsidRPr="009C069D">
        <w:t xml:space="preserve"> fund remain unchanged. This gives three directly comparable situations: price</w:t>
      </w:r>
      <w:r>
        <w:t>-only Risk P</w:t>
      </w:r>
      <w:r w:rsidR="009C069D" w:rsidRPr="009C069D">
        <w:t>arity, naive sentiment tilt and coverage</w:t>
      </w:r>
      <w:r>
        <w:t xml:space="preserve">-adjusted sentiment </w:t>
      </w:r>
      <w:r w:rsidR="009C069D" w:rsidRPr="009C069D">
        <w:t>tilt. The 25% setting is the main design, and the 10%, 25% and 40% tilt strength and the 0 or 10 basis point cost are used as robustness checks, not selected after observing the best results</w:t>
      </w:r>
      <w:r w:rsidR="002E2401">
        <w:t>.</w:t>
      </w:r>
    </w:p>
    <w:p w14:paraId="39AB303C" w14:textId="77777777" w:rsidR="00523ED0" w:rsidRDefault="00000000">
      <w:pPr>
        <w:pStyle w:val="Caption"/>
      </w:pPr>
      <w:r>
        <w:lastRenderedPageBreak/>
        <w:t>Table 3. Base Risk Parity versus 25% sentiment tilts at zero transaction cost, January 2021–December 2023.</w:t>
      </w:r>
    </w:p>
    <w:tbl>
      <w:tblPr>
        <w:tblStyle w:val="TableGrid"/>
        <w:tblW w:w="9360" w:type="dxa"/>
        <w:tblInd w:w="12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200"/>
        <w:gridCol w:w="2760"/>
        <w:gridCol w:w="1320"/>
        <w:gridCol w:w="1320"/>
        <w:gridCol w:w="1200"/>
        <w:gridCol w:w="1560"/>
      </w:tblGrid>
      <w:tr w:rsidR="00523ED0" w14:paraId="5A40EC16" w14:textId="77777777">
        <w:trPr>
          <w:tblHeader/>
        </w:trPr>
        <w:tc>
          <w:tcPr>
            <w:tcW w:w="1200" w:type="dxa"/>
            <w:shd w:val="clear" w:color="auto" w:fill="E8EEF5"/>
            <w:tcMar>
              <w:top w:w="80" w:type="dxa"/>
              <w:left w:w="120" w:type="dxa"/>
              <w:bottom w:w="80" w:type="dxa"/>
              <w:right w:w="120" w:type="dxa"/>
            </w:tcMar>
            <w:vAlign w:val="center"/>
          </w:tcPr>
          <w:p w14:paraId="776636ED" w14:textId="77777777" w:rsidR="00523ED0" w:rsidRDefault="00000000">
            <w:pPr>
              <w:spacing w:after="0"/>
              <w:jc w:val="center"/>
            </w:pPr>
            <w:r>
              <w:rPr>
                <w:b/>
                <w:color w:val="0B2545"/>
                <w:sz w:val="18"/>
              </w:rPr>
              <w:t>Family</w:t>
            </w:r>
          </w:p>
        </w:tc>
        <w:tc>
          <w:tcPr>
            <w:tcW w:w="2760" w:type="dxa"/>
            <w:shd w:val="clear" w:color="auto" w:fill="E8EEF5"/>
            <w:tcMar>
              <w:top w:w="80" w:type="dxa"/>
              <w:left w:w="120" w:type="dxa"/>
              <w:bottom w:w="80" w:type="dxa"/>
              <w:right w:w="120" w:type="dxa"/>
            </w:tcMar>
            <w:vAlign w:val="center"/>
          </w:tcPr>
          <w:p w14:paraId="275606BA" w14:textId="77777777" w:rsidR="00523ED0" w:rsidRDefault="00000000">
            <w:pPr>
              <w:spacing w:after="0"/>
              <w:jc w:val="center"/>
            </w:pPr>
            <w:r>
              <w:rPr>
                <w:b/>
                <w:color w:val="0B2545"/>
                <w:sz w:val="18"/>
              </w:rPr>
              <w:t>Variant</w:t>
            </w:r>
          </w:p>
        </w:tc>
        <w:tc>
          <w:tcPr>
            <w:tcW w:w="1320" w:type="dxa"/>
            <w:shd w:val="clear" w:color="auto" w:fill="E8EEF5"/>
            <w:tcMar>
              <w:top w:w="80" w:type="dxa"/>
              <w:left w:w="120" w:type="dxa"/>
              <w:bottom w:w="80" w:type="dxa"/>
              <w:right w:w="120" w:type="dxa"/>
            </w:tcMar>
            <w:vAlign w:val="center"/>
          </w:tcPr>
          <w:p w14:paraId="2A4CE550" w14:textId="77777777" w:rsidR="00523ED0" w:rsidRDefault="00000000">
            <w:pPr>
              <w:spacing w:after="0"/>
              <w:jc w:val="center"/>
            </w:pPr>
            <w:r>
              <w:rPr>
                <w:b/>
                <w:color w:val="0B2545"/>
                <w:sz w:val="18"/>
              </w:rPr>
              <w:t>Ann. return</w:t>
            </w:r>
          </w:p>
        </w:tc>
        <w:tc>
          <w:tcPr>
            <w:tcW w:w="1320" w:type="dxa"/>
            <w:shd w:val="clear" w:color="auto" w:fill="E8EEF5"/>
            <w:tcMar>
              <w:top w:w="80" w:type="dxa"/>
              <w:left w:w="120" w:type="dxa"/>
              <w:bottom w:w="80" w:type="dxa"/>
              <w:right w:w="120" w:type="dxa"/>
            </w:tcMar>
            <w:vAlign w:val="center"/>
          </w:tcPr>
          <w:p w14:paraId="6305FC70" w14:textId="77777777" w:rsidR="00523ED0" w:rsidRDefault="00000000">
            <w:pPr>
              <w:spacing w:after="0"/>
              <w:jc w:val="center"/>
            </w:pPr>
            <w:r>
              <w:rPr>
                <w:b/>
                <w:color w:val="0B2545"/>
                <w:sz w:val="18"/>
              </w:rPr>
              <w:t>Ann. vol.</w:t>
            </w:r>
          </w:p>
        </w:tc>
        <w:tc>
          <w:tcPr>
            <w:tcW w:w="1200" w:type="dxa"/>
            <w:shd w:val="clear" w:color="auto" w:fill="E8EEF5"/>
            <w:tcMar>
              <w:top w:w="80" w:type="dxa"/>
              <w:left w:w="120" w:type="dxa"/>
              <w:bottom w:w="80" w:type="dxa"/>
              <w:right w:w="120" w:type="dxa"/>
            </w:tcMar>
            <w:vAlign w:val="center"/>
          </w:tcPr>
          <w:p w14:paraId="77B22E60" w14:textId="77777777" w:rsidR="00523ED0" w:rsidRDefault="00000000">
            <w:pPr>
              <w:spacing w:after="0"/>
              <w:jc w:val="center"/>
            </w:pPr>
            <w:r>
              <w:rPr>
                <w:b/>
                <w:color w:val="0B2545"/>
                <w:sz w:val="18"/>
              </w:rPr>
              <w:t>Sharpe</w:t>
            </w:r>
          </w:p>
        </w:tc>
        <w:tc>
          <w:tcPr>
            <w:tcW w:w="1560" w:type="dxa"/>
            <w:shd w:val="clear" w:color="auto" w:fill="E8EEF5"/>
            <w:tcMar>
              <w:top w:w="80" w:type="dxa"/>
              <w:left w:w="120" w:type="dxa"/>
              <w:bottom w:w="80" w:type="dxa"/>
              <w:right w:w="120" w:type="dxa"/>
            </w:tcMar>
            <w:vAlign w:val="center"/>
          </w:tcPr>
          <w:p w14:paraId="09AA02FA" w14:textId="77777777" w:rsidR="00523ED0" w:rsidRDefault="00000000">
            <w:pPr>
              <w:spacing w:after="0"/>
              <w:jc w:val="center"/>
            </w:pPr>
            <w:r>
              <w:rPr>
                <w:b/>
                <w:color w:val="0B2545"/>
                <w:sz w:val="18"/>
              </w:rPr>
              <w:t>Ann. turnover</w:t>
            </w:r>
          </w:p>
        </w:tc>
      </w:tr>
      <w:tr w:rsidR="00523ED0" w14:paraId="18149BB8" w14:textId="77777777">
        <w:tc>
          <w:tcPr>
            <w:tcW w:w="1200" w:type="dxa"/>
            <w:tcMar>
              <w:top w:w="80" w:type="dxa"/>
              <w:left w:w="120" w:type="dxa"/>
              <w:bottom w:w="80" w:type="dxa"/>
              <w:right w:w="120" w:type="dxa"/>
            </w:tcMar>
            <w:vAlign w:val="center"/>
          </w:tcPr>
          <w:p w14:paraId="07ADFBD6" w14:textId="77777777" w:rsidR="00523ED0" w:rsidRDefault="00000000">
            <w:pPr>
              <w:spacing w:after="0" w:line="252" w:lineRule="auto"/>
            </w:pPr>
            <w:r>
              <w:rPr>
                <w:sz w:val="17"/>
              </w:rPr>
              <w:t>Equity</w:t>
            </w:r>
          </w:p>
        </w:tc>
        <w:tc>
          <w:tcPr>
            <w:tcW w:w="2760" w:type="dxa"/>
            <w:tcMar>
              <w:top w:w="80" w:type="dxa"/>
              <w:left w:w="120" w:type="dxa"/>
              <w:bottom w:w="80" w:type="dxa"/>
              <w:right w:w="120" w:type="dxa"/>
            </w:tcMar>
            <w:vAlign w:val="center"/>
          </w:tcPr>
          <w:p w14:paraId="38A2ED2D" w14:textId="77777777" w:rsidR="00523ED0" w:rsidRDefault="00000000">
            <w:pPr>
              <w:spacing w:after="0" w:line="252" w:lineRule="auto"/>
            </w:pPr>
            <w:r>
              <w:rPr>
                <w:sz w:val="17"/>
              </w:rPr>
              <w:t>Base Risk Parity</w:t>
            </w:r>
          </w:p>
        </w:tc>
        <w:tc>
          <w:tcPr>
            <w:tcW w:w="1320" w:type="dxa"/>
            <w:tcMar>
              <w:top w:w="80" w:type="dxa"/>
              <w:left w:w="120" w:type="dxa"/>
              <w:bottom w:w="80" w:type="dxa"/>
              <w:right w:w="120" w:type="dxa"/>
            </w:tcMar>
            <w:vAlign w:val="center"/>
          </w:tcPr>
          <w:p w14:paraId="5D71A62C" w14:textId="77777777" w:rsidR="00523ED0" w:rsidRDefault="00000000">
            <w:pPr>
              <w:spacing w:after="0" w:line="252" w:lineRule="auto"/>
              <w:jc w:val="center"/>
            </w:pPr>
            <w:r>
              <w:rPr>
                <w:sz w:val="17"/>
              </w:rPr>
              <w:t>10.51%</w:t>
            </w:r>
          </w:p>
        </w:tc>
        <w:tc>
          <w:tcPr>
            <w:tcW w:w="1320" w:type="dxa"/>
            <w:tcMar>
              <w:top w:w="80" w:type="dxa"/>
              <w:left w:w="120" w:type="dxa"/>
              <w:bottom w:w="80" w:type="dxa"/>
              <w:right w:w="120" w:type="dxa"/>
            </w:tcMar>
            <w:vAlign w:val="center"/>
          </w:tcPr>
          <w:p w14:paraId="6C00C31E" w14:textId="77777777" w:rsidR="00523ED0" w:rsidRDefault="00000000">
            <w:pPr>
              <w:spacing w:after="0" w:line="252" w:lineRule="auto"/>
              <w:jc w:val="center"/>
            </w:pPr>
            <w:r>
              <w:rPr>
                <w:sz w:val="17"/>
              </w:rPr>
              <w:t>14.53%</w:t>
            </w:r>
          </w:p>
        </w:tc>
        <w:tc>
          <w:tcPr>
            <w:tcW w:w="1200" w:type="dxa"/>
            <w:tcMar>
              <w:top w:w="80" w:type="dxa"/>
              <w:left w:w="120" w:type="dxa"/>
              <w:bottom w:w="80" w:type="dxa"/>
              <w:right w:w="120" w:type="dxa"/>
            </w:tcMar>
            <w:vAlign w:val="center"/>
          </w:tcPr>
          <w:p w14:paraId="744A4DA2" w14:textId="77777777" w:rsidR="00523ED0" w:rsidRDefault="00000000">
            <w:pPr>
              <w:spacing w:after="0" w:line="252" w:lineRule="auto"/>
              <w:jc w:val="center"/>
            </w:pPr>
            <w:r>
              <w:rPr>
                <w:sz w:val="17"/>
              </w:rPr>
              <w:t>0.723</w:t>
            </w:r>
          </w:p>
        </w:tc>
        <w:tc>
          <w:tcPr>
            <w:tcW w:w="1560" w:type="dxa"/>
            <w:tcMar>
              <w:top w:w="80" w:type="dxa"/>
              <w:left w:w="120" w:type="dxa"/>
              <w:bottom w:w="80" w:type="dxa"/>
              <w:right w:w="120" w:type="dxa"/>
            </w:tcMar>
            <w:vAlign w:val="center"/>
          </w:tcPr>
          <w:p w14:paraId="619123BB" w14:textId="77777777" w:rsidR="00523ED0" w:rsidRDefault="00000000">
            <w:pPr>
              <w:spacing w:after="0" w:line="252" w:lineRule="auto"/>
              <w:jc w:val="center"/>
            </w:pPr>
            <w:r>
              <w:rPr>
                <w:sz w:val="17"/>
              </w:rPr>
              <w:t>37.3%</w:t>
            </w:r>
          </w:p>
        </w:tc>
      </w:tr>
      <w:tr w:rsidR="00523ED0" w14:paraId="21323A93" w14:textId="77777777">
        <w:tc>
          <w:tcPr>
            <w:tcW w:w="1200" w:type="dxa"/>
            <w:shd w:val="clear" w:color="auto" w:fill="FAFBFC"/>
            <w:tcMar>
              <w:top w:w="80" w:type="dxa"/>
              <w:left w:w="120" w:type="dxa"/>
              <w:bottom w:w="80" w:type="dxa"/>
              <w:right w:w="120" w:type="dxa"/>
            </w:tcMar>
            <w:vAlign w:val="center"/>
          </w:tcPr>
          <w:p w14:paraId="69A6B310" w14:textId="77777777" w:rsidR="00523ED0" w:rsidRDefault="00000000">
            <w:pPr>
              <w:spacing w:after="0" w:line="252" w:lineRule="auto"/>
            </w:pPr>
            <w:r>
              <w:rPr>
                <w:sz w:val="17"/>
              </w:rPr>
              <w:t>Equity</w:t>
            </w:r>
          </w:p>
        </w:tc>
        <w:tc>
          <w:tcPr>
            <w:tcW w:w="2760" w:type="dxa"/>
            <w:shd w:val="clear" w:color="auto" w:fill="FAFBFC"/>
            <w:tcMar>
              <w:top w:w="80" w:type="dxa"/>
              <w:left w:w="120" w:type="dxa"/>
              <w:bottom w:w="80" w:type="dxa"/>
              <w:right w:w="120" w:type="dxa"/>
            </w:tcMar>
            <w:vAlign w:val="center"/>
          </w:tcPr>
          <w:p w14:paraId="3B30691F" w14:textId="77777777" w:rsidR="00523ED0" w:rsidRDefault="00000000">
            <w:pPr>
              <w:spacing w:after="0" w:line="252" w:lineRule="auto"/>
            </w:pPr>
            <w:r>
              <w:rPr>
                <w:sz w:val="17"/>
              </w:rPr>
              <w:t>Baseline Sentiment</w:t>
            </w:r>
          </w:p>
        </w:tc>
        <w:tc>
          <w:tcPr>
            <w:tcW w:w="1320" w:type="dxa"/>
            <w:shd w:val="clear" w:color="auto" w:fill="FAFBFC"/>
            <w:tcMar>
              <w:top w:w="80" w:type="dxa"/>
              <w:left w:w="120" w:type="dxa"/>
              <w:bottom w:w="80" w:type="dxa"/>
              <w:right w:w="120" w:type="dxa"/>
            </w:tcMar>
            <w:vAlign w:val="center"/>
          </w:tcPr>
          <w:p w14:paraId="4B3D8AD9" w14:textId="77777777" w:rsidR="00523ED0" w:rsidRDefault="00000000">
            <w:pPr>
              <w:spacing w:after="0" w:line="252" w:lineRule="auto"/>
              <w:jc w:val="center"/>
            </w:pPr>
            <w:r>
              <w:rPr>
                <w:sz w:val="17"/>
              </w:rPr>
              <w:t>9.90%</w:t>
            </w:r>
          </w:p>
        </w:tc>
        <w:tc>
          <w:tcPr>
            <w:tcW w:w="1320" w:type="dxa"/>
            <w:shd w:val="clear" w:color="auto" w:fill="FAFBFC"/>
            <w:tcMar>
              <w:top w:w="80" w:type="dxa"/>
              <w:left w:w="120" w:type="dxa"/>
              <w:bottom w:w="80" w:type="dxa"/>
              <w:right w:w="120" w:type="dxa"/>
            </w:tcMar>
            <w:vAlign w:val="center"/>
          </w:tcPr>
          <w:p w14:paraId="130496B4" w14:textId="77777777" w:rsidR="00523ED0" w:rsidRDefault="00000000">
            <w:pPr>
              <w:spacing w:after="0" w:line="252" w:lineRule="auto"/>
              <w:jc w:val="center"/>
            </w:pPr>
            <w:r>
              <w:rPr>
                <w:sz w:val="17"/>
              </w:rPr>
              <w:t>14.50%</w:t>
            </w:r>
          </w:p>
        </w:tc>
        <w:tc>
          <w:tcPr>
            <w:tcW w:w="1200" w:type="dxa"/>
            <w:shd w:val="clear" w:color="auto" w:fill="FAFBFC"/>
            <w:tcMar>
              <w:top w:w="80" w:type="dxa"/>
              <w:left w:w="120" w:type="dxa"/>
              <w:bottom w:w="80" w:type="dxa"/>
              <w:right w:w="120" w:type="dxa"/>
            </w:tcMar>
            <w:vAlign w:val="center"/>
          </w:tcPr>
          <w:p w14:paraId="32163223" w14:textId="77777777" w:rsidR="00523ED0" w:rsidRDefault="00000000">
            <w:pPr>
              <w:spacing w:after="0" w:line="252" w:lineRule="auto"/>
              <w:jc w:val="center"/>
            </w:pPr>
            <w:r>
              <w:rPr>
                <w:sz w:val="17"/>
              </w:rPr>
              <w:t>0.683</w:t>
            </w:r>
          </w:p>
        </w:tc>
        <w:tc>
          <w:tcPr>
            <w:tcW w:w="1560" w:type="dxa"/>
            <w:shd w:val="clear" w:color="auto" w:fill="FAFBFC"/>
            <w:tcMar>
              <w:top w:w="80" w:type="dxa"/>
              <w:left w:w="120" w:type="dxa"/>
              <w:bottom w:w="80" w:type="dxa"/>
              <w:right w:w="120" w:type="dxa"/>
            </w:tcMar>
            <w:vAlign w:val="center"/>
          </w:tcPr>
          <w:p w14:paraId="188E2BC7" w14:textId="77777777" w:rsidR="00523ED0" w:rsidRDefault="00000000">
            <w:pPr>
              <w:spacing w:after="0" w:line="252" w:lineRule="auto"/>
              <w:jc w:val="center"/>
            </w:pPr>
            <w:r>
              <w:rPr>
                <w:sz w:val="17"/>
              </w:rPr>
              <w:t>58.8%</w:t>
            </w:r>
          </w:p>
        </w:tc>
      </w:tr>
      <w:tr w:rsidR="00523ED0" w14:paraId="4EB78D30" w14:textId="77777777">
        <w:tc>
          <w:tcPr>
            <w:tcW w:w="1200" w:type="dxa"/>
            <w:tcMar>
              <w:top w:w="80" w:type="dxa"/>
              <w:left w:w="120" w:type="dxa"/>
              <w:bottom w:w="80" w:type="dxa"/>
              <w:right w:w="120" w:type="dxa"/>
            </w:tcMar>
            <w:vAlign w:val="center"/>
          </w:tcPr>
          <w:p w14:paraId="1EFDE59B" w14:textId="77777777" w:rsidR="00523ED0" w:rsidRDefault="00000000">
            <w:pPr>
              <w:spacing w:after="0" w:line="252" w:lineRule="auto"/>
            </w:pPr>
            <w:r>
              <w:rPr>
                <w:sz w:val="17"/>
              </w:rPr>
              <w:t>Equity</w:t>
            </w:r>
          </w:p>
        </w:tc>
        <w:tc>
          <w:tcPr>
            <w:tcW w:w="2760" w:type="dxa"/>
            <w:tcMar>
              <w:top w:w="80" w:type="dxa"/>
              <w:left w:w="120" w:type="dxa"/>
              <w:bottom w:w="80" w:type="dxa"/>
              <w:right w:w="120" w:type="dxa"/>
            </w:tcMar>
            <w:vAlign w:val="center"/>
          </w:tcPr>
          <w:p w14:paraId="0D5E3ABC" w14:textId="77777777" w:rsidR="00523ED0" w:rsidRDefault="00000000">
            <w:pPr>
              <w:spacing w:after="0" w:line="252" w:lineRule="auto"/>
            </w:pPr>
            <w:r>
              <w:rPr>
                <w:sz w:val="17"/>
              </w:rPr>
              <w:t>AtlasSignal Coverage-Adjusted</w:t>
            </w:r>
          </w:p>
        </w:tc>
        <w:tc>
          <w:tcPr>
            <w:tcW w:w="1320" w:type="dxa"/>
            <w:tcMar>
              <w:top w:w="80" w:type="dxa"/>
              <w:left w:w="120" w:type="dxa"/>
              <w:bottom w:w="80" w:type="dxa"/>
              <w:right w:w="120" w:type="dxa"/>
            </w:tcMar>
            <w:vAlign w:val="center"/>
          </w:tcPr>
          <w:p w14:paraId="73000673" w14:textId="77777777" w:rsidR="00523ED0" w:rsidRDefault="00000000">
            <w:pPr>
              <w:spacing w:after="0" w:line="252" w:lineRule="auto"/>
              <w:jc w:val="center"/>
            </w:pPr>
            <w:r>
              <w:rPr>
                <w:sz w:val="17"/>
              </w:rPr>
              <w:t>10.04%</w:t>
            </w:r>
          </w:p>
        </w:tc>
        <w:tc>
          <w:tcPr>
            <w:tcW w:w="1320" w:type="dxa"/>
            <w:tcMar>
              <w:top w:w="80" w:type="dxa"/>
              <w:left w:w="120" w:type="dxa"/>
              <w:bottom w:w="80" w:type="dxa"/>
              <w:right w:w="120" w:type="dxa"/>
            </w:tcMar>
            <w:vAlign w:val="center"/>
          </w:tcPr>
          <w:p w14:paraId="630466E8" w14:textId="77777777" w:rsidR="00523ED0" w:rsidRDefault="00000000">
            <w:pPr>
              <w:spacing w:after="0" w:line="252" w:lineRule="auto"/>
              <w:jc w:val="center"/>
            </w:pPr>
            <w:r>
              <w:rPr>
                <w:sz w:val="17"/>
              </w:rPr>
              <w:t>14.52%</w:t>
            </w:r>
          </w:p>
        </w:tc>
        <w:tc>
          <w:tcPr>
            <w:tcW w:w="1200" w:type="dxa"/>
            <w:tcMar>
              <w:top w:w="80" w:type="dxa"/>
              <w:left w:w="120" w:type="dxa"/>
              <w:bottom w:w="80" w:type="dxa"/>
              <w:right w:w="120" w:type="dxa"/>
            </w:tcMar>
            <w:vAlign w:val="center"/>
          </w:tcPr>
          <w:p w14:paraId="3AECB929" w14:textId="77777777" w:rsidR="00523ED0" w:rsidRDefault="00000000">
            <w:pPr>
              <w:spacing w:after="0" w:line="252" w:lineRule="auto"/>
              <w:jc w:val="center"/>
            </w:pPr>
            <w:r>
              <w:rPr>
                <w:sz w:val="17"/>
              </w:rPr>
              <w:t>0.692</w:t>
            </w:r>
          </w:p>
        </w:tc>
        <w:tc>
          <w:tcPr>
            <w:tcW w:w="1560" w:type="dxa"/>
            <w:tcMar>
              <w:top w:w="80" w:type="dxa"/>
              <w:left w:w="120" w:type="dxa"/>
              <w:bottom w:w="80" w:type="dxa"/>
              <w:right w:w="120" w:type="dxa"/>
            </w:tcMar>
            <w:vAlign w:val="center"/>
          </w:tcPr>
          <w:p w14:paraId="26881C6F" w14:textId="77777777" w:rsidR="00523ED0" w:rsidRDefault="00000000">
            <w:pPr>
              <w:spacing w:after="0" w:line="252" w:lineRule="auto"/>
              <w:jc w:val="center"/>
            </w:pPr>
            <w:r>
              <w:rPr>
                <w:sz w:val="17"/>
              </w:rPr>
              <w:t>53.1%</w:t>
            </w:r>
          </w:p>
        </w:tc>
      </w:tr>
      <w:tr w:rsidR="00523ED0" w14:paraId="46C7F59B" w14:textId="77777777">
        <w:tc>
          <w:tcPr>
            <w:tcW w:w="1200" w:type="dxa"/>
            <w:shd w:val="clear" w:color="auto" w:fill="FAFBFC"/>
            <w:tcMar>
              <w:top w:w="80" w:type="dxa"/>
              <w:left w:w="120" w:type="dxa"/>
              <w:bottom w:w="80" w:type="dxa"/>
              <w:right w:w="120" w:type="dxa"/>
            </w:tcMar>
            <w:vAlign w:val="center"/>
          </w:tcPr>
          <w:p w14:paraId="72B0537C" w14:textId="77777777" w:rsidR="00523ED0" w:rsidRDefault="00000000">
            <w:pPr>
              <w:spacing w:after="0" w:line="252" w:lineRule="auto"/>
            </w:pPr>
            <w:r>
              <w:rPr>
                <w:sz w:val="17"/>
              </w:rPr>
              <w:t>Combined</w:t>
            </w:r>
          </w:p>
        </w:tc>
        <w:tc>
          <w:tcPr>
            <w:tcW w:w="2760" w:type="dxa"/>
            <w:shd w:val="clear" w:color="auto" w:fill="FAFBFC"/>
            <w:tcMar>
              <w:top w:w="80" w:type="dxa"/>
              <w:left w:w="120" w:type="dxa"/>
              <w:bottom w:w="80" w:type="dxa"/>
              <w:right w:w="120" w:type="dxa"/>
            </w:tcMar>
            <w:vAlign w:val="center"/>
          </w:tcPr>
          <w:p w14:paraId="717FAF35" w14:textId="77777777" w:rsidR="00523ED0" w:rsidRDefault="00000000">
            <w:pPr>
              <w:spacing w:after="0" w:line="252" w:lineRule="auto"/>
            </w:pPr>
            <w:r>
              <w:rPr>
                <w:sz w:val="17"/>
              </w:rPr>
              <w:t>Base Risk Parity</w:t>
            </w:r>
          </w:p>
        </w:tc>
        <w:tc>
          <w:tcPr>
            <w:tcW w:w="1320" w:type="dxa"/>
            <w:shd w:val="clear" w:color="auto" w:fill="FAFBFC"/>
            <w:tcMar>
              <w:top w:w="80" w:type="dxa"/>
              <w:left w:w="120" w:type="dxa"/>
              <w:bottom w:w="80" w:type="dxa"/>
              <w:right w:w="120" w:type="dxa"/>
            </w:tcMar>
            <w:vAlign w:val="center"/>
          </w:tcPr>
          <w:p w14:paraId="4A718B80" w14:textId="77777777" w:rsidR="00523ED0" w:rsidRDefault="00000000">
            <w:pPr>
              <w:spacing w:after="0" w:line="252" w:lineRule="auto"/>
              <w:jc w:val="center"/>
            </w:pPr>
            <w:r>
              <w:rPr>
                <w:sz w:val="17"/>
              </w:rPr>
              <w:t>14.39%</w:t>
            </w:r>
          </w:p>
        </w:tc>
        <w:tc>
          <w:tcPr>
            <w:tcW w:w="1320" w:type="dxa"/>
            <w:shd w:val="clear" w:color="auto" w:fill="FAFBFC"/>
            <w:tcMar>
              <w:top w:w="80" w:type="dxa"/>
              <w:left w:w="120" w:type="dxa"/>
              <w:bottom w:w="80" w:type="dxa"/>
              <w:right w:w="120" w:type="dxa"/>
            </w:tcMar>
            <w:vAlign w:val="center"/>
          </w:tcPr>
          <w:p w14:paraId="01018219" w14:textId="77777777" w:rsidR="00523ED0" w:rsidRDefault="00000000">
            <w:pPr>
              <w:spacing w:after="0" w:line="252" w:lineRule="auto"/>
              <w:jc w:val="center"/>
            </w:pPr>
            <w:r>
              <w:rPr>
                <w:sz w:val="17"/>
              </w:rPr>
              <w:t>16.20%</w:t>
            </w:r>
          </w:p>
        </w:tc>
        <w:tc>
          <w:tcPr>
            <w:tcW w:w="1200" w:type="dxa"/>
            <w:shd w:val="clear" w:color="auto" w:fill="FAFBFC"/>
            <w:tcMar>
              <w:top w:w="80" w:type="dxa"/>
              <w:left w:w="120" w:type="dxa"/>
              <w:bottom w:w="80" w:type="dxa"/>
              <w:right w:w="120" w:type="dxa"/>
            </w:tcMar>
            <w:vAlign w:val="center"/>
          </w:tcPr>
          <w:p w14:paraId="31E8AF55" w14:textId="77777777" w:rsidR="00523ED0" w:rsidRDefault="00000000">
            <w:pPr>
              <w:spacing w:after="0" w:line="252" w:lineRule="auto"/>
              <w:jc w:val="center"/>
            </w:pPr>
            <w:r>
              <w:rPr>
                <w:sz w:val="17"/>
              </w:rPr>
              <w:t>0.888</w:t>
            </w:r>
          </w:p>
        </w:tc>
        <w:tc>
          <w:tcPr>
            <w:tcW w:w="1560" w:type="dxa"/>
            <w:shd w:val="clear" w:color="auto" w:fill="FAFBFC"/>
            <w:tcMar>
              <w:top w:w="80" w:type="dxa"/>
              <w:left w:w="120" w:type="dxa"/>
              <w:bottom w:w="80" w:type="dxa"/>
              <w:right w:w="120" w:type="dxa"/>
            </w:tcMar>
            <w:vAlign w:val="center"/>
          </w:tcPr>
          <w:p w14:paraId="469B16D6" w14:textId="77777777" w:rsidR="00523ED0" w:rsidRDefault="00000000">
            <w:pPr>
              <w:spacing w:after="0" w:line="252" w:lineRule="auto"/>
              <w:jc w:val="center"/>
            </w:pPr>
            <w:r>
              <w:rPr>
                <w:sz w:val="17"/>
              </w:rPr>
              <w:t>44.3%</w:t>
            </w:r>
          </w:p>
        </w:tc>
      </w:tr>
      <w:tr w:rsidR="00523ED0" w14:paraId="0705C2CC" w14:textId="77777777">
        <w:tc>
          <w:tcPr>
            <w:tcW w:w="1200" w:type="dxa"/>
            <w:tcMar>
              <w:top w:w="80" w:type="dxa"/>
              <w:left w:w="120" w:type="dxa"/>
              <w:bottom w:w="80" w:type="dxa"/>
              <w:right w:w="120" w:type="dxa"/>
            </w:tcMar>
            <w:vAlign w:val="center"/>
          </w:tcPr>
          <w:p w14:paraId="00262616" w14:textId="77777777" w:rsidR="00523ED0" w:rsidRDefault="00000000">
            <w:pPr>
              <w:spacing w:after="0" w:line="252" w:lineRule="auto"/>
            </w:pPr>
            <w:r>
              <w:rPr>
                <w:sz w:val="17"/>
              </w:rPr>
              <w:t>Combined</w:t>
            </w:r>
          </w:p>
        </w:tc>
        <w:tc>
          <w:tcPr>
            <w:tcW w:w="2760" w:type="dxa"/>
            <w:tcMar>
              <w:top w:w="80" w:type="dxa"/>
              <w:left w:w="120" w:type="dxa"/>
              <w:bottom w:w="80" w:type="dxa"/>
              <w:right w:w="120" w:type="dxa"/>
            </w:tcMar>
            <w:vAlign w:val="center"/>
          </w:tcPr>
          <w:p w14:paraId="528FC740" w14:textId="77777777" w:rsidR="00523ED0" w:rsidRDefault="00000000">
            <w:pPr>
              <w:spacing w:after="0" w:line="252" w:lineRule="auto"/>
            </w:pPr>
            <w:r>
              <w:rPr>
                <w:sz w:val="17"/>
              </w:rPr>
              <w:t>Baseline Sentiment</w:t>
            </w:r>
          </w:p>
        </w:tc>
        <w:tc>
          <w:tcPr>
            <w:tcW w:w="1320" w:type="dxa"/>
            <w:tcMar>
              <w:top w:w="80" w:type="dxa"/>
              <w:left w:w="120" w:type="dxa"/>
              <w:bottom w:w="80" w:type="dxa"/>
              <w:right w:w="120" w:type="dxa"/>
            </w:tcMar>
            <w:vAlign w:val="center"/>
          </w:tcPr>
          <w:p w14:paraId="70DBB100" w14:textId="77777777" w:rsidR="00523ED0" w:rsidRDefault="00000000">
            <w:pPr>
              <w:spacing w:after="0" w:line="252" w:lineRule="auto"/>
              <w:jc w:val="center"/>
            </w:pPr>
            <w:r>
              <w:rPr>
                <w:sz w:val="17"/>
              </w:rPr>
              <w:t>13.83%</w:t>
            </w:r>
          </w:p>
        </w:tc>
        <w:tc>
          <w:tcPr>
            <w:tcW w:w="1320" w:type="dxa"/>
            <w:tcMar>
              <w:top w:w="80" w:type="dxa"/>
              <w:left w:w="120" w:type="dxa"/>
              <w:bottom w:w="80" w:type="dxa"/>
              <w:right w:w="120" w:type="dxa"/>
            </w:tcMar>
            <w:vAlign w:val="center"/>
          </w:tcPr>
          <w:p w14:paraId="3722318E" w14:textId="77777777" w:rsidR="00523ED0" w:rsidRDefault="00000000">
            <w:pPr>
              <w:spacing w:after="0" w:line="252" w:lineRule="auto"/>
              <w:jc w:val="center"/>
            </w:pPr>
            <w:r>
              <w:rPr>
                <w:sz w:val="17"/>
              </w:rPr>
              <w:t>16.16%</w:t>
            </w:r>
          </w:p>
        </w:tc>
        <w:tc>
          <w:tcPr>
            <w:tcW w:w="1200" w:type="dxa"/>
            <w:tcMar>
              <w:top w:w="80" w:type="dxa"/>
              <w:left w:w="120" w:type="dxa"/>
              <w:bottom w:w="80" w:type="dxa"/>
              <w:right w:w="120" w:type="dxa"/>
            </w:tcMar>
            <w:vAlign w:val="center"/>
          </w:tcPr>
          <w:p w14:paraId="35D3E549" w14:textId="77777777" w:rsidR="00523ED0" w:rsidRDefault="00000000">
            <w:pPr>
              <w:spacing w:after="0" w:line="252" w:lineRule="auto"/>
              <w:jc w:val="center"/>
            </w:pPr>
            <w:r>
              <w:rPr>
                <w:sz w:val="17"/>
              </w:rPr>
              <w:t>0.856</w:t>
            </w:r>
          </w:p>
        </w:tc>
        <w:tc>
          <w:tcPr>
            <w:tcW w:w="1560" w:type="dxa"/>
            <w:tcMar>
              <w:top w:w="80" w:type="dxa"/>
              <w:left w:w="120" w:type="dxa"/>
              <w:bottom w:w="80" w:type="dxa"/>
              <w:right w:w="120" w:type="dxa"/>
            </w:tcMar>
            <w:vAlign w:val="center"/>
          </w:tcPr>
          <w:p w14:paraId="1D0FED0D" w14:textId="77777777" w:rsidR="00523ED0" w:rsidRDefault="00000000">
            <w:pPr>
              <w:spacing w:after="0" w:line="252" w:lineRule="auto"/>
              <w:jc w:val="center"/>
            </w:pPr>
            <w:r>
              <w:rPr>
                <w:sz w:val="17"/>
              </w:rPr>
              <w:t>63.7%</w:t>
            </w:r>
          </w:p>
        </w:tc>
      </w:tr>
      <w:tr w:rsidR="00523ED0" w14:paraId="7F5E3425" w14:textId="77777777">
        <w:tc>
          <w:tcPr>
            <w:tcW w:w="1200" w:type="dxa"/>
            <w:shd w:val="clear" w:color="auto" w:fill="FAFBFC"/>
            <w:tcMar>
              <w:top w:w="80" w:type="dxa"/>
              <w:left w:w="120" w:type="dxa"/>
              <w:bottom w:w="80" w:type="dxa"/>
              <w:right w:w="120" w:type="dxa"/>
            </w:tcMar>
            <w:vAlign w:val="center"/>
          </w:tcPr>
          <w:p w14:paraId="030ED2FF" w14:textId="77777777" w:rsidR="00523ED0" w:rsidRDefault="00000000">
            <w:pPr>
              <w:spacing w:after="0" w:line="252" w:lineRule="auto"/>
            </w:pPr>
            <w:r>
              <w:rPr>
                <w:sz w:val="17"/>
              </w:rPr>
              <w:t>Combined</w:t>
            </w:r>
          </w:p>
        </w:tc>
        <w:tc>
          <w:tcPr>
            <w:tcW w:w="2760" w:type="dxa"/>
            <w:shd w:val="clear" w:color="auto" w:fill="FAFBFC"/>
            <w:tcMar>
              <w:top w:w="80" w:type="dxa"/>
              <w:left w:w="120" w:type="dxa"/>
              <w:bottom w:w="80" w:type="dxa"/>
              <w:right w:w="120" w:type="dxa"/>
            </w:tcMar>
            <w:vAlign w:val="center"/>
          </w:tcPr>
          <w:p w14:paraId="6AC12DAB" w14:textId="77777777" w:rsidR="00523ED0" w:rsidRDefault="00000000">
            <w:pPr>
              <w:spacing w:after="0" w:line="252" w:lineRule="auto"/>
            </w:pPr>
            <w:r>
              <w:rPr>
                <w:sz w:val="17"/>
              </w:rPr>
              <w:t>AtlasSignal Coverage-Adjusted</w:t>
            </w:r>
          </w:p>
        </w:tc>
        <w:tc>
          <w:tcPr>
            <w:tcW w:w="1320" w:type="dxa"/>
            <w:shd w:val="clear" w:color="auto" w:fill="FAFBFC"/>
            <w:tcMar>
              <w:top w:w="80" w:type="dxa"/>
              <w:left w:w="120" w:type="dxa"/>
              <w:bottom w:w="80" w:type="dxa"/>
              <w:right w:w="120" w:type="dxa"/>
            </w:tcMar>
            <w:vAlign w:val="center"/>
          </w:tcPr>
          <w:p w14:paraId="1001D956" w14:textId="77777777" w:rsidR="00523ED0" w:rsidRDefault="00000000">
            <w:pPr>
              <w:spacing w:after="0" w:line="252" w:lineRule="auto"/>
              <w:jc w:val="center"/>
            </w:pPr>
            <w:r>
              <w:rPr>
                <w:sz w:val="17"/>
              </w:rPr>
              <w:t>13.95%</w:t>
            </w:r>
          </w:p>
        </w:tc>
        <w:tc>
          <w:tcPr>
            <w:tcW w:w="1320" w:type="dxa"/>
            <w:shd w:val="clear" w:color="auto" w:fill="FAFBFC"/>
            <w:tcMar>
              <w:top w:w="80" w:type="dxa"/>
              <w:left w:w="120" w:type="dxa"/>
              <w:bottom w:w="80" w:type="dxa"/>
              <w:right w:w="120" w:type="dxa"/>
            </w:tcMar>
            <w:vAlign w:val="center"/>
          </w:tcPr>
          <w:p w14:paraId="31FB650D" w14:textId="77777777" w:rsidR="00523ED0" w:rsidRDefault="00000000">
            <w:pPr>
              <w:spacing w:after="0" w:line="252" w:lineRule="auto"/>
              <w:jc w:val="center"/>
            </w:pPr>
            <w:r>
              <w:rPr>
                <w:sz w:val="17"/>
              </w:rPr>
              <w:t>16.18%</w:t>
            </w:r>
          </w:p>
        </w:tc>
        <w:tc>
          <w:tcPr>
            <w:tcW w:w="1200" w:type="dxa"/>
            <w:shd w:val="clear" w:color="auto" w:fill="FAFBFC"/>
            <w:tcMar>
              <w:top w:w="80" w:type="dxa"/>
              <w:left w:w="120" w:type="dxa"/>
              <w:bottom w:w="80" w:type="dxa"/>
              <w:right w:w="120" w:type="dxa"/>
            </w:tcMar>
            <w:vAlign w:val="center"/>
          </w:tcPr>
          <w:p w14:paraId="14606F07" w14:textId="77777777" w:rsidR="00523ED0" w:rsidRDefault="00000000">
            <w:pPr>
              <w:spacing w:after="0" w:line="252" w:lineRule="auto"/>
              <w:jc w:val="center"/>
            </w:pPr>
            <w:r>
              <w:rPr>
                <w:sz w:val="17"/>
              </w:rPr>
              <w:t>0.862</w:t>
            </w:r>
          </w:p>
        </w:tc>
        <w:tc>
          <w:tcPr>
            <w:tcW w:w="1560" w:type="dxa"/>
            <w:shd w:val="clear" w:color="auto" w:fill="FAFBFC"/>
            <w:tcMar>
              <w:top w:w="80" w:type="dxa"/>
              <w:left w:w="120" w:type="dxa"/>
              <w:bottom w:w="80" w:type="dxa"/>
              <w:right w:w="120" w:type="dxa"/>
            </w:tcMar>
            <w:vAlign w:val="center"/>
          </w:tcPr>
          <w:p w14:paraId="52902813" w14:textId="77777777" w:rsidR="00523ED0" w:rsidRDefault="00000000">
            <w:pPr>
              <w:spacing w:after="0" w:line="252" w:lineRule="auto"/>
              <w:jc w:val="center"/>
            </w:pPr>
            <w:r>
              <w:rPr>
                <w:sz w:val="17"/>
              </w:rPr>
              <w:t>58.3%</w:t>
            </w:r>
          </w:p>
        </w:tc>
      </w:tr>
    </w:tbl>
    <w:p w14:paraId="5C036813" w14:textId="77777777" w:rsidR="00523ED0" w:rsidRDefault="00523ED0">
      <w:pPr>
        <w:spacing w:after="40"/>
      </w:pPr>
    </w:p>
    <w:p w14:paraId="09BC8BAE" w14:textId="77777777" w:rsidR="00523ED0" w:rsidRDefault="00000000">
      <w:pPr>
        <w:spacing w:before="80" w:after="80"/>
      </w:pPr>
      <w:r>
        <w:rPr>
          <w:i/>
          <w:color w:val="5E6978"/>
          <w:sz w:val="17"/>
        </w:rPr>
        <w:t>Source: Author calculations from results/tables/fusion_comparison.csv; all portfolio decisions use lagged information.</w:t>
      </w:r>
    </w:p>
    <w:p w14:paraId="3156F8A8" w14:textId="1971BBAC" w:rsidR="002E2401" w:rsidRDefault="009C069D" w:rsidP="002E2401">
      <w:r w:rsidRPr="009C069D">
        <w:t xml:space="preserve">The main result is that </w:t>
      </w:r>
      <w:r w:rsidR="00A119D0">
        <w:t>adding</w:t>
      </w:r>
      <w:r w:rsidRPr="009C069D">
        <w:t xml:space="preserve"> </w:t>
      </w:r>
      <w:r w:rsidR="006550A9">
        <w:t>sentiment</w:t>
      </w:r>
      <w:r w:rsidRPr="009C069D">
        <w:t xml:space="preserve"> </w:t>
      </w:r>
      <w:r w:rsidR="00A119D0">
        <w:t>did</w:t>
      </w:r>
      <w:r w:rsidRPr="009C069D">
        <w:t xml:space="preserve"> not improve risk-adjusted performance. </w:t>
      </w:r>
      <w:r w:rsidR="00D45FB3">
        <w:t>Equity Sharpe fell from 0.723 under price-only Risk Parity to 0.683 under the naive sentiment tilt and 0.692 after coverage adjustment.</w:t>
      </w:r>
      <w:r w:rsidRPr="009C069D">
        <w:t xml:space="preserve"> </w:t>
      </w:r>
      <w:r w:rsidR="00D45FB3">
        <w:t>Within the combined</w:t>
      </w:r>
      <w:r w:rsidRPr="009C069D">
        <w:t xml:space="preserve"> fund, the Sharpe </w:t>
      </w:r>
      <w:r w:rsidR="0000251F">
        <w:t>ratio</w:t>
      </w:r>
      <w:r w:rsidRPr="009C069D">
        <w:t xml:space="preserve"> dropped from 0.888 to 0.856 and 0.86</w:t>
      </w:r>
      <w:r w:rsidR="00946CBA">
        <w:rPr>
          <w:rFonts w:hint="eastAsia"/>
          <w:lang w:eastAsia="zh-CN"/>
        </w:rPr>
        <w:t>2</w:t>
      </w:r>
      <w:r w:rsidRPr="009C069D">
        <w:t xml:space="preserve">. </w:t>
      </w:r>
      <w:r w:rsidR="00B54D05">
        <w:t>Turnover also increases after adding sentiment. For equity, annualised turnover is 58.8% under the naive tilt and 53.1% after coverage adjustment. For the combined fund, the figures are 63.7% and 58.3% respectively</w:t>
      </w:r>
      <w:r w:rsidR="002E2401">
        <w:t>.</w:t>
      </w:r>
    </w:p>
    <w:p w14:paraId="708E0923" w14:textId="5F9038B6" w:rsidR="002E2401" w:rsidRDefault="009C069D" w:rsidP="002E2401">
      <w:r w:rsidRPr="009C069D">
        <w:t xml:space="preserve">The robust results point in the same direction. All 24 non-base </w:t>
      </w:r>
      <w:r w:rsidR="00B54D05">
        <w:t>strength-</w:t>
      </w:r>
      <w:r w:rsidRPr="009C069D">
        <w:t>and</w:t>
      </w:r>
      <w:r w:rsidR="00B54D05">
        <w:t>-</w:t>
      </w:r>
      <w:r w:rsidRPr="009C069D">
        <w:t xml:space="preserve">cost cases </w:t>
      </w:r>
      <w:r w:rsidR="00B54D05">
        <w:t>have a</w:t>
      </w:r>
      <w:r w:rsidRPr="009C069D">
        <w:t xml:space="preserve"> negative </w:t>
      </w:r>
      <w:r w:rsidR="00B54D05">
        <w:t xml:space="preserve">change in </w:t>
      </w:r>
      <w:r w:rsidRPr="009C069D">
        <w:t>Sharp</w:t>
      </w:r>
      <w:r w:rsidR="00B54D05">
        <w:t>e</w:t>
      </w:r>
      <w:r w:rsidRPr="009C069D">
        <w:t xml:space="preserve">, so there is no evidence that </w:t>
      </w:r>
      <w:r w:rsidR="006550A9">
        <w:t>sentiment</w:t>
      </w:r>
      <w:r w:rsidRPr="009C069D">
        <w:t xml:space="preserve"> rules create alpha. </w:t>
      </w:r>
      <w:r w:rsidR="00B54D05">
        <w:t>However, every coverage-adjusted case loses less Sharpe and produces less turnover than its matched naive case</w:t>
      </w:r>
      <w:r w:rsidRPr="009C069D">
        <w:t xml:space="preserve">. </w:t>
      </w:r>
      <w:r w:rsidR="00B54D05" w:rsidRPr="00B54D05">
        <w:t xml:space="preserve">I think this is mainly a problem of data quality: </w:t>
      </w:r>
      <w:r w:rsidR="0000251F">
        <w:t>w</w:t>
      </w:r>
      <w:r w:rsidR="00B54D05" w:rsidRPr="00B54D05">
        <w:t xml:space="preserve">hen news </w:t>
      </w:r>
      <w:r w:rsidR="0000251F">
        <w:t>coverage</w:t>
      </w:r>
      <w:r w:rsidR="00B54D05" w:rsidRPr="00B54D05">
        <w:t xml:space="preserve"> </w:t>
      </w:r>
      <w:r w:rsidR="0000251F">
        <w:t>is</w:t>
      </w:r>
      <w:r w:rsidR="00B54D05" w:rsidRPr="00B54D05">
        <w:t xml:space="preserve"> weak or concentrated, reducing the confidence level can mitigate the impact of weak signals, but it cannot make the underlying</w:t>
      </w:r>
      <w:r w:rsidR="00D45FB3">
        <w:t xml:space="preserve"> sentiment</w:t>
      </w:r>
      <w:r w:rsidR="00B54D05" w:rsidRPr="00B54D05">
        <w:t xml:space="preserve"> signals stronger</w:t>
      </w:r>
      <w:r w:rsidRPr="009C069D">
        <w:t xml:space="preserve">. </w:t>
      </w:r>
      <w:r w:rsidR="00D45FB3">
        <w:t>There are several possible reasons. Headlines may already be incorporated into prices quickly, while sector aggregation can remove firm-level information. VADER also has limited financial vocabulary, and monthly rebalancing may be too slow for a short-lived signal</w:t>
      </w:r>
      <w:r w:rsidR="002E2401">
        <w:t>.</w:t>
      </w:r>
    </w:p>
    <w:p w14:paraId="471BE88B" w14:textId="4285E054" w:rsidR="002E2401" w:rsidRDefault="009C069D" w:rsidP="002E2401">
      <w:pPr>
        <w:keepLines/>
        <w:pBdr>
          <w:left w:val="single" w:sz="18" w:space="8" w:color="B47825"/>
        </w:pBdr>
        <w:shd w:val="clear" w:color="auto" w:fill="FFF8E8"/>
        <w:spacing w:before="120" w:after="200"/>
        <w:ind w:left="173" w:right="115"/>
      </w:pPr>
      <w:r w:rsidRPr="009C069D">
        <w:rPr>
          <w:b/>
          <w:color w:val="0B2545"/>
        </w:rPr>
        <w:t xml:space="preserve">For products, the coverage index can serve as a warning of signal quality rather than a source of market return. I suggest that after testing on longer prospective samples, real costs and alternative text models, the </w:t>
      </w:r>
      <w:r w:rsidR="006550A9">
        <w:rPr>
          <w:b/>
          <w:color w:val="0B2545"/>
        </w:rPr>
        <w:t>sentiment</w:t>
      </w:r>
      <w:r w:rsidRPr="009C069D">
        <w:rPr>
          <w:b/>
          <w:color w:val="0B2545"/>
        </w:rPr>
        <w:t xml:space="preserve"> portfolio function should remain experimental</w:t>
      </w:r>
      <w:r w:rsidR="002E2401">
        <w:rPr>
          <w:b/>
          <w:color w:val="0B2545"/>
        </w:rPr>
        <w:t>.</w:t>
      </w:r>
    </w:p>
    <w:p w14:paraId="14B4E7E0" w14:textId="77777777" w:rsidR="002E2401" w:rsidRDefault="002E2401" w:rsidP="002E2401">
      <w:pPr>
        <w:pStyle w:val="Heading1"/>
      </w:pPr>
      <w:r>
        <w:t>6. How the app presents the evidence</w:t>
      </w:r>
    </w:p>
    <w:p w14:paraId="7B304BDF" w14:textId="29BFF3E0" w:rsidR="002E2401" w:rsidRDefault="009C069D" w:rsidP="002E2401">
      <w:r w:rsidRPr="009C069D">
        <w:t xml:space="preserve">AtlasSignal is aimed at users with financial knowledge who can understand </w:t>
      </w:r>
      <w:r w:rsidR="00D45FB3">
        <w:t>return</w:t>
      </w:r>
      <w:r w:rsidRPr="009C069D">
        <w:t xml:space="preserve">, volatility, </w:t>
      </w:r>
      <w:r w:rsidR="006550A9">
        <w:t>drawdown</w:t>
      </w:r>
      <w:r w:rsidRPr="009C069D">
        <w:t xml:space="preserve"> and diversification, but do not want to use the underlying Python pipeline in depth. Therefore, the design of this application focuses more on decision analysis than model development. It allows users to compare different funds, view a certain fund in detail, test </w:t>
      </w:r>
      <w:r w:rsidR="00B54D05">
        <w:t>a</w:t>
      </w:r>
      <w:r w:rsidRPr="009C069D">
        <w:t xml:space="preserve"> historical </w:t>
      </w:r>
      <w:r w:rsidR="00B54D05">
        <w:t>allocation scenario,</w:t>
      </w:r>
      <w:r w:rsidRPr="009C069D">
        <w:t xml:space="preserve"> and then </w:t>
      </w:r>
      <w:r w:rsidR="00B54D05">
        <w:t xml:space="preserve">explore the </w:t>
      </w:r>
      <w:r w:rsidR="006550A9">
        <w:t>sentiment</w:t>
      </w:r>
      <w:r w:rsidRPr="009C069D">
        <w:t xml:space="preserve"> </w:t>
      </w:r>
      <w:r w:rsidR="00B54D05">
        <w:t>evidence</w:t>
      </w:r>
      <w:r w:rsidRPr="009C069D">
        <w:t>. The purpose is to make assumptions and risks clearly visible, rather than providing intraday trading signals or personalized advice</w:t>
      </w:r>
      <w:r w:rsidR="002E2401">
        <w:t>.</w:t>
      </w:r>
    </w:p>
    <w:p w14:paraId="06DB9F81" w14:textId="4DDEAE0E" w:rsidR="002E2401" w:rsidRDefault="00B54D05" w:rsidP="002E2401">
      <w:pPr>
        <w:numPr>
          <w:ilvl w:val="0"/>
          <w:numId w:val="1"/>
        </w:numPr>
      </w:pPr>
      <w:r>
        <w:t>Compare Funds</w:t>
      </w:r>
      <w:r w:rsidR="009C069D" w:rsidRPr="009C069D">
        <w:t xml:space="preserve">: Twelve products are compared by product category and construction method, while showing the </w:t>
      </w:r>
      <w:r w:rsidR="006550A9">
        <w:t>return</w:t>
      </w:r>
      <w:r w:rsidR="009C069D" w:rsidRPr="009C069D">
        <w:t xml:space="preserve">, volatility, </w:t>
      </w:r>
      <w:r w:rsidR="006550A9">
        <w:t>Sharpe ratio</w:t>
      </w:r>
      <w:r w:rsidR="009C069D" w:rsidRPr="009C069D">
        <w:t xml:space="preserve"> and maximum </w:t>
      </w:r>
      <w:r w:rsidR="006550A9">
        <w:t>drawdown</w:t>
      </w:r>
      <w:r w:rsidR="009C069D" w:rsidRPr="009C069D">
        <w:t xml:space="preserve">. You can also download the </w:t>
      </w:r>
      <w:r w:rsidR="00E26FFF">
        <w:t>exact</w:t>
      </w:r>
      <w:r w:rsidR="009C069D" w:rsidRPr="009C069D">
        <w:t xml:space="preserve"> comparison table</w:t>
      </w:r>
      <w:r w:rsidR="002E2401">
        <w:t>.</w:t>
      </w:r>
    </w:p>
    <w:p w14:paraId="3282C426" w14:textId="52E948CE" w:rsidR="002E2401" w:rsidRDefault="009C069D" w:rsidP="002E2401">
      <w:pPr>
        <w:numPr>
          <w:ilvl w:val="0"/>
          <w:numId w:val="1"/>
        </w:numPr>
      </w:pPr>
      <w:r w:rsidRPr="009C069D">
        <w:lastRenderedPageBreak/>
        <w:t xml:space="preserve">Fund </w:t>
      </w:r>
      <w:r w:rsidR="00B54D05">
        <w:t>Fact Sheet</w:t>
      </w:r>
      <w:r w:rsidRPr="009C069D">
        <w:t xml:space="preserve">: You can open any fund to view its performance path, </w:t>
      </w:r>
      <w:r w:rsidR="006550A9">
        <w:t>drawdown</w:t>
      </w:r>
      <w:r w:rsidRPr="009C069D">
        <w:t xml:space="preserve">, required statistics, the latest OOS </w:t>
      </w:r>
      <w:r w:rsidR="006550A9">
        <w:t xml:space="preserve">target </w:t>
      </w:r>
      <w:r w:rsidR="0000251F">
        <w:t>holdings</w:t>
      </w:r>
      <w:r w:rsidRPr="009C069D">
        <w:t xml:space="preserve"> and </w:t>
      </w:r>
      <w:r w:rsidR="006550A9">
        <w:t>sector</w:t>
      </w:r>
      <w:r w:rsidR="00EB320A">
        <w:t xml:space="preserve"> </w:t>
      </w:r>
      <w:r w:rsidRPr="009C069D">
        <w:t>or cryptocurrency composition. In addition, other downside risk and turnover indicators are available for reference</w:t>
      </w:r>
      <w:r w:rsidR="002E2401">
        <w:t>.</w:t>
      </w:r>
    </w:p>
    <w:p w14:paraId="5DABA6B1" w14:textId="2B002AAD" w:rsidR="002E2401" w:rsidRDefault="00B54D05" w:rsidP="002E2401">
      <w:pPr>
        <w:numPr>
          <w:ilvl w:val="0"/>
          <w:numId w:val="1"/>
        </w:numPr>
      </w:pPr>
      <w:r>
        <w:t>Allocation Lab</w:t>
      </w:r>
      <w:r w:rsidR="009C069D" w:rsidRPr="009C069D">
        <w:t xml:space="preserve">: </w:t>
      </w:r>
      <w:r w:rsidR="00AC4010">
        <w:t>Users can combine up to four fund sleeves in a historical allocation scenario</w:t>
      </w:r>
      <w:r w:rsidR="009C069D" w:rsidRPr="009C069D">
        <w:t xml:space="preserve">. The </w:t>
      </w:r>
      <w:r w:rsidR="00474AC8">
        <w:t xml:space="preserve">allocation </w:t>
      </w:r>
      <w:r w:rsidR="009C069D" w:rsidRPr="009C069D">
        <w:t>input</w:t>
      </w:r>
      <w:r w:rsidR="00474AC8">
        <w:t>s</w:t>
      </w:r>
      <w:r w:rsidR="009C069D" w:rsidRPr="009C069D">
        <w:t xml:space="preserve"> </w:t>
      </w:r>
      <w:r w:rsidR="00474AC8">
        <w:t>are</w:t>
      </w:r>
      <w:r w:rsidR="009C069D" w:rsidRPr="009C069D">
        <w:t xml:space="preserve"> </w:t>
      </w:r>
      <w:r w:rsidR="006550A9">
        <w:t>normalised</w:t>
      </w:r>
      <w:r w:rsidR="009C069D" w:rsidRPr="009C069D">
        <w:t xml:space="preserve"> to 100%, and each combination is allowed to drift after initial allocation. When </w:t>
      </w:r>
      <w:r>
        <w:t>a native crypto fund is included, weekend crypto returns are retained</w:t>
      </w:r>
      <w:r w:rsidR="009C069D" w:rsidRPr="009C069D">
        <w:t xml:space="preserve">. This </w:t>
      </w:r>
      <w:r>
        <w:t>scenario does not rebalance the fund sleeves every</w:t>
      </w:r>
      <w:r w:rsidR="00AC4010">
        <w:t xml:space="preserve"> </w:t>
      </w:r>
      <w:r>
        <w:t>day</w:t>
      </w:r>
      <w:r w:rsidR="00AC4010">
        <w:t>. T</w:t>
      </w:r>
      <w:r>
        <w:t>heir weights are allowed to drift after the initial allocation.</w:t>
      </w:r>
      <w:r w:rsidR="009C069D" w:rsidRPr="009C069D">
        <w:t xml:space="preserve"> </w:t>
      </w:r>
    </w:p>
    <w:p w14:paraId="1D26B9AE" w14:textId="3AB464F6" w:rsidR="002E2401" w:rsidRDefault="009C069D" w:rsidP="002E2401">
      <w:pPr>
        <w:numPr>
          <w:ilvl w:val="0"/>
          <w:numId w:val="1"/>
        </w:numPr>
      </w:pPr>
      <w:r w:rsidRPr="009C069D">
        <w:t>News</w:t>
      </w:r>
      <w:r w:rsidR="00B54D05">
        <w:t xml:space="preserve"> &amp;</w:t>
      </w:r>
      <w:r w:rsidRPr="009C069D">
        <w:t xml:space="preserve"> Innovation: </w:t>
      </w:r>
      <w:r w:rsidR="00B54D05">
        <w:t>users can inspect sector sentiment and news coverage, then compare price-only Risk Parity with the naive and coverage-adjusted sentiment variants</w:t>
      </w:r>
      <w:r w:rsidR="002E2401">
        <w:t>.</w:t>
      </w:r>
    </w:p>
    <w:p w14:paraId="71AE18D5" w14:textId="6669F5C5" w:rsidR="002E2401" w:rsidRDefault="009C069D" w:rsidP="002E2401">
      <w:r w:rsidRPr="009C069D">
        <w:t xml:space="preserve">The deployed application reads the </w:t>
      </w:r>
      <w:r w:rsidR="00EB320A" w:rsidRPr="009C069D">
        <w:t>pre</w:t>
      </w:r>
      <w:r w:rsidR="00EB320A">
        <w:t>computed</w:t>
      </w:r>
      <w:r w:rsidRPr="009C069D">
        <w:t xml:space="preserve"> CSV </w:t>
      </w:r>
      <w:r w:rsidR="00B54D05">
        <w:t>artifacts</w:t>
      </w:r>
      <w:r w:rsidRPr="009C069D">
        <w:t xml:space="preserve"> from the results/ directory instead of running VADER on the server or rebuilding the portfolio backtest. This maintains the responsiveness of the interface and separates model production from display. In addition to using colors, the visual design also adopts method shapes and line styles, and no horizontal page overflow problems were found in desktop and 390-pixel-wide browser tests</w:t>
      </w:r>
      <w:r w:rsidR="002E2401">
        <w:t>.</w:t>
      </w:r>
    </w:p>
    <w:p w14:paraId="3EFB8E4D" w14:textId="2FB220B3" w:rsidR="002E2401" w:rsidRDefault="00AC4010" w:rsidP="002E2401">
      <w:r>
        <w:t>The app also includes several basic guardrails</w:t>
      </w:r>
      <w:r w:rsidR="009C069D" w:rsidRPr="009C069D">
        <w:t xml:space="preserve">. </w:t>
      </w:r>
      <w:r w:rsidR="00B54D05">
        <w:t>Crypto drawdowns remain visible in the app</w:t>
      </w:r>
      <w:r w:rsidR="009C069D" w:rsidRPr="009C069D">
        <w:t xml:space="preserve">. The latest OOS target has been marked with the date of December 1, 2023. The </w:t>
      </w:r>
      <w:r w:rsidR="00B54D05">
        <w:t>allocation</w:t>
      </w:r>
      <w:r w:rsidR="009C069D" w:rsidRPr="009C069D">
        <w:t xml:space="preserve"> input </w:t>
      </w:r>
      <w:r>
        <w:t>is</w:t>
      </w:r>
      <w:r w:rsidR="009C069D" w:rsidRPr="009C069D">
        <w:t xml:space="preserve"> </w:t>
      </w:r>
      <w:r w:rsidR="00B54D05">
        <w:t>normalised</w:t>
      </w:r>
      <w:r w:rsidR="009C069D" w:rsidRPr="009C069D">
        <w:t xml:space="preserve"> transparent</w:t>
      </w:r>
      <w:r w:rsidR="00B54D05">
        <w:t>ly</w:t>
      </w:r>
      <w:r w:rsidR="009C069D" w:rsidRPr="009C069D">
        <w:t xml:space="preserve">, and the negative </w:t>
      </w:r>
      <w:r w:rsidR="006550A9">
        <w:t>sentiment</w:t>
      </w:r>
      <w:r w:rsidR="009C069D" w:rsidRPr="009C069D">
        <w:t xml:space="preserve"> results will not be hidden. These designs reduce the possibility of users confusing high historical returns with low risk. However, these measures cannot replace suitability assessment, legal disclosure, liquidity and custody analysis, or real-time operational records</w:t>
      </w:r>
      <w:r w:rsidR="002E2401">
        <w:t>.</w:t>
      </w:r>
    </w:p>
    <w:p w14:paraId="0C8D55A4" w14:textId="77777777" w:rsidR="002E2401" w:rsidRDefault="002E2401" w:rsidP="002E2401">
      <w:pPr>
        <w:pStyle w:val="Heading1"/>
      </w:pPr>
      <w:r>
        <w:t>7. Reflection and recommendations</w:t>
      </w:r>
    </w:p>
    <w:p w14:paraId="251B2150" w14:textId="31F264C2" w:rsidR="002E2401" w:rsidRDefault="009C069D" w:rsidP="002E2401">
      <w:pPr>
        <w:rPr>
          <w:lang w:eastAsia="zh-CN"/>
        </w:rPr>
      </w:pPr>
      <w:r w:rsidRPr="009C069D">
        <w:t>S</w:t>
      </w:r>
      <w:r w:rsidR="00B54D05">
        <w:t xml:space="preserve">ome </w:t>
      </w:r>
      <w:r w:rsidRPr="009C069D">
        <w:t xml:space="preserve">parts of the project </w:t>
      </w:r>
      <w:r w:rsidR="00B54D05">
        <w:t>worked better than I expected</w:t>
      </w:r>
      <w:r w:rsidRPr="009C069D">
        <w:t xml:space="preserve">. </w:t>
      </w:r>
      <w:r w:rsidR="00474AC8">
        <w:t>Reusing the Part A data foundation meant I did not need to copy raw data into Part B. Timing and calendar tests also caught several small implementation choices that could affect the return series</w:t>
      </w:r>
      <w:r w:rsidRPr="009C069D">
        <w:t>. The construction of all twelve funds also makes it easier to compare the behaviors of different methods. In the integrated data set</w:t>
      </w:r>
      <w:r w:rsidR="00AC4010">
        <w:t>,</w:t>
      </w:r>
      <w:r w:rsidR="001D69BC" w:rsidRPr="001D69BC">
        <w:t xml:space="preserve"> </w:t>
      </w:r>
      <w:r w:rsidR="001D69BC">
        <w:t>Combined Risk Parity produced the strongest combined-family Sharpe in this sample</w:t>
      </w:r>
      <w:r w:rsidRPr="009C069D">
        <w:t xml:space="preserve">, and the application associates summary statistics with growth, </w:t>
      </w:r>
      <w:r w:rsidR="006550A9">
        <w:t>drawdown</w:t>
      </w:r>
      <w:r w:rsidRPr="009C069D">
        <w:t xml:space="preserve"> and target configuration views instead of presenting a single indicator number alone.</w:t>
      </w:r>
    </w:p>
    <w:p w14:paraId="23E08E17" w14:textId="04F001C7" w:rsidR="009C069D" w:rsidRDefault="001D69BC" w:rsidP="009C069D">
      <w:pPr>
        <w:rPr>
          <w:lang w:eastAsia="zh-CN"/>
        </w:rPr>
      </w:pPr>
      <w:r>
        <w:t>Other parts did not work as well</w:t>
      </w:r>
      <w:r w:rsidR="009C069D" w:rsidRPr="009C069D">
        <w:t xml:space="preserve">. The maximum Sharpe ratio is unstable and the </w:t>
      </w:r>
      <w:r w:rsidR="006550A9">
        <w:t>turnover</w:t>
      </w:r>
      <w:r w:rsidR="009C069D" w:rsidRPr="009C069D">
        <w:t xml:space="preserve"> is high, which further highlights the sensitivity of </w:t>
      </w:r>
      <w:r>
        <w:t xml:space="preserve">Maximum Sharpe to </w:t>
      </w:r>
      <w:r w:rsidR="009C069D" w:rsidRPr="009C069D">
        <w:t>nois</w:t>
      </w:r>
      <w:r>
        <w:t>y mean-</w:t>
      </w:r>
      <w:r w:rsidR="009C069D" w:rsidRPr="009C069D">
        <w:t>return estimat</w:t>
      </w:r>
      <w:r w:rsidR="00474AC8">
        <w:t>e</w:t>
      </w:r>
      <w:r>
        <w:t xml:space="preserve">s. </w:t>
      </w:r>
      <w:r w:rsidR="009C069D" w:rsidRPr="009C069D">
        <w:t xml:space="preserve">More importantly, </w:t>
      </w:r>
      <w:r w:rsidR="00474AC8">
        <w:t xml:space="preserve">the </w:t>
      </w:r>
      <w:r w:rsidR="006550A9">
        <w:t>sentiment</w:t>
      </w:r>
      <w:r w:rsidR="009C069D" w:rsidRPr="009C069D">
        <w:t xml:space="preserve"> t</w:t>
      </w:r>
      <w:r>
        <w:t xml:space="preserve">ilt </w:t>
      </w:r>
      <w:r w:rsidR="009C069D" w:rsidRPr="009C069D">
        <w:t>reduce</w:t>
      </w:r>
      <w:r w:rsidR="00474AC8">
        <w:t>d</w:t>
      </w:r>
      <w:r w:rsidR="009C069D" w:rsidRPr="009C069D">
        <w:t xml:space="preserve"> the </w:t>
      </w:r>
      <w:r w:rsidR="006550A9">
        <w:t>Sharpe ratio</w:t>
      </w:r>
      <w:r w:rsidR="009C069D" w:rsidRPr="009C069D">
        <w:t xml:space="preserve"> in all test</w:t>
      </w:r>
      <w:r w:rsidR="00AC4010">
        <w:t xml:space="preserve">ed tilt strengths </w:t>
      </w:r>
      <w:r w:rsidR="009C069D" w:rsidRPr="009C069D">
        <w:t xml:space="preserve">and cost </w:t>
      </w:r>
      <w:r w:rsidR="00AC4010">
        <w:t>assumptions</w:t>
      </w:r>
      <w:r w:rsidR="009C069D" w:rsidRPr="009C069D">
        <w:t>. Although the coverage adjustment alleviated this deteriorating trend, it failed to reverse it. I think it is more meaningful to keep this negative result than to choose the least negative setting and present it as a success</w:t>
      </w:r>
      <w:r>
        <w:t>. For me,</w:t>
      </w:r>
      <w:r w:rsidR="009C069D" w:rsidRPr="009C069D">
        <w:t xml:space="preserve"> the </w:t>
      </w:r>
      <w:r>
        <w:t>result</w:t>
      </w:r>
      <w:r w:rsidR="009C069D" w:rsidRPr="009C069D">
        <w:t xml:space="preserve"> supports </w:t>
      </w:r>
      <w:r w:rsidR="00AC4010">
        <w:t>using</w:t>
      </w:r>
      <w:r w:rsidR="009C069D" w:rsidRPr="009C069D">
        <w:t xml:space="preserve"> cover</w:t>
      </w:r>
      <w:r w:rsidR="00474AC8">
        <w:t>age</w:t>
      </w:r>
      <w:r w:rsidR="009C069D" w:rsidRPr="009C069D">
        <w:t xml:space="preserve"> </w:t>
      </w:r>
      <w:r w:rsidR="00AC4010">
        <w:t>as a data-</w:t>
      </w:r>
      <w:r w:rsidR="009C069D" w:rsidRPr="009C069D">
        <w:t xml:space="preserve">quality control rather than </w:t>
      </w:r>
      <w:r w:rsidR="00AC4010">
        <w:t xml:space="preserve">claiming </w:t>
      </w:r>
      <w:r w:rsidR="009C069D" w:rsidRPr="009C069D">
        <w:t>predictive alpha</w:t>
      </w:r>
      <w:r w:rsidR="002E2401">
        <w:t>.</w:t>
      </w:r>
    </w:p>
    <w:p w14:paraId="4FD90590" w14:textId="72C8282C" w:rsidR="009C069D" w:rsidRPr="009C069D" w:rsidRDefault="009C069D" w:rsidP="009C069D">
      <w:r w:rsidRPr="009C069D">
        <w:t xml:space="preserve">The evidence is also limited by the sample. The OOS period only covers 2021 to 2023 and includes </w:t>
      </w:r>
      <w:r w:rsidR="001D69BC">
        <w:t>unusually volatile crypto market conditions</w:t>
      </w:r>
      <w:r w:rsidRPr="009C069D">
        <w:t xml:space="preserve">. Since the same </w:t>
      </w:r>
      <w:r w:rsidR="00AC4010">
        <w:t>OOS period</w:t>
      </w:r>
      <w:r w:rsidRPr="009C069D">
        <w:t xml:space="preserve"> is used to compare multiple </w:t>
      </w:r>
      <w:r w:rsidRPr="009C069D">
        <w:lastRenderedPageBreak/>
        <w:t xml:space="preserve">funds, the ranking depends on the sample, not the results found independently. The performance of major funds assumes zero transaction costs and </w:t>
      </w:r>
      <w:r w:rsidR="00474AC8">
        <w:t xml:space="preserve">a </w:t>
      </w:r>
      <w:r w:rsidRPr="009C069D">
        <w:t xml:space="preserve">0% risk-free rate. When </w:t>
      </w:r>
      <w:r w:rsidR="00AC4010">
        <w:t>returns are highly volatile</w:t>
      </w:r>
      <w:r w:rsidRPr="009C069D">
        <w:t xml:space="preserve">, the arithmetic </w:t>
      </w:r>
      <w:r w:rsidR="006550A9">
        <w:t>annualise</w:t>
      </w:r>
      <w:r w:rsidRPr="009C069D">
        <w:t>d return may be significantly different from compound investor</w:t>
      </w:r>
      <w:r w:rsidR="001D69BC">
        <w:t xml:space="preserve"> growth</w:t>
      </w:r>
      <w:r w:rsidRPr="009C069D">
        <w:t>. Sharp</w:t>
      </w:r>
      <w:r w:rsidR="0035706F">
        <w:t>e</w:t>
      </w:r>
      <w:r w:rsidRPr="009C069D">
        <w:t xml:space="preserve"> also uses volatility as its risk measurement indicator, so maximum </w:t>
      </w:r>
      <w:r w:rsidR="006550A9">
        <w:t>drawdown</w:t>
      </w:r>
      <w:r w:rsidRPr="009C069D">
        <w:t xml:space="preserve">, </w:t>
      </w:r>
      <w:r w:rsidR="006550A9">
        <w:t>Value at Risk</w:t>
      </w:r>
      <w:r w:rsidRPr="009C069D">
        <w:t xml:space="preserve"> (VaR) and </w:t>
      </w:r>
      <w:r w:rsidR="006550A9">
        <w:t>Expected Shortfall</w:t>
      </w:r>
      <w:r w:rsidRPr="009C069D">
        <w:t xml:space="preserve"> are still important.</w:t>
      </w:r>
    </w:p>
    <w:p w14:paraId="49B5C1A0" w14:textId="65B79B98" w:rsidR="002E2401" w:rsidRPr="009C069D" w:rsidRDefault="002E2401" w:rsidP="002E2401">
      <w:pPr>
        <w:pStyle w:val="Heading2"/>
        <w:rPr>
          <w:rFonts w:ascii="Calibri" w:eastAsiaTheme="minorEastAsia" w:hAnsi="Calibri" w:cstheme="minorBidi"/>
          <w:b w:val="0"/>
          <w:bCs w:val="0"/>
          <w:color w:val="1F2937"/>
          <w:sz w:val="22"/>
          <w:szCs w:val="22"/>
          <w:lang w:eastAsia="zh-CN"/>
        </w:rPr>
      </w:pPr>
      <w:r>
        <w:t>Recommendation 1 — Use Combined Risk Parity as the prototype reference portfolio</w:t>
      </w:r>
    </w:p>
    <w:p w14:paraId="5CD1ECEB" w14:textId="2B7F80ED" w:rsidR="002E2401" w:rsidRDefault="009C069D" w:rsidP="002E2401">
      <w:r w:rsidRPr="009C069D">
        <w:t>I suggest setting Combined Risk Parity as the default d</w:t>
      </w:r>
      <w:r w:rsidR="001D69BC">
        <w:t>iversified</w:t>
      </w:r>
      <w:r w:rsidRPr="009C069D">
        <w:t xml:space="preserve"> reference </w:t>
      </w:r>
      <w:r w:rsidR="001D69BC">
        <w:t>portfolio</w:t>
      </w:r>
      <w:r w:rsidRPr="009C069D">
        <w:t xml:space="preserve"> in the prototype, because it has the strongest combined family Sharpe ratio (0.888), and its maximum </w:t>
      </w:r>
      <w:r w:rsidR="006550A9">
        <w:t>drawdown</w:t>
      </w:r>
      <w:r w:rsidRPr="009C069D">
        <w:t xml:space="preserve"> is -19.47%, which is</w:t>
      </w:r>
      <w:r w:rsidR="00AC4010">
        <w:t xml:space="preserve"> materially</w:t>
      </w:r>
      <w:r w:rsidRPr="009C069D">
        <w:t xml:space="preserve"> lower than Combined Equal Weight</w:t>
      </w:r>
      <w:r w:rsidR="00474AC8">
        <w:t>’s</w:t>
      </w:r>
      <w:r w:rsidRPr="009C069D">
        <w:t xml:space="preserve"> -27.87%. The 20% </w:t>
      </w:r>
      <w:r w:rsidR="001D69BC">
        <w:t>aggregate</w:t>
      </w:r>
      <w:r w:rsidRPr="009C069D">
        <w:t xml:space="preserve"> crypto</w:t>
      </w:r>
      <w:r w:rsidR="001D69BC">
        <w:t>-sleeve cap</w:t>
      </w:r>
      <w:r w:rsidRPr="009C069D">
        <w:t xml:space="preserve"> should be retained, and the loss path should be displayed before the user allocates funds. </w:t>
      </w:r>
      <w:r w:rsidR="001D69BC">
        <w:t>Minimum Variance can sit beside it as a more defensive option. This does not mean Risk Parity will always be the best fund</w:t>
      </w:r>
      <w:r w:rsidR="002E2401">
        <w:t>.</w:t>
      </w:r>
    </w:p>
    <w:p w14:paraId="7C7ACC62" w14:textId="77777777" w:rsidR="002E2401" w:rsidRDefault="002E2401" w:rsidP="002E2401">
      <w:pPr>
        <w:pStyle w:val="Heading2"/>
      </w:pPr>
      <w:r>
        <w:t>Recommendation 2 — Treat sentiment as an experiment, not a product claim</w:t>
      </w:r>
    </w:p>
    <w:p w14:paraId="0DFFC3B7" w14:textId="7096C417" w:rsidR="002E2401" w:rsidRDefault="009C069D" w:rsidP="002E2401">
      <w:r w:rsidRPr="009C069D">
        <w:t>I wo</w:t>
      </w:r>
      <w:r w:rsidR="001D69BC">
        <w:t>uld not present the</w:t>
      </w:r>
      <w:r w:rsidRPr="009C069D">
        <w:t xml:space="preserve"> </w:t>
      </w:r>
      <w:r w:rsidR="006550A9">
        <w:t>sentiment</w:t>
      </w:r>
      <w:r w:rsidRPr="009C069D">
        <w:t xml:space="preserve"> tilt as an alpha strategy. A better next test is to freeze the </w:t>
      </w:r>
      <w:r w:rsidR="00AC4010">
        <w:t>current coverage-</w:t>
      </w:r>
      <w:r w:rsidRPr="009C069D">
        <w:t xml:space="preserve">adjusted rule </w:t>
      </w:r>
      <w:r w:rsidR="00AC4010">
        <w:t>at</w:t>
      </w:r>
      <w:r w:rsidRPr="009C069D">
        <w:t xml:space="preserve"> a 25% </w:t>
      </w:r>
      <w:r w:rsidR="001D69BC">
        <w:t>maximum relative tilt</w:t>
      </w:r>
      <w:r w:rsidRPr="009C069D">
        <w:t xml:space="preserve"> and </w:t>
      </w:r>
      <w:r w:rsidR="001D69BC">
        <w:t>test it prospectively</w:t>
      </w:r>
      <w:r w:rsidRPr="009C069D">
        <w:t xml:space="preserve"> for at least another twelve months, adopt a rea</w:t>
      </w:r>
      <w:r w:rsidR="00AC4010">
        <w:rPr>
          <w:rFonts w:hint="eastAsia"/>
          <w:lang w:eastAsia="zh-CN"/>
        </w:rPr>
        <w:t>listic</w:t>
      </w:r>
      <w:r w:rsidRPr="009C069D">
        <w:t xml:space="preserve"> transaction</w:t>
      </w:r>
      <w:r w:rsidR="001D69BC">
        <w:t>-</w:t>
      </w:r>
      <w:r w:rsidRPr="009C069D">
        <w:t>cost a</w:t>
      </w:r>
      <w:r w:rsidR="001D69BC">
        <w:t>ssumption</w:t>
      </w:r>
      <w:r w:rsidRPr="009C069D">
        <w:t>, and add a preset financ</w:t>
      </w:r>
      <w:r w:rsidR="001D69BC">
        <w:t>e</w:t>
      </w:r>
      <w:r w:rsidRPr="009C069D">
        <w:t xml:space="preserve">-specific or supervised text model as a comparison. The main measures should be the change in the Sharpe ratio, </w:t>
      </w:r>
      <w:r w:rsidR="001D69BC">
        <w:t>turnover</w:t>
      </w:r>
      <w:r w:rsidRPr="009C069D">
        <w:t xml:space="preserve">, the </w:t>
      </w:r>
      <w:r w:rsidR="006550A9">
        <w:t>sector</w:t>
      </w:r>
      <w:r w:rsidR="001D69BC">
        <w:t xml:space="preserve"> </w:t>
      </w:r>
      <w:r w:rsidRPr="009C069D">
        <w:t xml:space="preserve">coverage, and the </w:t>
      </w:r>
      <w:r w:rsidR="006550A9">
        <w:t>drawdown</w:t>
      </w:r>
      <w:r w:rsidRPr="009C069D">
        <w:t xml:space="preserve"> relative to the </w:t>
      </w:r>
      <w:r w:rsidR="001D69BC">
        <w:t>price-only Risk</w:t>
      </w:r>
      <w:r w:rsidR="00474AC8">
        <w:t xml:space="preserve"> </w:t>
      </w:r>
      <w:r w:rsidR="001D69BC">
        <w:t>Parity base</w:t>
      </w:r>
      <w:r w:rsidRPr="009C069D">
        <w:t xml:space="preserve">. Even if the </w:t>
      </w:r>
      <w:r w:rsidR="00AC4010">
        <w:t>sentiment</w:t>
      </w:r>
      <w:r w:rsidRPr="009C069D">
        <w:t xml:space="preserve"> tilt </w:t>
      </w:r>
      <w:r w:rsidR="00AC4010">
        <w:t>remains disabled</w:t>
      </w:r>
      <w:r w:rsidRPr="009C069D">
        <w:t xml:space="preserve">, the coverage confidence indicator can still be used as a warning </w:t>
      </w:r>
      <w:r w:rsidR="00AC4010">
        <w:t>about whether the available news is representative</w:t>
      </w:r>
      <w:r w:rsidR="002E2401">
        <w:t>.</w:t>
      </w:r>
    </w:p>
    <w:p w14:paraId="2803FD8D" w14:textId="77777777" w:rsidR="002E2401" w:rsidRDefault="002E2401" w:rsidP="002E2401">
      <w:pPr>
        <w:pStyle w:val="Heading2"/>
      </w:pPr>
      <w:r>
        <w:t>Recommendation 3 — Add suitability and operating controls before any launch</w:t>
      </w:r>
    </w:p>
    <w:p w14:paraId="3C22DB4C" w14:textId="03BA1F11" w:rsidR="002E2401" w:rsidRDefault="009C069D" w:rsidP="002E2401">
      <w:r w:rsidRPr="009C069D">
        <w:t xml:space="preserve">Before the prototype can support real investors, I will add a short risk questionnaire and convert the answers into asset allocation limits. The application should </w:t>
      </w:r>
      <w:r w:rsidR="00AC4010">
        <w:t xml:space="preserve">show </w:t>
      </w:r>
      <w:r w:rsidR="001D69BC">
        <w:t xml:space="preserve">severe crypto drawdown </w:t>
      </w:r>
      <w:r w:rsidR="00AC4010">
        <w:t xml:space="preserve">and liquidity-stress </w:t>
      </w:r>
      <w:r w:rsidR="001D69BC">
        <w:t>scenarios</w:t>
      </w:r>
      <w:r w:rsidRPr="009C069D">
        <w:t xml:space="preserve">, display transaction costs before confirmation, and mark configurations beyond the </w:t>
      </w:r>
      <w:r w:rsidR="001D69BC">
        <w:t>crypto allocation guardrail</w:t>
      </w:r>
      <w:r w:rsidRPr="009C069D">
        <w:t xml:space="preserve">. The result </w:t>
      </w:r>
      <w:r w:rsidR="00AC4010">
        <w:t>artifacts</w:t>
      </w:r>
      <w:r w:rsidRPr="009C069D">
        <w:t xml:space="preserve"> should also be rebuilt </w:t>
      </w:r>
      <w:r w:rsidR="00474AC8">
        <w:t>through</w:t>
      </w:r>
      <w:r w:rsidRPr="009C069D">
        <w:t xml:space="preserve"> a </w:t>
      </w:r>
      <w:r w:rsidR="00FE7F42">
        <w:t>scheduled and versioned process</w:t>
      </w:r>
      <w:r w:rsidRPr="009C069D">
        <w:t xml:space="preserve">, including versioned input data, </w:t>
      </w:r>
      <w:r w:rsidR="00474AC8">
        <w:t>data-failure</w:t>
      </w:r>
      <w:r w:rsidRPr="009C069D">
        <w:t xml:space="preserve"> alerts, and audit logs to ensure that outdated targets cannot be displayed without notice</w:t>
      </w:r>
      <w:r w:rsidR="002E2401">
        <w:t>.</w:t>
      </w:r>
    </w:p>
    <w:p w14:paraId="2043BA9E" w14:textId="77777777" w:rsidR="002E2401" w:rsidRDefault="002E2401" w:rsidP="002E2401">
      <w:pPr>
        <w:pStyle w:val="Heading1"/>
      </w:pPr>
      <w:r>
        <w:t>8. Limits of the evidence and next questions</w:t>
      </w:r>
    </w:p>
    <w:p w14:paraId="615B083A" w14:textId="5BDD02C8" w:rsidR="002E2401" w:rsidRDefault="002E2401" w:rsidP="002E2401">
      <w:r>
        <w:t xml:space="preserve">• </w:t>
      </w:r>
      <w:r w:rsidR="009C069D" w:rsidRPr="009C069D">
        <w:t>If the sample time is longer and covers different interest</w:t>
      </w:r>
      <w:r w:rsidR="00FE7F42">
        <w:t>-</w:t>
      </w:r>
      <w:r w:rsidR="009C069D" w:rsidRPr="009C069D">
        <w:t xml:space="preserve">rate, </w:t>
      </w:r>
      <w:r w:rsidR="00FE7F42">
        <w:t>equity</w:t>
      </w:r>
      <w:r w:rsidR="009C069D" w:rsidRPr="009C069D">
        <w:t xml:space="preserve"> and </w:t>
      </w:r>
      <w:r w:rsidR="00FE7F42">
        <w:t>crypto regimes</w:t>
      </w:r>
      <w:r w:rsidR="009C069D" w:rsidRPr="009C069D">
        <w:t xml:space="preserve">, will the fund ranking remain similar? </w:t>
      </w:r>
      <w:r w:rsidR="00AC4010">
        <w:t>Would the result also hold in a true live-forward sample?</w:t>
      </w:r>
    </w:p>
    <w:p w14:paraId="7C578830" w14:textId="7958FEF6" w:rsidR="002E2401" w:rsidRDefault="002E2401" w:rsidP="002E2401">
      <w:r>
        <w:t xml:space="preserve">• </w:t>
      </w:r>
      <w:r w:rsidR="009C069D" w:rsidRPr="009C069D">
        <w:t xml:space="preserve">After applying </w:t>
      </w:r>
      <w:r w:rsidR="00FE7F42">
        <w:t>mean shrinkage</w:t>
      </w:r>
      <w:r w:rsidR="009C069D" w:rsidRPr="009C069D">
        <w:t xml:space="preserve">, turnover penalty and </w:t>
      </w:r>
      <w:r w:rsidR="00FE7F42">
        <w:t>explicit</w:t>
      </w:r>
      <w:r w:rsidR="009C069D" w:rsidRPr="009C069D">
        <w:t xml:space="preserve"> transaction cost</w:t>
      </w:r>
      <w:r w:rsidR="00AC4010">
        <w:t>s</w:t>
      </w:r>
      <w:r w:rsidR="009C069D" w:rsidRPr="009C069D">
        <w:t xml:space="preserve"> to the entire fund pool, </w:t>
      </w:r>
      <w:r w:rsidR="00FE7F42">
        <w:t>how much of Maximum Sharpe's instability would remain?</w:t>
      </w:r>
    </w:p>
    <w:p w14:paraId="45108196" w14:textId="38F16F9F" w:rsidR="002E2401" w:rsidRDefault="002E2401" w:rsidP="002E2401">
      <w:r>
        <w:t xml:space="preserve">• </w:t>
      </w:r>
      <w:r w:rsidR="00FE7F42">
        <w:t>Would a finance-specific sentiment model, event classification, or firm-level timing capture information that the sector-level VADER signal misses without introducing look-ahead bias or retrospective parameter selection?</w:t>
      </w:r>
    </w:p>
    <w:p w14:paraId="254843C4" w14:textId="1E2605C4" w:rsidR="002E2401" w:rsidRDefault="002E2401" w:rsidP="002E2401">
      <w:r>
        <w:lastRenderedPageBreak/>
        <w:t xml:space="preserve">• </w:t>
      </w:r>
      <w:r w:rsidR="009C069D" w:rsidRPr="009C069D">
        <w:t xml:space="preserve">How will custody, liquidity, taxation, management fees and investor </w:t>
      </w:r>
      <w:r w:rsidR="00EB320A">
        <w:t>suitabili</w:t>
      </w:r>
      <w:r w:rsidR="00EB320A" w:rsidRPr="009C069D">
        <w:t>ty</w:t>
      </w:r>
      <w:r w:rsidR="009C069D" w:rsidRPr="009C069D">
        <w:t xml:space="preserve"> affect product design and the 20% crypto</w:t>
      </w:r>
      <w:r w:rsidR="00FE7F42">
        <w:t>-sleeve cap</w:t>
      </w:r>
      <w:r w:rsidR="009C069D" w:rsidRPr="009C069D">
        <w:t xml:space="preserve"> used in portfolio funds</w:t>
      </w:r>
      <w:r>
        <w:t>?</w:t>
      </w:r>
    </w:p>
    <w:p w14:paraId="605C7BBC" w14:textId="4ADBCFD5" w:rsidR="002E2401" w:rsidRDefault="009C069D" w:rsidP="002E2401">
      <w:pPr>
        <w:rPr>
          <w:lang w:eastAsia="zh-CN"/>
        </w:rPr>
      </w:pPr>
      <w:r w:rsidRPr="009C069D">
        <w:t xml:space="preserve">The current results support an educational prototype and a series of clear follow-up tests, but do not support personal investment advice, </w:t>
      </w:r>
      <w:r w:rsidR="00575C20">
        <w:t>a</w:t>
      </w:r>
      <w:r w:rsidRPr="009C069D">
        <w:t xml:space="preserve"> causal </w:t>
      </w:r>
      <w:r w:rsidR="00575C20">
        <w:t>claim that news sentiment drives future returns</w:t>
      </w:r>
      <w:r w:rsidRPr="009C069D">
        <w:t xml:space="preserve">, </w:t>
      </w:r>
      <w:r w:rsidR="00AC4010">
        <w:t>or a guarantee that the fund with the highest Sharpe ratio in this OOS sample will still be the best choice in the future.</w:t>
      </w:r>
    </w:p>
    <w:p w14:paraId="5703CAB7" w14:textId="77777777" w:rsidR="002E2401" w:rsidRDefault="002E2401" w:rsidP="002E2401">
      <w:r>
        <w:br w:type="page"/>
      </w:r>
    </w:p>
    <w:p w14:paraId="54E85AEB" w14:textId="77777777" w:rsidR="00523ED0" w:rsidRDefault="00000000">
      <w:pPr>
        <w:pStyle w:val="Heading1"/>
      </w:pPr>
      <w:r>
        <w:lastRenderedPageBreak/>
        <w:t>References</w:t>
      </w:r>
    </w:p>
    <w:p w14:paraId="70F4D2A5" w14:textId="77777777" w:rsidR="00523ED0" w:rsidRDefault="00000000">
      <w:pPr>
        <w:ind w:left="360" w:hanging="360"/>
      </w:pPr>
      <w:r>
        <w:rPr>
          <w:sz w:val="19"/>
        </w:rPr>
        <w:t>Hutto, C.J. &amp; Gilbert, E. 2014, 'VADER: A parsimonious rule-based model for sentiment analysis of social media text', Proceedings of the Eighth International AAAI Conference on Weblogs and Social Media, pp. 216–225, https://eegilbert.org/papers/icwsm14.vader.hutto.pdf.</w:t>
      </w:r>
    </w:p>
    <w:p w14:paraId="7B41E5A5" w14:textId="77777777" w:rsidR="00523ED0" w:rsidRDefault="00000000">
      <w:pPr>
        <w:ind w:left="360" w:hanging="360"/>
      </w:pPr>
      <w:r>
        <w:rPr>
          <w:sz w:val="19"/>
        </w:rPr>
        <w:t>Maillard, S., Roncalli, T. &amp; Teiletche, J. 2010, 'The properties of equally weighted risk contribution portfolios', The Journal of Portfolio Management, vol. 36, no. 4, pp. 60–70, https://doi.org/10.3905/jpm.2010.36.4.060.</w:t>
      </w:r>
    </w:p>
    <w:p w14:paraId="2A13E5C0" w14:textId="77777777" w:rsidR="00523ED0" w:rsidRDefault="00000000">
      <w:pPr>
        <w:ind w:left="360" w:hanging="360"/>
      </w:pPr>
      <w:r>
        <w:rPr>
          <w:sz w:val="19"/>
        </w:rPr>
        <w:t>Markowitz, H. 1952, 'Portfolio selection', The Journal of Finance, vol. 7, no. 1, pp. 77–91, https://doi.org/10.1111/j.1540-6261.1952.tb01525.x.</w:t>
      </w:r>
    </w:p>
    <w:p w14:paraId="5861C580" w14:textId="77777777" w:rsidR="00523ED0" w:rsidRDefault="00000000">
      <w:pPr>
        <w:ind w:left="360" w:hanging="360"/>
      </w:pPr>
      <w:r>
        <w:rPr>
          <w:sz w:val="19"/>
        </w:rPr>
        <w:t>Sharpe, W.F. 1966, 'Mutual fund performance', The Journal of Business, vol. 39, no. 1, pp. 119–138, https://doi.org/10.1086/294846.</w:t>
      </w:r>
    </w:p>
    <w:p w14:paraId="39E295AB" w14:textId="77777777" w:rsidR="00523ED0" w:rsidRDefault="00000000">
      <w:pPr>
        <w:ind w:left="360" w:hanging="360"/>
      </w:pPr>
      <w:r>
        <w:rPr>
          <w:sz w:val="19"/>
        </w:rPr>
        <w:t>UNSW Business School 2026a, FINS5545 Financial Market Data Literacy: FinTech Project 2026 – Systematic Multi-Asset Funds with News-Sentiment Analytics, course project brief, UNSW Sydney.</w:t>
      </w:r>
    </w:p>
    <w:p w14:paraId="4494969D" w14:textId="77777777" w:rsidR="00523ED0" w:rsidRDefault="00000000">
      <w:pPr>
        <w:ind w:left="360" w:hanging="360"/>
      </w:pPr>
      <w:r>
        <w:rPr>
          <w:sz w:val="19"/>
        </w:rPr>
        <w:t>UNSW Business School 2026b, FINS5545 Financial Market Data Literacy: Data Guide, course handout, UNSW Sydney.</w:t>
      </w:r>
    </w:p>
    <w:p w14:paraId="1362E88B" w14:textId="77777777" w:rsidR="00523ED0" w:rsidRDefault="00000000">
      <w:r>
        <w:br w:type="page"/>
      </w:r>
    </w:p>
    <w:p w14:paraId="547FD85D" w14:textId="77777777" w:rsidR="00523ED0" w:rsidRDefault="00000000">
      <w:pPr>
        <w:pStyle w:val="Heading1"/>
      </w:pPr>
      <w:r>
        <w:lastRenderedPageBreak/>
        <w:t>Appendix A — Required Exhibits</w:t>
      </w:r>
    </w:p>
    <w:p w14:paraId="479C46A5" w14:textId="77777777" w:rsidR="00523ED0" w:rsidRDefault="00000000">
      <w:r>
        <w:t>The exhibits below are derived from precomputed Part B outputs. Each is referenced and interpreted in the main report. The sample period, units and principal limitation are repeated so each exhibit can be read independently.</w:t>
      </w:r>
    </w:p>
    <w:p w14:paraId="514F0022" w14:textId="77777777" w:rsidR="00523ED0" w:rsidRDefault="00000000">
      <w:pPr>
        <w:pStyle w:val="Caption"/>
      </w:pPr>
      <w:r>
        <w:t>Exhibit A1. Walk-forward out-of-sample performance across twelve AtlasSignal funds, January 2021–December 2023.</w:t>
      </w:r>
    </w:p>
    <w:tbl>
      <w:tblPr>
        <w:tblStyle w:val="TableGrid"/>
        <w:tblW w:w="9360" w:type="dxa"/>
        <w:tblInd w:w="12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3600"/>
        <w:gridCol w:w="1440"/>
        <w:gridCol w:w="1440"/>
        <w:gridCol w:w="1440"/>
        <w:gridCol w:w="1440"/>
      </w:tblGrid>
      <w:tr w:rsidR="00523ED0" w14:paraId="071C3162" w14:textId="77777777">
        <w:trPr>
          <w:tblHeader/>
        </w:trPr>
        <w:tc>
          <w:tcPr>
            <w:tcW w:w="3600" w:type="dxa"/>
            <w:shd w:val="clear" w:color="auto" w:fill="E8EEF5"/>
            <w:tcMar>
              <w:top w:w="80" w:type="dxa"/>
              <w:left w:w="120" w:type="dxa"/>
              <w:bottom w:w="80" w:type="dxa"/>
              <w:right w:w="120" w:type="dxa"/>
            </w:tcMar>
            <w:vAlign w:val="center"/>
          </w:tcPr>
          <w:p w14:paraId="5EC4EA2C" w14:textId="77777777" w:rsidR="00523ED0" w:rsidRDefault="00000000">
            <w:pPr>
              <w:spacing w:after="0"/>
              <w:jc w:val="center"/>
            </w:pPr>
            <w:r>
              <w:rPr>
                <w:b/>
                <w:color w:val="0B2545"/>
                <w:sz w:val="18"/>
              </w:rPr>
              <w:t>Fund</w:t>
            </w:r>
          </w:p>
        </w:tc>
        <w:tc>
          <w:tcPr>
            <w:tcW w:w="1440" w:type="dxa"/>
            <w:shd w:val="clear" w:color="auto" w:fill="E8EEF5"/>
            <w:tcMar>
              <w:top w:w="80" w:type="dxa"/>
              <w:left w:w="120" w:type="dxa"/>
              <w:bottom w:w="80" w:type="dxa"/>
              <w:right w:w="120" w:type="dxa"/>
            </w:tcMar>
            <w:vAlign w:val="center"/>
          </w:tcPr>
          <w:p w14:paraId="43588150" w14:textId="77777777" w:rsidR="00523ED0" w:rsidRDefault="00000000">
            <w:pPr>
              <w:spacing w:after="0"/>
              <w:jc w:val="center"/>
            </w:pPr>
            <w:r>
              <w:rPr>
                <w:b/>
                <w:color w:val="0B2545"/>
                <w:sz w:val="18"/>
              </w:rPr>
              <w:t>Ann. return</w:t>
            </w:r>
          </w:p>
        </w:tc>
        <w:tc>
          <w:tcPr>
            <w:tcW w:w="1440" w:type="dxa"/>
            <w:shd w:val="clear" w:color="auto" w:fill="E8EEF5"/>
            <w:tcMar>
              <w:top w:w="80" w:type="dxa"/>
              <w:left w:w="120" w:type="dxa"/>
              <w:bottom w:w="80" w:type="dxa"/>
              <w:right w:w="120" w:type="dxa"/>
            </w:tcMar>
            <w:vAlign w:val="center"/>
          </w:tcPr>
          <w:p w14:paraId="3565A00C" w14:textId="77777777" w:rsidR="00523ED0" w:rsidRDefault="00000000">
            <w:pPr>
              <w:spacing w:after="0"/>
              <w:jc w:val="center"/>
            </w:pPr>
            <w:r>
              <w:rPr>
                <w:b/>
                <w:color w:val="0B2545"/>
                <w:sz w:val="18"/>
              </w:rPr>
              <w:t>Ann. volatility</w:t>
            </w:r>
          </w:p>
        </w:tc>
        <w:tc>
          <w:tcPr>
            <w:tcW w:w="1440" w:type="dxa"/>
            <w:shd w:val="clear" w:color="auto" w:fill="E8EEF5"/>
            <w:tcMar>
              <w:top w:w="80" w:type="dxa"/>
              <w:left w:w="120" w:type="dxa"/>
              <w:bottom w:w="80" w:type="dxa"/>
              <w:right w:w="120" w:type="dxa"/>
            </w:tcMar>
            <w:vAlign w:val="center"/>
          </w:tcPr>
          <w:p w14:paraId="16B9B8DD" w14:textId="77777777" w:rsidR="00523ED0" w:rsidRDefault="00000000">
            <w:pPr>
              <w:spacing w:after="0"/>
              <w:jc w:val="center"/>
            </w:pPr>
            <w:r>
              <w:rPr>
                <w:b/>
                <w:color w:val="0B2545"/>
                <w:sz w:val="18"/>
              </w:rPr>
              <w:t>Sharpe</w:t>
            </w:r>
          </w:p>
        </w:tc>
        <w:tc>
          <w:tcPr>
            <w:tcW w:w="1440" w:type="dxa"/>
            <w:shd w:val="clear" w:color="auto" w:fill="E8EEF5"/>
            <w:tcMar>
              <w:top w:w="80" w:type="dxa"/>
              <w:left w:w="120" w:type="dxa"/>
              <w:bottom w:w="80" w:type="dxa"/>
              <w:right w:w="120" w:type="dxa"/>
            </w:tcMar>
            <w:vAlign w:val="center"/>
          </w:tcPr>
          <w:p w14:paraId="6DF5BB37" w14:textId="77777777" w:rsidR="00523ED0" w:rsidRDefault="00000000">
            <w:pPr>
              <w:spacing w:after="0"/>
              <w:jc w:val="center"/>
            </w:pPr>
            <w:r>
              <w:rPr>
                <w:b/>
                <w:color w:val="0B2545"/>
                <w:sz w:val="18"/>
              </w:rPr>
              <w:t>Max drawdown</w:t>
            </w:r>
          </w:p>
        </w:tc>
      </w:tr>
      <w:tr w:rsidR="00523ED0" w14:paraId="52EB5748" w14:textId="77777777">
        <w:tc>
          <w:tcPr>
            <w:tcW w:w="3600" w:type="dxa"/>
            <w:tcMar>
              <w:top w:w="80" w:type="dxa"/>
              <w:left w:w="120" w:type="dxa"/>
              <w:bottom w:w="80" w:type="dxa"/>
              <w:right w:w="120" w:type="dxa"/>
            </w:tcMar>
            <w:vAlign w:val="center"/>
          </w:tcPr>
          <w:p w14:paraId="5F9F2E94" w14:textId="77777777" w:rsidR="00523ED0" w:rsidRDefault="00000000">
            <w:pPr>
              <w:spacing w:after="0" w:line="252" w:lineRule="auto"/>
            </w:pPr>
            <w:r>
              <w:rPr>
                <w:sz w:val="17"/>
              </w:rPr>
              <w:t>Equity Equal Weight</w:t>
            </w:r>
          </w:p>
        </w:tc>
        <w:tc>
          <w:tcPr>
            <w:tcW w:w="1440" w:type="dxa"/>
            <w:tcMar>
              <w:top w:w="80" w:type="dxa"/>
              <w:left w:w="120" w:type="dxa"/>
              <w:bottom w:w="80" w:type="dxa"/>
              <w:right w:w="120" w:type="dxa"/>
            </w:tcMar>
            <w:vAlign w:val="center"/>
          </w:tcPr>
          <w:p w14:paraId="78CAC385" w14:textId="77777777" w:rsidR="00523ED0" w:rsidRDefault="00000000">
            <w:pPr>
              <w:spacing w:after="0" w:line="252" w:lineRule="auto"/>
              <w:jc w:val="center"/>
            </w:pPr>
            <w:r>
              <w:rPr>
                <w:sz w:val="17"/>
              </w:rPr>
              <w:t>13.21%</w:t>
            </w:r>
          </w:p>
        </w:tc>
        <w:tc>
          <w:tcPr>
            <w:tcW w:w="1440" w:type="dxa"/>
            <w:tcMar>
              <w:top w:w="80" w:type="dxa"/>
              <w:left w:w="120" w:type="dxa"/>
              <w:bottom w:w="80" w:type="dxa"/>
              <w:right w:w="120" w:type="dxa"/>
            </w:tcMar>
            <w:vAlign w:val="center"/>
          </w:tcPr>
          <w:p w14:paraId="15BBCAC4" w14:textId="77777777" w:rsidR="00523ED0" w:rsidRDefault="00000000">
            <w:pPr>
              <w:spacing w:after="0" w:line="252" w:lineRule="auto"/>
              <w:jc w:val="center"/>
            </w:pPr>
            <w:r>
              <w:rPr>
                <w:sz w:val="17"/>
              </w:rPr>
              <w:t>16.12%</w:t>
            </w:r>
          </w:p>
        </w:tc>
        <w:tc>
          <w:tcPr>
            <w:tcW w:w="1440" w:type="dxa"/>
            <w:tcMar>
              <w:top w:w="80" w:type="dxa"/>
              <w:left w:w="120" w:type="dxa"/>
              <w:bottom w:w="80" w:type="dxa"/>
              <w:right w:w="120" w:type="dxa"/>
            </w:tcMar>
            <w:vAlign w:val="center"/>
          </w:tcPr>
          <w:p w14:paraId="605E8802" w14:textId="77777777" w:rsidR="00523ED0" w:rsidRDefault="00000000">
            <w:pPr>
              <w:spacing w:after="0" w:line="252" w:lineRule="auto"/>
              <w:jc w:val="center"/>
            </w:pPr>
            <w:r>
              <w:rPr>
                <w:sz w:val="17"/>
              </w:rPr>
              <w:t>0.819</w:t>
            </w:r>
          </w:p>
        </w:tc>
        <w:tc>
          <w:tcPr>
            <w:tcW w:w="1440" w:type="dxa"/>
            <w:tcMar>
              <w:top w:w="80" w:type="dxa"/>
              <w:left w:w="120" w:type="dxa"/>
              <w:bottom w:w="80" w:type="dxa"/>
              <w:right w:w="120" w:type="dxa"/>
            </w:tcMar>
            <w:vAlign w:val="center"/>
          </w:tcPr>
          <w:p w14:paraId="2594A785" w14:textId="77777777" w:rsidR="00523ED0" w:rsidRDefault="00000000">
            <w:pPr>
              <w:spacing w:after="0" w:line="252" w:lineRule="auto"/>
              <w:jc w:val="center"/>
            </w:pPr>
            <w:r>
              <w:rPr>
                <w:sz w:val="17"/>
              </w:rPr>
              <w:t>-20.25%</w:t>
            </w:r>
          </w:p>
        </w:tc>
      </w:tr>
      <w:tr w:rsidR="00523ED0" w14:paraId="6C028DB1" w14:textId="77777777">
        <w:tc>
          <w:tcPr>
            <w:tcW w:w="3600" w:type="dxa"/>
            <w:shd w:val="clear" w:color="auto" w:fill="FAFBFC"/>
            <w:tcMar>
              <w:top w:w="80" w:type="dxa"/>
              <w:left w:w="120" w:type="dxa"/>
              <w:bottom w:w="80" w:type="dxa"/>
              <w:right w:w="120" w:type="dxa"/>
            </w:tcMar>
            <w:vAlign w:val="center"/>
          </w:tcPr>
          <w:p w14:paraId="29804750" w14:textId="77777777" w:rsidR="00523ED0" w:rsidRDefault="00000000">
            <w:pPr>
              <w:spacing w:after="0" w:line="252" w:lineRule="auto"/>
            </w:pPr>
            <w:r>
              <w:rPr>
                <w:sz w:val="17"/>
              </w:rPr>
              <w:t>Equity Minimum Variance</w:t>
            </w:r>
          </w:p>
        </w:tc>
        <w:tc>
          <w:tcPr>
            <w:tcW w:w="1440" w:type="dxa"/>
            <w:shd w:val="clear" w:color="auto" w:fill="FAFBFC"/>
            <w:tcMar>
              <w:top w:w="80" w:type="dxa"/>
              <w:left w:w="120" w:type="dxa"/>
              <w:bottom w:w="80" w:type="dxa"/>
              <w:right w:w="120" w:type="dxa"/>
            </w:tcMar>
            <w:vAlign w:val="center"/>
          </w:tcPr>
          <w:p w14:paraId="393C9FF4" w14:textId="77777777" w:rsidR="00523ED0" w:rsidRDefault="00000000">
            <w:pPr>
              <w:spacing w:after="0" w:line="252" w:lineRule="auto"/>
              <w:jc w:val="center"/>
            </w:pPr>
            <w:r>
              <w:rPr>
                <w:sz w:val="17"/>
              </w:rPr>
              <w:t>6.47%</w:t>
            </w:r>
          </w:p>
        </w:tc>
        <w:tc>
          <w:tcPr>
            <w:tcW w:w="1440" w:type="dxa"/>
            <w:shd w:val="clear" w:color="auto" w:fill="FAFBFC"/>
            <w:tcMar>
              <w:top w:w="80" w:type="dxa"/>
              <w:left w:w="120" w:type="dxa"/>
              <w:bottom w:w="80" w:type="dxa"/>
              <w:right w:w="120" w:type="dxa"/>
            </w:tcMar>
            <w:vAlign w:val="center"/>
          </w:tcPr>
          <w:p w14:paraId="65D12FF3" w14:textId="77777777" w:rsidR="00523ED0" w:rsidRDefault="00000000">
            <w:pPr>
              <w:spacing w:after="0" w:line="252" w:lineRule="auto"/>
              <w:jc w:val="center"/>
            </w:pPr>
            <w:r>
              <w:rPr>
                <w:sz w:val="17"/>
              </w:rPr>
              <w:t>12.50%</w:t>
            </w:r>
          </w:p>
        </w:tc>
        <w:tc>
          <w:tcPr>
            <w:tcW w:w="1440" w:type="dxa"/>
            <w:shd w:val="clear" w:color="auto" w:fill="FAFBFC"/>
            <w:tcMar>
              <w:top w:w="80" w:type="dxa"/>
              <w:left w:w="120" w:type="dxa"/>
              <w:bottom w:w="80" w:type="dxa"/>
              <w:right w:w="120" w:type="dxa"/>
            </w:tcMar>
            <w:vAlign w:val="center"/>
          </w:tcPr>
          <w:p w14:paraId="25297517" w14:textId="77777777" w:rsidR="00523ED0" w:rsidRDefault="00000000">
            <w:pPr>
              <w:spacing w:after="0" w:line="252" w:lineRule="auto"/>
              <w:jc w:val="center"/>
            </w:pPr>
            <w:r>
              <w:rPr>
                <w:sz w:val="17"/>
              </w:rPr>
              <w:t>0.518</w:t>
            </w:r>
          </w:p>
        </w:tc>
        <w:tc>
          <w:tcPr>
            <w:tcW w:w="1440" w:type="dxa"/>
            <w:shd w:val="clear" w:color="auto" w:fill="FAFBFC"/>
            <w:tcMar>
              <w:top w:w="80" w:type="dxa"/>
              <w:left w:w="120" w:type="dxa"/>
              <w:bottom w:w="80" w:type="dxa"/>
              <w:right w:w="120" w:type="dxa"/>
            </w:tcMar>
            <w:vAlign w:val="center"/>
          </w:tcPr>
          <w:p w14:paraId="427DB7D7" w14:textId="77777777" w:rsidR="00523ED0" w:rsidRDefault="00000000">
            <w:pPr>
              <w:spacing w:after="0" w:line="252" w:lineRule="auto"/>
              <w:jc w:val="center"/>
            </w:pPr>
            <w:r>
              <w:rPr>
                <w:sz w:val="17"/>
              </w:rPr>
              <w:t>-15.66%</w:t>
            </w:r>
          </w:p>
        </w:tc>
      </w:tr>
      <w:tr w:rsidR="00523ED0" w14:paraId="2B20ED6D" w14:textId="77777777">
        <w:tc>
          <w:tcPr>
            <w:tcW w:w="3600" w:type="dxa"/>
            <w:tcMar>
              <w:top w:w="80" w:type="dxa"/>
              <w:left w:w="120" w:type="dxa"/>
              <w:bottom w:w="80" w:type="dxa"/>
              <w:right w:w="120" w:type="dxa"/>
            </w:tcMar>
            <w:vAlign w:val="center"/>
          </w:tcPr>
          <w:p w14:paraId="3902B04B" w14:textId="77777777" w:rsidR="00523ED0" w:rsidRDefault="00000000">
            <w:pPr>
              <w:spacing w:after="0" w:line="252" w:lineRule="auto"/>
            </w:pPr>
            <w:r>
              <w:rPr>
                <w:sz w:val="17"/>
              </w:rPr>
              <w:t>Equity Maximum Sharpe</w:t>
            </w:r>
          </w:p>
        </w:tc>
        <w:tc>
          <w:tcPr>
            <w:tcW w:w="1440" w:type="dxa"/>
            <w:tcMar>
              <w:top w:w="80" w:type="dxa"/>
              <w:left w:w="120" w:type="dxa"/>
              <w:bottom w:w="80" w:type="dxa"/>
              <w:right w:w="120" w:type="dxa"/>
            </w:tcMar>
            <w:vAlign w:val="center"/>
          </w:tcPr>
          <w:p w14:paraId="373203CA" w14:textId="77777777" w:rsidR="00523ED0" w:rsidRDefault="00000000">
            <w:pPr>
              <w:spacing w:after="0" w:line="252" w:lineRule="auto"/>
              <w:jc w:val="center"/>
            </w:pPr>
            <w:r>
              <w:rPr>
                <w:sz w:val="17"/>
              </w:rPr>
              <w:t>11.09%</w:t>
            </w:r>
          </w:p>
        </w:tc>
        <w:tc>
          <w:tcPr>
            <w:tcW w:w="1440" w:type="dxa"/>
            <w:tcMar>
              <w:top w:w="80" w:type="dxa"/>
              <w:left w:w="120" w:type="dxa"/>
              <w:bottom w:w="80" w:type="dxa"/>
              <w:right w:w="120" w:type="dxa"/>
            </w:tcMar>
            <w:vAlign w:val="center"/>
          </w:tcPr>
          <w:p w14:paraId="14C82E5B" w14:textId="77777777" w:rsidR="00523ED0" w:rsidRDefault="00000000">
            <w:pPr>
              <w:spacing w:after="0" w:line="252" w:lineRule="auto"/>
              <w:jc w:val="center"/>
            </w:pPr>
            <w:r>
              <w:rPr>
                <w:sz w:val="17"/>
              </w:rPr>
              <w:t>16.63%</w:t>
            </w:r>
          </w:p>
        </w:tc>
        <w:tc>
          <w:tcPr>
            <w:tcW w:w="1440" w:type="dxa"/>
            <w:tcMar>
              <w:top w:w="80" w:type="dxa"/>
              <w:left w:w="120" w:type="dxa"/>
              <w:bottom w:w="80" w:type="dxa"/>
              <w:right w:w="120" w:type="dxa"/>
            </w:tcMar>
            <w:vAlign w:val="center"/>
          </w:tcPr>
          <w:p w14:paraId="5EA727F5" w14:textId="77777777" w:rsidR="00523ED0" w:rsidRDefault="00000000">
            <w:pPr>
              <w:spacing w:after="0" w:line="252" w:lineRule="auto"/>
              <w:jc w:val="center"/>
            </w:pPr>
            <w:r>
              <w:rPr>
                <w:sz w:val="17"/>
              </w:rPr>
              <w:t>0.667</w:t>
            </w:r>
          </w:p>
        </w:tc>
        <w:tc>
          <w:tcPr>
            <w:tcW w:w="1440" w:type="dxa"/>
            <w:tcMar>
              <w:top w:w="80" w:type="dxa"/>
              <w:left w:w="120" w:type="dxa"/>
              <w:bottom w:w="80" w:type="dxa"/>
              <w:right w:w="120" w:type="dxa"/>
            </w:tcMar>
            <w:vAlign w:val="center"/>
          </w:tcPr>
          <w:p w14:paraId="4DB4C61C" w14:textId="77777777" w:rsidR="00523ED0" w:rsidRDefault="00000000">
            <w:pPr>
              <w:spacing w:after="0" w:line="252" w:lineRule="auto"/>
              <w:jc w:val="center"/>
            </w:pPr>
            <w:r>
              <w:rPr>
                <w:sz w:val="17"/>
              </w:rPr>
              <w:t>-19.13%</w:t>
            </w:r>
          </w:p>
        </w:tc>
      </w:tr>
      <w:tr w:rsidR="00523ED0" w14:paraId="2F21A876" w14:textId="77777777">
        <w:tc>
          <w:tcPr>
            <w:tcW w:w="3600" w:type="dxa"/>
            <w:shd w:val="clear" w:color="auto" w:fill="FAFBFC"/>
            <w:tcMar>
              <w:top w:w="80" w:type="dxa"/>
              <w:left w:w="120" w:type="dxa"/>
              <w:bottom w:w="80" w:type="dxa"/>
              <w:right w:w="120" w:type="dxa"/>
            </w:tcMar>
            <w:vAlign w:val="center"/>
          </w:tcPr>
          <w:p w14:paraId="29412C7D" w14:textId="77777777" w:rsidR="00523ED0" w:rsidRDefault="00000000">
            <w:pPr>
              <w:spacing w:after="0" w:line="252" w:lineRule="auto"/>
            </w:pPr>
            <w:r>
              <w:rPr>
                <w:sz w:val="17"/>
              </w:rPr>
              <w:t>Equity Risk Parity</w:t>
            </w:r>
          </w:p>
        </w:tc>
        <w:tc>
          <w:tcPr>
            <w:tcW w:w="1440" w:type="dxa"/>
            <w:shd w:val="clear" w:color="auto" w:fill="FAFBFC"/>
            <w:tcMar>
              <w:top w:w="80" w:type="dxa"/>
              <w:left w:w="120" w:type="dxa"/>
              <w:bottom w:w="80" w:type="dxa"/>
              <w:right w:w="120" w:type="dxa"/>
            </w:tcMar>
            <w:vAlign w:val="center"/>
          </w:tcPr>
          <w:p w14:paraId="44549299" w14:textId="77777777" w:rsidR="00523ED0" w:rsidRDefault="00000000">
            <w:pPr>
              <w:spacing w:after="0" w:line="252" w:lineRule="auto"/>
              <w:jc w:val="center"/>
            </w:pPr>
            <w:r>
              <w:rPr>
                <w:sz w:val="17"/>
              </w:rPr>
              <w:t>10.51%</w:t>
            </w:r>
          </w:p>
        </w:tc>
        <w:tc>
          <w:tcPr>
            <w:tcW w:w="1440" w:type="dxa"/>
            <w:shd w:val="clear" w:color="auto" w:fill="FAFBFC"/>
            <w:tcMar>
              <w:top w:w="80" w:type="dxa"/>
              <w:left w:w="120" w:type="dxa"/>
              <w:bottom w:w="80" w:type="dxa"/>
              <w:right w:w="120" w:type="dxa"/>
            </w:tcMar>
            <w:vAlign w:val="center"/>
          </w:tcPr>
          <w:p w14:paraId="7B88D397" w14:textId="77777777" w:rsidR="00523ED0" w:rsidRDefault="00000000">
            <w:pPr>
              <w:spacing w:after="0" w:line="252" w:lineRule="auto"/>
              <w:jc w:val="center"/>
            </w:pPr>
            <w:r>
              <w:rPr>
                <w:sz w:val="17"/>
              </w:rPr>
              <w:t>14.53%</w:t>
            </w:r>
          </w:p>
        </w:tc>
        <w:tc>
          <w:tcPr>
            <w:tcW w:w="1440" w:type="dxa"/>
            <w:shd w:val="clear" w:color="auto" w:fill="FAFBFC"/>
            <w:tcMar>
              <w:top w:w="80" w:type="dxa"/>
              <w:left w:w="120" w:type="dxa"/>
              <w:bottom w:w="80" w:type="dxa"/>
              <w:right w:w="120" w:type="dxa"/>
            </w:tcMar>
            <w:vAlign w:val="center"/>
          </w:tcPr>
          <w:p w14:paraId="4B2A4A28" w14:textId="77777777" w:rsidR="00523ED0" w:rsidRDefault="00000000">
            <w:pPr>
              <w:spacing w:after="0" w:line="252" w:lineRule="auto"/>
              <w:jc w:val="center"/>
            </w:pPr>
            <w:r>
              <w:rPr>
                <w:sz w:val="17"/>
              </w:rPr>
              <w:t>0.723</w:t>
            </w:r>
          </w:p>
        </w:tc>
        <w:tc>
          <w:tcPr>
            <w:tcW w:w="1440" w:type="dxa"/>
            <w:shd w:val="clear" w:color="auto" w:fill="FAFBFC"/>
            <w:tcMar>
              <w:top w:w="80" w:type="dxa"/>
              <w:left w:w="120" w:type="dxa"/>
              <w:bottom w:w="80" w:type="dxa"/>
              <w:right w:w="120" w:type="dxa"/>
            </w:tcMar>
            <w:vAlign w:val="center"/>
          </w:tcPr>
          <w:p w14:paraId="306BB593" w14:textId="77777777" w:rsidR="00523ED0" w:rsidRDefault="00000000">
            <w:pPr>
              <w:spacing w:after="0" w:line="252" w:lineRule="auto"/>
              <w:jc w:val="center"/>
            </w:pPr>
            <w:r>
              <w:rPr>
                <w:sz w:val="17"/>
              </w:rPr>
              <w:t>-18.49%</w:t>
            </w:r>
          </w:p>
        </w:tc>
      </w:tr>
      <w:tr w:rsidR="00523ED0" w14:paraId="33DE8D32" w14:textId="77777777">
        <w:tc>
          <w:tcPr>
            <w:tcW w:w="3600" w:type="dxa"/>
            <w:tcMar>
              <w:top w:w="80" w:type="dxa"/>
              <w:left w:w="120" w:type="dxa"/>
              <w:bottom w:w="80" w:type="dxa"/>
              <w:right w:w="120" w:type="dxa"/>
            </w:tcMar>
            <w:vAlign w:val="center"/>
          </w:tcPr>
          <w:p w14:paraId="39488B76" w14:textId="77777777" w:rsidR="00523ED0" w:rsidRDefault="00000000">
            <w:pPr>
              <w:spacing w:after="0" w:line="252" w:lineRule="auto"/>
            </w:pPr>
            <w:r>
              <w:rPr>
                <w:sz w:val="17"/>
              </w:rPr>
              <w:t>Crypto Equal Weight</w:t>
            </w:r>
          </w:p>
        </w:tc>
        <w:tc>
          <w:tcPr>
            <w:tcW w:w="1440" w:type="dxa"/>
            <w:tcMar>
              <w:top w:w="80" w:type="dxa"/>
              <w:left w:w="120" w:type="dxa"/>
              <w:bottom w:w="80" w:type="dxa"/>
              <w:right w:w="120" w:type="dxa"/>
            </w:tcMar>
            <w:vAlign w:val="center"/>
          </w:tcPr>
          <w:p w14:paraId="2F1B0A7B" w14:textId="77777777" w:rsidR="00523ED0" w:rsidRDefault="00000000">
            <w:pPr>
              <w:spacing w:after="0" w:line="252" w:lineRule="auto"/>
              <w:jc w:val="center"/>
            </w:pPr>
            <w:r>
              <w:rPr>
                <w:sz w:val="17"/>
              </w:rPr>
              <w:t>67.87%</w:t>
            </w:r>
          </w:p>
        </w:tc>
        <w:tc>
          <w:tcPr>
            <w:tcW w:w="1440" w:type="dxa"/>
            <w:tcMar>
              <w:top w:w="80" w:type="dxa"/>
              <w:left w:w="120" w:type="dxa"/>
              <w:bottom w:w="80" w:type="dxa"/>
              <w:right w:w="120" w:type="dxa"/>
            </w:tcMar>
            <w:vAlign w:val="center"/>
          </w:tcPr>
          <w:p w14:paraId="3B6DD7A4" w14:textId="77777777" w:rsidR="00523ED0" w:rsidRDefault="00000000">
            <w:pPr>
              <w:spacing w:after="0" w:line="252" w:lineRule="auto"/>
              <w:jc w:val="center"/>
            </w:pPr>
            <w:r>
              <w:rPr>
                <w:sz w:val="17"/>
              </w:rPr>
              <w:t>81.89%</w:t>
            </w:r>
          </w:p>
        </w:tc>
        <w:tc>
          <w:tcPr>
            <w:tcW w:w="1440" w:type="dxa"/>
            <w:tcMar>
              <w:top w:w="80" w:type="dxa"/>
              <w:left w:w="120" w:type="dxa"/>
              <w:bottom w:w="80" w:type="dxa"/>
              <w:right w:w="120" w:type="dxa"/>
            </w:tcMar>
            <w:vAlign w:val="center"/>
          </w:tcPr>
          <w:p w14:paraId="7FF688F0" w14:textId="77777777" w:rsidR="00523ED0" w:rsidRDefault="00000000">
            <w:pPr>
              <w:spacing w:after="0" w:line="252" w:lineRule="auto"/>
              <w:jc w:val="center"/>
            </w:pPr>
            <w:r>
              <w:rPr>
                <w:sz w:val="17"/>
              </w:rPr>
              <w:t>0.829</w:t>
            </w:r>
          </w:p>
        </w:tc>
        <w:tc>
          <w:tcPr>
            <w:tcW w:w="1440" w:type="dxa"/>
            <w:tcMar>
              <w:top w:w="80" w:type="dxa"/>
              <w:left w:w="120" w:type="dxa"/>
              <w:bottom w:w="80" w:type="dxa"/>
              <w:right w:w="120" w:type="dxa"/>
            </w:tcMar>
            <w:vAlign w:val="center"/>
          </w:tcPr>
          <w:p w14:paraId="2FF061A4" w14:textId="77777777" w:rsidR="00523ED0" w:rsidRDefault="00000000">
            <w:pPr>
              <w:spacing w:after="0" w:line="252" w:lineRule="auto"/>
              <w:jc w:val="center"/>
            </w:pPr>
            <w:r>
              <w:rPr>
                <w:sz w:val="17"/>
              </w:rPr>
              <w:t>-81.57%</w:t>
            </w:r>
          </w:p>
        </w:tc>
      </w:tr>
      <w:tr w:rsidR="00523ED0" w14:paraId="764F30A8" w14:textId="77777777">
        <w:tc>
          <w:tcPr>
            <w:tcW w:w="3600" w:type="dxa"/>
            <w:shd w:val="clear" w:color="auto" w:fill="FAFBFC"/>
            <w:tcMar>
              <w:top w:w="80" w:type="dxa"/>
              <w:left w:w="120" w:type="dxa"/>
              <w:bottom w:w="80" w:type="dxa"/>
              <w:right w:w="120" w:type="dxa"/>
            </w:tcMar>
            <w:vAlign w:val="center"/>
          </w:tcPr>
          <w:p w14:paraId="7BDB8EFA" w14:textId="77777777" w:rsidR="00523ED0" w:rsidRDefault="00000000">
            <w:pPr>
              <w:spacing w:after="0" w:line="252" w:lineRule="auto"/>
            </w:pPr>
            <w:r>
              <w:rPr>
                <w:sz w:val="17"/>
              </w:rPr>
              <w:t>Crypto Minimum Variance</w:t>
            </w:r>
          </w:p>
        </w:tc>
        <w:tc>
          <w:tcPr>
            <w:tcW w:w="1440" w:type="dxa"/>
            <w:shd w:val="clear" w:color="auto" w:fill="FAFBFC"/>
            <w:tcMar>
              <w:top w:w="80" w:type="dxa"/>
              <w:left w:w="120" w:type="dxa"/>
              <w:bottom w:w="80" w:type="dxa"/>
              <w:right w:w="120" w:type="dxa"/>
            </w:tcMar>
            <w:vAlign w:val="center"/>
          </w:tcPr>
          <w:p w14:paraId="31090887" w14:textId="77777777" w:rsidR="00523ED0" w:rsidRDefault="00000000">
            <w:pPr>
              <w:spacing w:after="0" w:line="252" w:lineRule="auto"/>
              <w:jc w:val="center"/>
            </w:pPr>
            <w:r>
              <w:rPr>
                <w:sz w:val="17"/>
              </w:rPr>
              <w:t>82.66%</w:t>
            </w:r>
          </w:p>
        </w:tc>
        <w:tc>
          <w:tcPr>
            <w:tcW w:w="1440" w:type="dxa"/>
            <w:shd w:val="clear" w:color="auto" w:fill="FAFBFC"/>
            <w:tcMar>
              <w:top w:w="80" w:type="dxa"/>
              <w:left w:w="120" w:type="dxa"/>
              <w:bottom w:w="80" w:type="dxa"/>
              <w:right w:w="120" w:type="dxa"/>
            </w:tcMar>
            <w:vAlign w:val="center"/>
          </w:tcPr>
          <w:p w14:paraId="4298F8B0" w14:textId="77777777" w:rsidR="00523ED0" w:rsidRDefault="00000000">
            <w:pPr>
              <w:spacing w:after="0" w:line="252" w:lineRule="auto"/>
              <w:jc w:val="center"/>
            </w:pPr>
            <w:r>
              <w:rPr>
                <w:sz w:val="17"/>
              </w:rPr>
              <w:t>76.91%</w:t>
            </w:r>
          </w:p>
        </w:tc>
        <w:tc>
          <w:tcPr>
            <w:tcW w:w="1440" w:type="dxa"/>
            <w:shd w:val="clear" w:color="auto" w:fill="FAFBFC"/>
            <w:tcMar>
              <w:top w:w="80" w:type="dxa"/>
              <w:left w:w="120" w:type="dxa"/>
              <w:bottom w:w="80" w:type="dxa"/>
              <w:right w:w="120" w:type="dxa"/>
            </w:tcMar>
            <w:vAlign w:val="center"/>
          </w:tcPr>
          <w:p w14:paraId="01894305" w14:textId="77777777" w:rsidR="00523ED0" w:rsidRDefault="00000000">
            <w:pPr>
              <w:spacing w:after="0" w:line="252" w:lineRule="auto"/>
              <w:jc w:val="center"/>
            </w:pPr>
            <w:r>
              <w:rPr>
                <w:sz w:val="17"/>
              </w:rPr>
              <w:t>1.075</w:t>
            </w:r>
          </w:p>
        </w:tc>
        <w:tc>
          <w:tcPr>
            <w:tcW w:w="1440" w:type="dxa"/>
            <w:shd w:val="clear" w:color="auto" w:fill="FAFBFC"/>
            <w:tcMar>
              <w:top w:w="80" w:type="dxa"/>
              <w:left w:w="120" w:type="dxa"/>
              <w:bottom w:w="80" w:type="dxa"/>
              <w:right w:w="120" w:type="dxa"/>
            </w:tcMar>
            <w:vAlign w:val="center"/>
          </w:tcPr>
          <w:p w14:paraId="09DCCA72" w14:textId="77777777" w:rsidR="00523ED0" w:rsidRDefault="00000000">
            <w:pPr>
              <w:spacing w:after="0" w:line="252" w:lineRule="auto"/>
              <w:jc w:val="center"/>
            </w:pPr>
            <w:r>
              <w:rPr>
                <w:sz w:val="17"/>
              </w:rPr>
              <w:t>-72.82%</w:t>
            </w:r>
          </w:p>
        </w:tc>
      </w:tr>
      <w:tr w:rsidR="00523ED0" w14:paraId="7019F6DB" w14:textId="77777777">
        <w:tc>
          <w:tcPr>
            <w:tcW w:w="3600" w:type="dxa"/>
            <w:tcMar>
              <w:top w:w="80" w:type="dxa"/>
              <w:left w:w="120" w:type="dxa"/>
              <w:bottom w:w="80" w:type="dxa"/>
              <w:right w:w="120" w:type="dxa"/>
            </w:tcMar>
            <w:vAlign w:val="center"/>
          </w:tcPr>
          <w:p w14:paraId="570AA00B" w14:textId="77777777" w:rsidR="00523ED0" w:rsidRDefault="00000000">
            <w:pPr>
              <w:spacing w:after="0" w:line="252" w:lineRule="auto"/>
            </w:pPr>
            <w:r>
              <w:rPr>
                <w:sz w:val="17"/>
              </w:rPr>
              <w:t>Crypto Maximum Sharpe</w:t>
            </w:r>
          </w:p>
        </w:tc>
        <w:tc>
          <w:tcPr>
            <w:tcW w:w="1440" w:type="dxa"/>
            <w:tcMar>
              <w:top w:w="80" w:type="dxa"/>
              <w:left w:w="120" w:type="dxa"/>
              <w:bottom w:w="80" w:type="dxa"/>
              <w:right w:w="120" w:type="dxa"/>
            </w:tcMar>
            <w:vAlign w:val="center"/>
          </w:tcPr>
          <w:p w14:paraId="4DAAA395" w14:textId="77777777" w:rsidR="00523ED0" w:rsidRDefault="00000000">
            <w:pPr>
              <w:spacing w:after="0" w:line="252" w:lineRule="auto"/>
              <w:jc w:val="center"/>
            </w:pPr>
            <w:r>
              <w:rPr>
                <w:sz w:val="17"/>
              </w:rPr>
              <w:t>43.46%</w:t>
            </w:r>
          </w:p>
        </w:tc>
        <w:tc>
          <w:tcPr>
            <w:tcW w:w="1440" w:type="dxa"/>
            <w:tcMar>
              <w:top w:w="80" w:type="dxa"/>
              <w:left w:w="120" w:type="dxa"/>
              <w:bottom w:w="80" w:type="dxa"/>
              <w:right w:w="120" w:type="dxa"/>
            </w:tcMar>
            <w:vAlign w:val="center"/>
          </w:tcPr>
          <w:p w14:paraId="26525FF3" w14:textId="77777777" w:rsidR="00523ED0" w:rsidRDefault="00000000">
            <w:pPr>
              <w:spacing w:after="0" w:line="252" w:lineRule="auto"/>
              <w:jc w:val="center"/>
            </w:pPr>
            <w:r>
              <w:rPr>
                <w:sz w:val="17"/>
              </w:rPr>
              <w:t>76.35%</w:t>
            </w:r>
          </w:p>
        </w:tc>
        <w:tc>
          <w:tcPr>
            <w:tcW w:w="1440" w:type="dxa"/>
            <w:tcMar>
              <w:top w:w="80" w:type="dxa"/>
              <w:left w:w="120" w:type="dxa"/>
              <w:bottom w:w="80" w:type="dxa"/>
              <w:right w:w="120" w:type="dxa"/>
            </w:tcMar>
            <w:vAlign w:val="center"/>
          </w:tcPr>
          <w:p w14:paraId="4137B86E" w14:textId="77777777" w:rsidR="00523ED0" w:rsidRDefault="00000000">
            <w:pPr>
              <w:spacing w:after="0" w:line="252" w:lineRule="auto"/>
              <w:jc w:val="center"/>
            </w:pPr>
            <w:r>
              <w:rPr>
                <w:sz w:val="17"/>
              </w:rPr>
              <w:t>0.569</w:t>
            </w:r>
          </w:p>
        </w:tc>
        <w:tc>
          <w:tcPr>
            <w:tcW w:w="1440" w:type="dxa"/>
            <w:tcMar>
              <w:top w:w="80" w:type="dxa"/>
              <w:left w:w="120" w:type="dxa"/>
              <w:bottom w:w="80" w:type="dxa"/>
              <w:right w:w="120" w:type="dxa"/>
            </w:tcMar>
            <w:vAlign w:val="center"/>
          </w:tcPr>
          <w:p w14:paraId="11AB34EC" w14:textId="77777777" w:rsidR="00523ED0" w:rsidRDefault="00000000">
            <w:pPr>
              <w:spacing w:after="0" w:line="252" w:lineRule="auto"/>
              <w:jc w:val="center"/>
            </w:pPr>
            <w:r>
              <w:rPr>
                <w:sz w:val="17"/>
              </w:rPr>
              <w:t>-82.56%</w:t>
            </w:r>
          </w:p>
        </w:tc>
      </w:tr>
      <w:tr w:rsidR="00523ED0" w14:paraId="366E5DEB" w14:textId="77777777">
        <w:tc>
          <w:tcPr>
            <w:tcW w:w="3600" w:type="dxa"/>
            <w:shd w:val="clear" w:color="auto" w:fill="FAFBFC"/>
            <w:tcMar>
              <w:top w:w="80" w:type="dxa"/>
              <w:left w:w="120" w:type="dxa"/>
              <w:bottom w:w="80" w:type="dxa"/>
              <w:right w:w="120" w:type="dxa"/>
            </w:tcMar>
            <w:vAlign w:val="center"/>
          </w:tcPr>
          <w:p w14:paraId="2F202772" w14:textId="77777777" w:rsidR="00523ED0" w:rsidRDefault="00000000">
            <w:pPr>
              <w:spacing w:after="0" w:line="252" w:lineRule="auto"/>
            </w:pPr>
            <w:r>
              <w:rPr>
                <w:sz w:val="17"/>
              </w:rPr>
              <w:t>Crypto Risk Parity</w:t>
            </w:r>
          </w:p>
        </w:tc>
        <w:tc>
          <w:tcPr>
            <w:tcW w:w="1440" w:type="dxa"/>
            <w:shd w:val="clear" w:color="auto" w:fill="FAFBFC"/>
            <w:tcMar>
              <w:top w:w="80" w:type="dxa"/>
              <w:left w:w="120" w:type="dxa"/>
              <w:bottom w:w="80" w:type="dxa"/>
              <w:right w:w="120" w:type="dxa"/>
            </w:tcMar>
            <w:vAlign w:val="center"/>
          </w:tcPr>
          <w:p w14:paraId="7F960BDD" w14:textId="77777777" w:rsidR="00523ED0" w:rsidRDefault="00000000">
            <w:pPr>
              <w:spacing w:after="0" w:line="252" w:lineRule="auto"/>
              <w:jc w:val="center"/>
            </w:pPr>
            <w:r>
              <w:rPr>
                <w:sz w:val="17"/>
              </w:rPr>
              <w:t>68.90%</w:t>
            </w:r>
          </w:p>
        </w:tc>
        <w:tc>
          <w:tcPr>
            <w:tcW w:w="1440" w:type="dxa"/>
            <w:shd w:val="clear" w:color="auto" w:fill="FAFBFC"/>
            <w:tcMar>
              <w:top w:w="80" w:type="dxa"/>
              <w:left w:w="120" w:type="dxa"/>
              <w:bottom w:w="80" w:type="dxa"/>
              <w:right w:w="120" w:type="dxa"/>
            </w:tcMar>
            <w:vAlign w:val="center"/>
          </w:tcPr>
          <w:p w14:paraId="3A521A1E" w14:textId="77777777" w:rsidR="00523ED0" w:rsidRDefault="00000000">
            <w:pPr>
              <w:spacing w:after="0" w:line="252" w:lineRule="auto"/>
              <w:jc w:val="center"/>
            </w:pPr>
            <w:r>
              <w:rPr>
                <w:sz w:val="17"/>
              </w:rPr>
              <w:t>79.89%</w:t>
            </w:r>
          </w:p>
        </w:tc>
        <w:tc>
          <w:tcPr>
            <w:tcW w:w="1440" w:type="dxa"/>
            <w:shd w:val="clear" w:color="auto" w:fill="FAFBFC"/>
            <w:tcMar>
              <w:top w:w="80" w:type="dxa"/>
              <w:left w:w="120" w:type="dxa"/>
              <w:bottom w:w="80" w:type="dxa"/>
              <w:right w:w="120" w:type="dxa"/>
            </w:tcMar>
            <w:vAlign w:val="center"/>
          </w:tcPr>
          <w:p w14:paraId="7AC0BBE6" w14:textId="77777777" w:rsidR="00523ED0" w:rsidRDefault="00000000">
            <w:pPr>
              <w:spacing w:after="0" w:line="252" w:lineRule="auto"/>
              <w:jc w:val="center"/>
            </w:pPr>
            <w:r>
              <w:rPr>
                <w:sz w:val="17"/>
              </w:rPr>
              <w:t>0.862</w:t>
            </w:r>
          </w:p>
        </w:tc>
        <w:tc>
          <w:tcPr>
            <w:tcW w:w="1440" w:type="dxa"/>
            <w:shd w:val="clear" w:color="auto" w:fill="FAFBFC"/>
            <w:tcMar>
              <w:top w:w="80" w:type="dxa"/>
              <w:left w:w="120" w:type="dxa"/>
              <w:bottom w:w="80" w:type="dxa"/>
              <w:right w:w="120" w:type="dxa"/>
            </w:tcMar>
            <w:vAlign w:val="center"/>
          </w:tcPr>
          <w:p w14:paraId="4EF55FF0" w14:textId="77777777" w:rsidR="00523ED0" w:rsidRDefault="00000000">
            <w:pPr>
              <w:spacing w:after="0" w:line="252" w:lineRule="auto"/>
              <w:jc w:val="center"/>
            </w:pPr>
            <w:r>
              <w:rPr>
                <w:sz w:val="17"/>
              </w:rPr>
              <w:t>-79.87%</w:t>
            </w:r>
          </w:p>
        </w:tc>
      </w:tr>
      <w:tr w:rsidR="00523ED0" w14:paraId="53350151" w14:textId="77777777">
        <w:tc>
          <w:tcPr>
            <w:tcW w:w="3600" w:type="dxa"/>
            <w:tcMar>
              <w:top w:w="80" w:type="dxa"/>
              <w:left w:w="120" w:type="dxa"/>
              <w:bottom w:w="80" w:type="dxa"/>
              <w:right w:w="120" w:type="dxa"/>
            </w:tcMar>
            <w:vAlign w:val="center"/>
          </w:tcPr>
          <w:p w14:paraId="4315D125" w14:textId="77777777" w:rsidR="00523ED0" w:rsidRDefault="00000000">
            <w:pPr>
              <w:spacing w:after="0" w:line="252" w:lineRule="auto"/>
            </w:pPr>
            <w:r>
              <w:rPr>
                <w:sz w:val="17"/>
              </w:rPr>
              <w:t>Combined Equal Weight</w:t>
            </w:r>
          </w:p>
        </w:tc>
        <w:tc>
          <w:tcPr>
            <w:tcW w:w="1440" w:type="dxa"/>
            <w:tcMar>
              <w:top w:w="80" w:type="dxa"/>
              <w:left w:w="120" w:type="dxa"/>
              <w:bottom w:w="80" w:type="dxa"/>
              <w:right w:w="120" w:type="dxa"/>
            </w:tcMar>
            <w:vAlign w:val="center"/>
          </w:tcPr>
          <w:p w14:paraId="37054AF0" w14:textId="77777777" w:rsidR="00523ED0" w:rsidRDefault="00000000">
            <w:pPr>
              <w:spacing w:after="0" w:line="252" w:lineRule="auto"/>
              <w:jc w:val="center"/>
            </w:pPr>
            <w:r>
              <w:rPr>
                <w:sz w:val="17"/>
              </w:rPr>
              <w:t>16.43%</w:t>
            </w:r>
          </w:p>
        </w:tc>
        <w:tc>
          <w:tcPr>
            <w:tcW w:w="1440" w:type="dxa"/>
            <w:tcMar>
              <w:top w:w="80" w:type="dxa"/>
              <w:left w:w="120" w:type="dxa"/>
              <w:bottom w:w="80" w:type="dxa"/>
              <w:right w:w="120" w:type="dxa"/>
            </w:tcMar>
            <w:vAlign w:val="center"/>
          </w:tcPr>
          <w:p w14:paraId="6118B280" w14:textId="77777777" w:rsidR="00523ED0" w:rsidRDefault="00000000">
            <w:pPr>
              <w:spacing w:after="0" w:line="252" w:lineRule="auto"/>
              <w:jc w:val="center"/>
            </w:pPr>
            <w:r>
              <w:rPr>
                <w:sz w:val="17"/>
              </w:rPr>
              <w:t>21.60%</w:t>
            </w:r>
          </w:p>
        </w:tc>
        <w:tc>
          <w:tcPr>
            <w:tcW w:w="1440" w:type="dxa"/>
            <w:tcMar>
              <w:top w:w="80" w:type="dxa"/>
              <w:left w:w="120" w:type="dxa"/>
              <w:bottom w:w="80" w:type="dxa"/>
              <w:right w:w="120" w:type="dxa"/>
            </w:tcMar>
            <w:vAlign w:val="center"/>
          </w:tcPr>
          <w:p w14:paraId="0B84C620" w14:textId="77777777" w:rsidR="00523ED0" w:rsidRDefault="00000000">
            <w:pPr>
              <w:spacing w:after="0" w:line="252" w:lineRule="auto"/>
              <w:jc w:val="center"/>
            </w:pPr>
            <w:r>
              <w:rPr>
                <w:sz w:val="17"/>
              </w:rPr>
              <w:t>0.761</w:t>
            </w:r>
          </w:p>
        </w:tc>
        <w:tc>
          <w:tcPr>
            <w:tcW w:w="1440" w:type="dxa"/>
            <w:tcMar>
              <w:top w:w="80" w:type="dxa"/>
              <w:left w:w="120" w:type="dxa"/>
              <w:bottom w:w="80" w:type="dxa"/>
              <w:right w:w="120" w:type="dxa"/>
            </w:tcMar>
            <w:vAlign w:val="center"/>
          </w:tcPr>
          <w:p w14:paraId="7FB16322" w14:textId="77777777" w:rsidR="00523ED0" w:rsidRDefault="00000000">
            <w:pPr>
              <w:spacing w:after="0" w:line="252" w:lineRule="auto"/>
              <w:jc w:val="center"/>
            </w:pPr>
            <w:r>
              <w:rPr>
                <w:sz w:val="17"/>
              </w:rPr>
              <w:t>-27.87%</w:t>
            </w:r>
          </w:p>
        </w:tc>
      </w:tr>
      <w:tr w:rsidR="00523ED0" w14:paraId="146A92AD" w14:textId="77777777">
        <w:tc>
          <w:tcPr>
            <w:tcW w:w="3600" w:type="dxa"/>
            <w:shd w:val="clear" w:color="auto" w:fill="FAFBFC"/>
            <w:tcMar>
              <w:top w:w="80" w:type="dxa"/>
              <w:left w:w="120" w:type="dxa"/>
              <w:bottom w:w="80" w:type="dxa"/>
              <w:right w:w="120" w:type="dxa"/>
            </w:tcMar>
            <w:vAlign w:val="center"/>
          </w:tcPr>
          <w:p w14:paraId="338064E8" w14:textId="77777777" w:rsidR="00523ED0" w:rsidRDefault="00000000">
            <w:pPr>
              <w:spacing w:after="0" w:line="252" w:lineRule="auto"/>
            </w:pPr>
            <w:r>
              <w:rPr>
                <w:sz w:val="17"/>
              </w:rPr>
              <w:t>Combined Minimum Variance</w:t>
            </w:r>
          </w:p>
        </w:tc>
        <w:tc>
          <w:tcPr>
            <w:tcW w:w="1440" w:type="dxa"/>
            <w:shd w:val="clear" w:color="auto" w:fill="FAFBFC"/>
            <w:tcMar>
              <w:top w:w="80" w:type="dxa"/>
              <w:left w:w="120" w:type="dxa"/>
              <w:bottom w:w="80" w:type="dxa"/>
              <w:right w:w="120" w:type="dxa"/>
            </w:tcMar>
            <w:vAlign w:val="center"/>
          </w:tcPr>
          <w:p w14:paraId="5FABE202" w14:textId="77777777" w:rsidR="00523ED0" w:rsidRDefault="00000000">
            <w:pPr>
              <w:spacing w:after="0" w:line="252" w:lineRule="auto"/>
              <w:jc w:val="center"/>
            </w:pPr>
            <w:r>
              <w:rPr>
                <w:sz w:val="17"/>
              </w:rPr>
              <w:t>6.48%</w:t>
            </w:r>
          </w:p>
        </w:tc>
        <w:tc>
          <w:tcPr>
            <w:tcW w:w="1440" w:type="dxa"/>
            <w:shd w:val="clear" w:color="auto" w:fill="FAFBFC"/>
            <w:tcMar>
              <w:top w:w="80" w:type="dxa"/>
              <w:left w:w="120" w:type="dxa"/>
              <w:bottom w:w="80" w:type="dxa"/>
              <w:right w:w="120" w:type="dxa"/>
            </w:tcMar>
            <w:vAlign w:val="center"/>
          </w:tcPr>
          <w:p w14:paraId="600A5CBD" w14:textId="77777777" w:rsidR="00523ED0" w:rsidRDefault="00000000">
            <w:pPr>
              <w:spacing w:after="0" w:line="252" w:lineRule="auto"/>
              <w:jc w:val="center"/>
            </w:pPr>
            <w:r>
              <w:rPr>
                <w:sz w:val="17"/>
              </w:rPr>
              <w:t>12.52%</w:t>
            </w:r>
          </w:p>
        </w:tc>
        <w:tc>
          <w:tcPr>
            <w:tcW w:w="1440" w:type="dxa"/>
            <w:shd w:val="clear" w:color="auto" w:fill="FAFBFC"/>
            <w:tcMar>
              <w:top w:w="80" w:type="dxa"/>
              <w:left w:w="120" w:type="dxa"/>
              <w:bottom w:w="80" w:type="dxa"/>
              <w:right w:w="120" w:type="dxa"/>
            </w:tcMar>
            <w:vAlign w:val="center"/>
          </w:tcPr>
          <w:p w14:paraId="08949BBA" w14:textId="77777777" w:rsidR="00523ED0" w:rsidRDefault="00000000">
            <w:pPr>
              <w:spacing w:after="0" w:line="252" w:lineRule="auto"/>
              <w:jc w:val="center"/>
            </w:pPr>
            <w:r>
              <w:rPr>
                <w:sz w:val="17"/>
              </w:rPr>
              <w:t>0.518</w:t>
            </w:r>
          </w:p>
        </w:tc>
        <w:tc>
          <w:tcPr>
            <w:tcW w:w="1440" w:type="dxa"/>
            <w:shd w:val="clear" w:color="auto" w:fill="FAFBFC"/>
            <w:tcMar>
              <w:top w:w="80" w:type="dxa"/>
              <w:left w:w="120" w:type="dxa"/>
              <w:bottom w:w="80" w:type="dxa"/>
              <w:right w:w="120" w:type="dxa"/>
            </w:tcMar>
            <w:vAlign w:val="center"/>
          </w:tcPr>
          <w:p w14:paraId="4826D29C" w14:textId="77777777" w:rsidR="00523ED0" w:rsidRDefault="00000000">
            <w:pPr>
              <w:spacing w:after="0" w:line="252" w:lineRule="auto"/>
              <w:jc w:val="center"/>
            </w:pPr>
            <w:r>
              <w:rPr>
                <w:sz w:val="17"/>
              </w:rPr>
              <w:t>-15.78%</w:t>
            </w:r>
          </w:p>
        </w:tc>
      </w:tr>
      <w:tr w:rsidR="00523ED0" w14:paraId="5045463B" w14:textId="77777777">
        <w:tc>
          <w:tcPr>
            <w:tcW w:w="3600" w:type="dxa"/>
            <w:tcMar>
              <w:top w:w="80" w:type="dxa"/>
              <w:left w:w="120" w:type="dxa"/>
              <w:bottom w:w="80" w:type="dxa"/>
              <w:right w:w="120" w:type="dxa"/>
            </w:tcMar>
            <w:vAlign w:val="center"/>
          </w:tcPr>
          <w:p w14:paraId="5789AED1" w14:textId="77777777" w:rsidR="00523ED0" w:rsidRDefault="00000000">
            <w:pPr>
              <w:spacing w:after="0" w:line="252" w:lineRule="auto"/>
            </w:pPr>
            <w:r>
              <w:rPr>
                <w:sz w:val="17"/>
              </w:rPr>
              <w:t>Combined Maximum Sharpe</w:t>
            </w:r>
          </w:p>
        </w:tc>
        <w:tc>
          <w:tcPr>
            <w:tcW w:w="1440" w:type="dxa"/>
            <w:tcMar>
              <w:top w:w="80" w:type="dxa"/>
              <w:left w:w="120" w:type="dxa"/>
              <w:bottom w:w="80" w:type="dxa"/>
              <w:right w:w="120" w:type="dxa"/>
            </w:tcMar>
            <w:vAlign w:val="center"/>
          </w:tcPr>
          <w:p w14:paraId="58047C10" w14:textId="77777777" w:rsidR="00523ED0" w:rsidRDefault="00000000">
            <w:pPr>
              <w:spacing w:after="0" w:line="252" w:lineRule="auto"/>
              <w:jc w:val="center"/>
            </w:pPr>
            <w:r>
              <w:rPr>
                <w:sz w:val="17"/>
              </w:rPr>
              <w:t>14.24%</w:t>
            </w:r>
          </w:p>
        </w:tc>
        <w:tc>
          <w:tcPr>
            <w:tcW w:w="1440" w:type="dxa"/>
            <w:tcMar>
              <w:top w:w="80" w:type="dxa"/>
              <w:left w:w="120" w:type="dxa"/>
              <w:bottom w:w="80" w:type="dxa"/>
              <w:right w:w="120" w:type="dxa"/>
            </w:tcMar>
            <w:vAlign w:val="center"/>
          </w:tcPr>
          <w:p w14:paraId="3F18607B" w14:textId="77777777" w:rsidR="00523ED0" w:rsidRDefault="00000000">
            <w:pPr>
              <w:spacing w:after="0" w:line="252" w:lineRule="auto"/>
              <w:jc w:val="center"/>
            </w:pPr>
            <w:r>
              <w:rPr>
                <w:sz w:val="17"/>
              </w:rPr>
              <w:t>19.34%</w:t>
            </w:r>
          </w:p>
        </w:tc>
        <w:tc>
          <w:tcPr>
            <w:tcW w:w="1440" w:type="dxa"/>
            <w:tcMar>
              <w:top w:w="80" w:type="dxa"/>
              <w:left w:w="120" w:type="dxa"/>
              <w:bottom w:w="80" w:type="dxa"/>
              <w:right w:w="120" w:type="dxa"/>
            </w:tcMar>
            <w:vAlign w:val="center"/>
          </w:tcPr>
          <w:p w14:paraId="253A3364" w14:textId="77777777" w:rsidR="00523ED0" w:rsidRDefault="00000000">
            <w:pPr>
              <w:spacing w:after="0" w:line="252" w:lineRule="auto"/>
              <w:jc w:val="center"/>
            </w:pPr>
            <w:r>
              <w:rPr>
                <w:sz w:val="17"/>
              </w:rPr>
              <w:t>0.736</w:t>
            </w:r>
          </w:p>
        </w:tc>
        <w:tc>
          <w:tcPr>
            <w:tcW w:w="1440" w:type="dxa"/>
            <w:tcMar>
              <w:top w:w="80" w:type="dxa"/>
              <w:left w:w="120" w:type="dxa"/>
              <w:bottom w:w="80" w:type="dxa"/>
              <w:right w:w="120" w:type="dxa"/>
            </w:tcMar>
            <w:vAlign w:val="center"/>
          </w:tcPr>
          <w:p w14:paraId="44D23B99" w14:textId="77777777" w:rsidR="00523ED0" w:rsidRDefault="00000000">
            <w:pPr>
              <w:spacing w:after="0" w:line="252" w:lineRule="auto"/>
              <w:jc w:val="center"/>
            </w:pPr>
            <w:r>
              <w:rPr>
                <w:sz w:val="17"/>
              </w:rPr>
              <w:t>-19.33%</w:t>
            </w:r>
          </w:p>
        </w:tc>
      </w:tr>
      <w:tr w:rsidR="00523ED0" w14:paraId="07037963" w14:textId="77777777">
        <w:tc>
          <w:tcPr>
            <w:tcW w:w="3600" w:type="dxa"/>
            <w:shd w:val="clear" w:color="auto" w:fill="FAFBFC"/>
            <w:tcMar>
              <w:top w:w="80" w:type="dxa"/>
              <w:left w:w="120" w:type="dxa"/>
              <w:bottom w:w="80" w:type="dxa"/>
              <w:right w:w="120" w:type="dxa"/>
            </w:tcMar>
            <w:vAlign w:val="center"/>
          </w:tcPr>
          <w:p w14:paraId="0CA4239F" w14:textId="77777777" w:rsidR="00523ED0" w:rsidRDefault="00000000">
            <w:pPr>
              <w:spacing w:after="0" w:line="252" w:lineRule="auto"/>
            </w:pPr>
            <w:r>
              <w:rPr>
                <w:sz w:val="17"/>
              </w:rPr>
              <w:t>Combined Risk Parity</w:t>
            </w:r>
          </w:p>
        </w:tc>
        <w:tc>
          <w:tcPr>
            <w:tcW w:w="1440" w:type="dxa"/>
            <w:shd w:val="clear" w:color="auto" w:fill="FAFBFC"/>
            <w:tcMar>
              <w:top w:w="80" w:type="dxa"/>
              <w:left w:w="120" w:type="dxa"/>
              <w:bottom w:w="80" w:type="dxa"/>
              <w:right w:w="120" w:type="dxa"/>
            </w:tcMar>
            <w:vAlign w:val="center"/>
          </w:tcPr>
          <w:p w14:paraId="0FF74A9B" w14:textId="77777777" w:rsidR="00523ED0" w:rsidRDefault="00000000">
            <w:pPr>
              <w:spacing w:after="0" w:line="252" w:lineRule="auto"/>
              <w:jc w:val="center"/>
            </w:pPr>
            <w:r>
              <w:rPr>
                <w:sz w:val="17"/>
              </w:rPr>
              <w:t>14.39%</w:t>
            </w:r>
          </w:p>
        </w:tc>
        <w:tc>
          <w:tcPr>
            <w:tcW w:w="1440" w:type="dxa"/>
            <w:shd w:val="clear" w:color="auto" w:fill="FAFBFC"/>
            <w:tcMar>
              <w:top w:w="80" w:type="dxa"/>
              <w:left w:w="120" w:type="dxa"/>
              <w:bottom w:w="80" w:type="dxa"/>
              <w:right w:w="120" w:type="dxa"/>
            </w:tcMar>
            <w:vAlign w:val="center"/>
          </w:tcPr>
          <w:p w14:paraId="1CF5C67F" w14:textId="77777777" w:rsidR="00523ED0" w:rsidRDefault="00000000">
            <w:pPr>
              <w:spacing w:after="0" w:line="252" w:lineRule="auto"/>
              <w:jc w:val="center"/>
            </w:pPr>
            <w:r>
              <w:rPr>
                <w:sz w:val="17"/>
              </w:rPr>
              <w:t>16.20%</w:t>
            </w:r>
          </w:p>
        </w:tc>
        <w:tc>
          <w:tcPr>
            <w:tcW w:w="1440" w:type="dxa"/>
            <w:shd w:val="clear" w:color="auto" w:fill="FAFBFC"/>
            <w:tcMar>
              <w:top w:w="80" w:type="dxa"/>
              <w:left w:w="120" w:type="dxa"/>
              <w:bottom w:w="80" w:type="dxa"/>
              <w:right w:w="120" w:type="dxa"/>
            </w:tcMar>
            <w:vAlign w:val="center"/>
          </w:tcPr>
          <w:p w14:paraId="1BCCB3BB" w14:textId="77777777" w:rsidR="00523ED0" w:rsidRDefault="00000000">
            <w:pPr>
              <w:spacing w:after="0" w:line="252" w:lineRule="auto"/>
              <w:jc w:val="center"/>
            </w:pPr>
            <w:r>
              <w:rPr>
                <w:sz w:val="17"/>
              </w:rPr>
              <w:t>0.888</w:t>
            </w:r>
          </w:p>
        </w:tc>
        <w:tc>
          <w:tcPr>
            <w:tcW w:w="1440" w:type="dxa"/>
            <w:shd w:val="clear" w:color="auto" w:fill="FAFBFC"/>
            <w:tcMar>
              <w:top w:w="80" w:type="dxa"/>
              <w:left w:w="120" w:type="dxa"/>
              <w:bottom w:w="80" w:type="dxa"/>
              <w:right w:w="120" w:type="dxa"/>
            </w:tcMar>
            <w:vAlign w:val="center"/>
          </w:tcPr>
          <w:p w14:paraId="1717CC40" w14:textId="77777777" w:rsidR="00523ED0" w:rsidRDefault="00000000">
            <w:pPr>
              <w:spacing w:after="0" w:line="252" w:lineRule="auto"/>
              <w:jc w:val="center"/>
            </w:pPr>
            <w:r>
              <w:rPr>
                <w:sz w:val="17"/>
              </w:rPr>
              <w:t>-19.47%</w:t>
            </w:r>
          </w:p>
        </w:tc>
      </w:tr>
    </w:tbl>
    <w:p w14:paraId="2B547F0B" w14:textId="77777777" w:rsidR="00523ED0" w:rsidRDefault="00523ED0">
      <w:pPr>
        <w:spacing w:after="40"/>
      </w:pPr>
    </w:p>
    <w:p w14:paraId="639A85B0" w14:textId="77777777" w:rsidR="00523ED0" w:rsidRDefault="00000000">
      <w:pPr>
        <w:spacing w:before="80" w:after="80"/>
      </w:pPr>
      <w:r>
        <w:rPr>
          <w:i/>
          <w:color w:val="5E6978"/>
          <w:sz w:val="17"/>
        </w:rPr>
        <w:t>Source: Author calculations from results/tables/performance_metrics.csv. Arithmetic annualised return; 252 periods for equity/combined and 365 for crypto; risk-free rate 0%; baseline cost 0 bps.</w:t>
      </w:r>
    </w:p>
    <w:p w14:paraId="3A078FB9" w14:textId="77777777" w:rsidR="00523ED0" w:rsidRDefault="00000000">
      <w:r>
        <w:rPr>
          <w:i/>
        </w:rPr>
        <w:t>Reading note: the highest Sharpe differs by family. Crypto returns are accompanied by 76–82% volatility and 73–83% drawdowns, so cross-family return rankings without risk are misleading. The three-year sample is descriptive, not a forecast.</w:t>
      </w:r>
    </w:p>
    <w:p w14:paraId="4F217D6E" w14:textId="77777777" w:rsidR="00523ED0" w:rsidRDefault="00000000">
      <w:r>
        <w:br w:type="page"/>
      </w:r>
    </w:p>
    <w:p w14:paraId="52D5BAE7" w14:textId="77777777" w:rsidR="00523ED0" w:rsidRDefault="00000000">
      <w:pPr>
        <w:pStyle w:val="Caption"/>
      </w:pPr>
      <w:r>
        <w:lastRenderedPageBreak/>
        <w:t>Exhibit A2. Growth of an initial $1 across methods, by asset family, January 2021–December 2023.</w:t>
      </w:r>
    </w:p>
    <w:p w14:paraId="6C7016DE" w14:textId="77777777" w:rsidR="00523ED0" w:rsidRDefault="00000000">
      <w:pPr>
        <w:spacing w:before="80" w:after="80"/>
        <w:jc w:val="center"/>
      </w:pPr>
      <w:r>
        <w:rPr>
          <w:noProof/>
        </w:rPr>
        <w:drawing>
          <wp:inline distT="0" distB="0" distL="0" distR="0" wp14:anchorId="23B656E8" wp14:editId="2530D348">
            <wp:extent cx="5715000" cy="5214211"/>
            <wp:effectExtent l="0" t="0" r="0" b="0"/>
            <wp:docPr id="1" name="Picture 1" descr="Three panels showing growth of one dollar for equity, crypto and combined funds across four portfolio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growth_comparison.png"/>
                    <pic:cNvPicPr/>
                  </pic:nvPicPr>
                  <pic:blipFill>
                    <a:blip r:embed="rId8"/>
                    <a:stretch>
                      <a:fillRect/>
                    </a:stretch>
                  </pic:blipFill>
                  <pic:spPr>
                    <a:xfrm>
                      <a:off x="0" y="0"/>
                      <a:ext cx="5715000" cy="5214211"/>
                    </a:xfrm>
                    <a:prstGeom prst="rect">
                      <a:avLst/>
                    </a:prstGeom>
                  </pic:spPr>
                </pic:pic>
              </a:graphicData>
            </a:graphic>
          </wp:inline>
        </w:drawing>
      </w:r>
    </w:p>
    <w:p w14:paraId="232A3285" w14:textId="77777777" w:rsidR="00523ED0" w:rsidRDefault="00000000">
      <w:pPr>
        <w:spacing w:before="80" w:after="80"/>
      </w:pPr>
      <w:r>
        <w:rPr>
          <w:i/>
          <w:color w:val="5E6978"/>
          <w:sz w:val="17"/>
        </w:rPr>
        <w:t>Source: Author calculations from the committed Part B result artifacts; market and headline inputs supplied through src/data_access.py.</w:t>
      </w:r>
    </w:p>
    <w:p w14:paraId="24E0D323" w14:textId="77777777" w:rsidR="00523ED0" w:rsidRDefault="00000000">
      <w:r>
        <w:rPr>
          <w:i/>
        </w:rPr>
        <w:t>Reading note: crypto reaches the highest ending wealth but follows a much more volatile path. Within the combined family, Risk Parity achieves a steadier path than Equal Weight; ending wealth alone does not measure repeatability or tail risk.</w:t>
      </w:r>
    </w:p>
    <w:p w14:paraId="6010AFBE" w14:textId="77777777" w:rsidR="00523ED0" w:rsidRDefault="00000000">
      <w:r>
        <w:br w:type="page"/>
      </w:r>
    </w:p>
    <w:p w14:paraId="7B32F78B" w14:textId="77777777" w:rsidR="00523ED0" w:rsidRDefault="00000000">
      <w:pPr>
        <w:pStyle w:val="Caption"/>
      </w:pPr>
      <w:r>
        <w:lastRenderedPageBreak/>
        <w:t>Exhibit A3. Drawdown from the running peak across methods, by asset family, January 2021–December 2023.</w:t>
      </w:r>
    </w:p>
    <w:p w14:paraId="6D4F826F" w14:textId="77777777" w:rsidR="00523ED0" w:rsidRDefault="00000000">
      <w:pPr>
        <w:spacing w:before="80" w:after="80"/>
        <w:jc w:val="center"/>
      </w:pPr>
      <w:r>
        <w:rPr>
          <w:noProof/>
        </w:rPr>
        <w:drawing>
          <wp:inline distT="0" distB="0" distL="0" distR="0" wp14:anchorId="5D263231" wp14:editId="1D60751E">
            <wp:extent cx="5715000" cy="4932448"/>
            <wp:effectExtent l="0" t="0" r="0" b="0"/>
            <wp:docPr id="2" name="Picture 2" descr="Three panels showing percentage drawdowns for equity, crypto and combined funds across four portfolio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drawdown_comparison.png"/>
                    <pic:cNvPicPr/>
                  </pic:nvPicPr>
                  <pic:blipFill>
                    <a:blip r:embed="rId9"/>
                    <a:stretch>
                      <a:fillRect/>
                    </a:stretch>
                  </pic:blipFill>
                  <pic:spPr>
                    <a:xfrm>
                      <a:off x="0" y="0"/>
                      <a:ext cx="5715000" cy="4932448"/>
                    </a:xfrm>
                    <a:prstGeom prst="rect">
                      <a:avLst/>
                    </a:prstGeom>
                  </pic:spPr>
                </pic:pic>
              </a:graphicData>
            </a:graphic>
          </wp:inline>
        </w:drawing>
      </w:r>
    </w:p>
    <w:p w14:paraId="1E4BCE98" w14:textId="77777777" w:rsidR="00523ED0" w:rsidRDefault="00000000">
      <w:pPr>
        <w:spacing w:before="80" w:after="80"/>
      </w:pPr>
      <w:r>
        <w:rPr>
          <w:i/>
          <w:color w:val="5E6978"/>
          <w:sz w:val="17"/>
        </w:rPr>
        <w:t>Source: Author calculations from the committed Part B result artifacts; market and headline inputs supplied through src/data_access.py.</w:t>
      </w:r>
    </w:p>
    <w:p w14:paraId="5D4150D8" w14:textId="77777777" w:rsidR="00523ED0" w:rsidRDefault="00000000">
      <w:r>
        <w:rPr>
          <w:i/>
        </w:rPr>
        <w:t>Reading note: crypto funds lose roughly three-quarters to four-fifths from their running peaks, while combined funds remain materially less severe. Drawdown depends on the observed path and can be worse in future.</w:t>
      </w:r>
    </w:p>
    <w:p w14:paraId="2DC74E14" w14:textId="77777777" w:rsidR="00523ED0" w:rsidRDefault="00000000">
      <w:r>
        <w:br w:type="page"/>
      </w:r>
    </w:p>
    <w:p w14:paraId="520B266A" w14:textId="77777777" w:rsidR="00523ED0" w:rsidRDefault="00000000">
      <w:pPr>
        <w:pStyle w:val="Caption"/>
      </w:pPr>
      <w:r>
        <w:lastRenderedPageBreak/>
        <w:t>Exhibit A4. Combined-fund target allocation by sector or crypto sleeve and method, 36 monthly rebalances from January 2021 to December 2023.</w:t>
      </w:r>
    </w:p>
    <w:p w14:paraId="10CD7F7C" w14:textId="77777777" w:rsidR="00523ED0" w:rsidRDefault="00000000">
      <w:pPr>
        <w:spacing w:before="80" w:after="80"/>
        <w:jc w:val="center"/>
      </w:pPr>
      <w:r>
        <w:rPr>
          <w:noProof/>
        </w:rPr>
        <w:drawing>
          <wp:inline distT="0" distB="0" distL="0" distR="0" wp14:anchorId="1879C848" wp14:editId="13053778">
            <wp:extent cx="5715000" cy="4469229"/>
            <wp:effectExtent l="0" t="0" r="0" b="0"/>
            <wp:docPr id="3" name="Picture 3" descr="Four heatmap panels showing monthly target weights by equity sector and crypto sleeve for each combined fund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weights_over_time.png"/>
                    <pic:cNvPicPr/>
                  </pic:nvPicPr>
                  <pic:blipFill>
                    <a:blip r:embed="rId10"/>
                    <a:stretch>
                      <a:fillRect/>
                    </a:stretch>
                  </pic:blipFill>
                  <pic:spPr>
                    <a:xfrm>
                      <a:off x="0" y="0"/>
                      <a:ext cx="5715000" cy="4469229"/>
                    </a:xfrm>
                    <a:prstGeom prst="rect">
                      <a:avLst/>
                    </a:prstGeom>
                  </pic:spPr>
                </pic:pic>
              </a:graphicData>
            </a:graphic>
          </wp:inline>
        </w:drawing>
      </w:r>
    </w:p>
    <w:p w14:paraId="36A07CC2" w14:textId="77777777" w:rsidR="00523ED0" w:rsidRDefault="00000000">
      <w:pPr>
        <w:spacing w:before="80" w:after="80"/>
      </w:pPr>
      <w:r>
        <w:rPr>
          <w:i/>
          <w:color w:val="5E6978"/>
          <w:sz w:val="17"/>
        </w:rPr>
        <w:t>Source: Author calculations from the committed Part B result artifacts; market and headline inputs supplied through src/data_access.py.</w:t>
      </w:r>
    </w:p>
    <w:p w14:paraId="45DEE79B" w14:textId="77777777" w:rsidR="00523ED0" w:rsidRDefault="00000000">
      <w:r>
        <w:rPr>
          <w:i/>
        </w:rPr>
        <w:t>Reading note: Equal Weight is stable, Maximum Sharpe shows the largest regime shifts, and Minimum Variance carries visible sector concentration. The colours are monthly target weights, not daily drifted holdings.</w:t>
      </w:r>
    </w:p>
    <w:p w14:paraId="136809F1" w14:textId="77777777" w:rsidR="00523ED0" w:rsidRDefault="00000000">
      <w:r>
        <w:br w:type="page"/>
      </w:r>
    </w:p>
    <w:p w14:paraId="195213DB" w14:textId="77777777" w:rsidR="00523ED0" w:rsidRDefault="00000000">
      <w:pPr>
        <w:pStyle w:val="Caption"/>
      </w:pPr>
      <w:r>
        <w:lastRenderedPageBreak/>
        <w:t>Exhibit A5. Realised out-of-sample Sharpe ratio across funds and methods, January 2021–December 2023.</w:t>
      </w:r>
    </w:p>
    <w:p w14:paraId="7CD07FF6" w14:textId="77777777" w:rsidR="00523ED0" w:rsidRDefault="00000000">
      <w:pPr>
        <w:spacing w:before="80" w:after="80"/>
        <w:jc w:val="center"/>
      </w:pPr>
      <w:r>
        <w:rPr>
          <w:noProof/>
        </w:rPr>
        <w:drawing>
          <wp:inline distT="0" distB="0" distL="0" distR="0" wp14:anchorId="4A2DAABE" wp14:editId="54FC250C">
            <wp:extent cx="5715000" cy="2545352"/>
            <wp:effectExtent l="0" t="0" r="0" b="0"/>
            <wp:docPr id="4" name="Picture 4" descr="Three bar-chart panels comparing Sharpe ratios for four methods within equity, crypto and combined fu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sharpe_comparison.png"/>
                    <pic:cNvPicPr/>
                  </pic:nvPicPr>
                  <pic:blipFill>
                    <a:blip r:embed="rId11"/>
                    <a:stretch>
                      <a:fillRect/>
                    </a:stretch>
                  </pic:blipFill>
                  <pic:spPr>
                    <a:xfrm>
                      <a:off x="0" y="0"/>
                      <a:ext cx="5715000" cy="2545352"/>
                    </a:xfrm>
                    <a:prstGeom prst="rect">
                      <a:avLst/>
                    </a:prstGeom>
                  </pic:spPr>
                </pic:pic>
              </a:graphicData>
            </a:graphic>
          </wp:inline>
        </w:drawing>
      </w:r>
    </w:p>
    <w:p w14:paraId="65CA048A" w14:textId="77777777" w:rsidR="00523ED0" w:rsidRDefault="00000000">
      <w:pPr>
        <w:spacing w:before="80" w:after="80"/>
      </w:pPr>
      <w:r>
        <w:rPr>
          <w:i/>
          <w:color w:val="5E6978"/>
          <w:sz w:val="17"/>
        </w:rPr>
        <w:t>Source: Author calculations from the committed Part B result artifacts; market and headline inputs supplied through src/data_access.py.</w:t>
      </w:r>
    </w:p>
    <w:p w14:paraId="121D0BDC" w14:textId="77777777" w:rsidR="00523ED0" w:rsidRDefault="00000000">
      <w:r>
        <w:rPr>
          <w:i/>
        </w:rPr>
        <w:t>Reading note: the leading method changes by family and Maximum Sharpe does not lead any family. Sharpe uses a zero risk-free rate and volatility as its risk denominator; it is not a guarantee.</w:t>
      </w:r>
    </w:p>
    <w:p w14:paraId="7F5CB5B5" w14:textId="77777777" w:rsidR="00523ED0" w:rsidRDefault="00000000">
      <w:r>
        <w:br w:type="page"/>
      </w:r>
    </w:p>
    <w:p w14:paraId="22B3E933" w14:textId="77777777" w:rsidR="00523ED0" w:rsidRDefault="00000000">
      <w:pPr>
        <w:pStyle w:val="Caption"/>
      </w:pPr>
      <w:r>
        <w:lastRenderedPageBreak/>
        <w:t>Exhibit A6. Equal-ticker VADER sector sentiment index, shown as 21-trading-day means, January 2020–December 2023.</w:t>
      </w:r>
    </w:p>
    <w:p w14:paraId="6B061A86" w14:textId="77777777" w:rsidR="00523ED0" w:rsidRDefault="00000000">
      <w:pPr>
        <w:spacing w:before="80" w:after="80"/>
        <w:jc w:val="center"/>
      </w:pPr>
      <w:r>
        <w:rPr>
          <w:noProof/>
        </w:rPr>
        <w:drawing>
          <wp:inline distT="0" distB="0" distL="0" distR="0" wp14:anchorId="68261805" wp14:editId="18746FC8">
            <wp:extent cx="5715000" cy="6450206"/>
            <wp:effectExtent l="0" t="0" r="0" b="0"/>
            <wp:docPr id="5" name="Picture 5" descr="Ten small-multiple time-series panels showing smoothed VADER sentiment for equity s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sentiment_timeseries.png"/>
                    <pic:cNvPicPr/>
                  </pic:nvPicPr>
                  <pic:blipFill>
                    <a:blip r:embed="rId12"/>
                    <a:stretch>
                      <a:fillRect/>
                    </a:stretch>
                  </pic:blipFill>
                  <pic:spPr>
                    <a:xfrm>
                      <a:off x="0" y="0"/>
                      <a:ext cx="5715000" cy="6450206"/>
                    </a:xfrm>
                    <a:prstGeom prst="rect">
                      <a:avLst/>
                    </a:prstGeom>
                  </pic:spPr>
                </pic:pic>
              </a:graphicData>
            </a:graphic>
          </wp:inline>
        </w:drawing>
      </w:r>
    </w:p>
    <w:p w14:paraId="64346E14" w14:textId="77777777" w:rsidR="00523ED0" w:rsidRDefault="00000000">
      <w:pPr>
        <w:spacing w:before="80" w:after="80"/>
      </w:pPr>
      <w:r>
        <w:rPr>
          <w:i/>
          <w:color w:val="5E6978"/>
          <w:sz w:val="17"/>
        </w:rPr>
        <w:t>Source: Author calculations from the committed Part B result artifacts; market and headline inputs supplied through src/data_access.py.</w:t>
      </w:r>
    </w:p>
    <w:p w14:paraId="4A6FE894" w14:textId="77777777" w:rsidR="00523ED0" w:rsidRDefault="00000000">
      <w:r>
        <w:rPr>
          <w:i/>
        </w:rPr>
        <w:t>Reading note: sector tone varies over time, but levels must be interpreted with coverage. No-news sector-days remain missing rather than being classified as neutral; the plotted series is descriptive, not a return forecast.</w:t>
      </w:r>
    </w:p>
    <w:p w14:paraId="423A6483" w14:textId="77777777" w:rsidR="00523ED0" w:rsidRDefault="00000000">
      <w:r>
        <w:br w:type="page"/>
      </w:r>
    </w:p>
    <w:p w14:paraId="552EBAE6" w14:textId="77777777" w:rsidR="00523ED0" w:rsidRDefault="00000000">
      <w:pPr>
        <w:pStyle w:val="Caption"/>
      </w:pPr>
      <w:r>
        <w:lastRenderedPageBreak/>
        <w:t>Exhibit A7. Risk Parity before and after sentiment tilts, with strength and transaction-cost robustness, January 2021–December 2023.</w:t>
      </w:r>
    </w:p>
    <w:p w14:paraId="7CC4E411" w14:textId="77777777" w:rsidR="00523ED0" w:rsidRDefault="00000000">
      <w:pPr>
        <w:spacing w:before="80" w:after="80"/>
        <w:jc w:val="center"/>
      </w:pPr>
      <w:r>
        <w:rPr>
          <w:noProof/>
        </w:rPr>
        <w:drawing>
          <wp:inline distT="0" distB="0" distL="0" distR="0" wp14:anchorId="45F0F7B7" wp14:editId="485BF9D4">
            <wp:extent cx="5715000" cy="4198125"/>
            <wp:effectExtent l="0" t="0" r="0" b="0"/>
            <wp:docPr id="6" name="Picture 6" descr="Four panels comparing base, naive sentiment and coverage-adjusted sentiment fund growth and Sharpe sensitivity for equity and combined Risk Parity f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before_after.png"/>
                    <pic:cNvPicPr/>
                  </pic:nvPicPr>
                  <pic:blipFill>
                    <a:blip r:embed="rId13"/>
                    <a:stretch>
                      <a:fillRect/>
                    </a:stretch>
                  </pic:blipFill>
                  <pic:spPr>
                    <a:xfrm>
                      <a:off x="0" y="0"/>
                      <a:ext cx="5715000" cy="4198125"/>
                    </a:xfrm>
                    <a:prstGeom prst="rect">
                      <a:avLst/>
                    </a:prstGeom>
                  </pic:spPr>
                </pic:pic>
              </a:graphicData>
            </a:graphic>
          </wp:inline>
        </w:drawing>
      </w:r>
    </w:p>
    <w:p w14:paraId="286E4A33" w14:textId="77777777" w:rsidR="00523ED0" w:rsidRDefault="00000000">
      <w:pPr>
        <w:spacing w:before="80" w:after="80"/>
      </w:pPr>
      <w:r>
        <w:rPr>
          <w:i/>
          <w:color w:val="5E6978"/>
          <w:sz w:val="17"/>
        </w:rPr>
        <w:t>Source: Author calculations from results/data/fusion_returns.csv and results/tables/fusion_robustness.csv. Signals use only lagged information; strength grid 10%, 25% and 40%; costs 0 and 10 bps.</w:t>
      </w:r>
    </w:p>
    <w:p w14:paraId="2A216144" w14:textId="77777777" w:rsidR="00523ED0" w:rsidRDefault="00000000">
      <w:r>
        <w:rPr>
          <w:i/>
        </w:rPr>
        <w:t>Reading note: every non-base robustness case has a negative Sharpe change. Coverage adjustment consistently loses less Sharpe and creates less turnover than the matched naive tilt, supporting a confidence-control interpretation rather than an alpha claim.</w:t>
      </w:r>
    </w:p>
    <w:p w14:paraId="5D9D4644" w14:textId="77777777" w:rsidR="00523ED0" w:rsidRDefault="00000000">
      <w:r>
        <w:br w:type="page"/>
      </w:r>
    </w:p>
    <w:p w14:paraId="759D935D" w14:textId="77777777" w:rsidR="00523ED0" w:rsidRDefault="00000000">
      <w:pPr>
        <w:pStyle w:val="Heading1"/>
      </w:pPr>
      <w:r>
        <w:lastRenderedPageBreak/>
        <w:t>Appendix B — Reproducibility and AI Transparency</w:t>
      </w:r>
    </w:p>
    <w:p w14:paraId="392B4FDF" w14:textId="77777777" w:rsidR="00523ED0" w:rsidRDefault="00000000">
      <w:r>
        <w:t>All raw data are accessed through src/data_access.py. The complete local reproduction command is python scripts/run_part_b.py; the deployed Streamlit app reads only the committed precomputed outputs under results/. Model, data and app tests are kept under tests/, while scripts/check_handin.py checks the final folder. The submitted ai/ directory records the prompts, proposed changes, validation evidence, identified weaknesses and student decisions.</w:t>
      </w:r>
    </w:p>
    <w:p w14:paraId="4DA3E5DE" w14:textId="593567A8" w:rsidR="00523ED0" w:rsidRDefault="002156B2" w:rsidP="002156B2">
      <w:r>
        <w:t xml:space="preserve">AI assisted with code structure, debugging, validation, chart and app design, and preparation of an initial report draft. Numerical claims were checked against saved CSV outputs and automated tests. I reviewed and rewrote the assessed economic interpretation and critical reflection in my own words, and the submitted </w:t>
      </w:r>
      <w:r>
        <w:rPr>
          <w:rStyle w:val="HTMLCode"/>
          <w:rFonts w:eastAsiaTheme="minorEastAsia"/>
        </w:rPr>
        <w:t>ai/</w:t>
      </w:r>
      <w:r>
        <w:t xml:space="preserve"> directory records the main AI-assisted workflow, corrections and final student decisions.</w:t>
      </w:r>
    </w:p>
    <w:sectPr w:rsidR="00523ED0" w:rsidSect="00034616">
      <w:headerReference w:type="default" r:id="rId14"/>
      <w:footerReference w:type="defaul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5FDDEA" w14:textId="77777777" w:rsidR="004B2104" w:rsidRDefault="004B2104">
      <w:pPr>
        <w:spacing w:after="0" w:line="240" w:lineRule="auto"/>
      </w:pPr>
      <w:r>
        <w:separator/>
      </w:r>
    </w:p>
  </w:endnote>
  <w:endnote w:type="continuationSeparator" w:id="0">
    <w:p w14:paraId="736EB824" w14:textId="77777777" w:rsidR="004B2104" w:rsidRDefault="004B2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3394B7" w14:textId="39DA1166" w:rsidR="00523ED0" w:rsidRDefault="00000000">
    <w:pPr>
      <w:pStyle w:val="Footer"/>
      <w:jc w:val="center"/>
    </w:pPr>
    <w:r>
      <w:rPr>
        <w:color w:val="5E6978"/>
        <w:sz w:val="18"/>
      </w:rPr>
      <w:t xml:space="preserve">AtlasSignal  |  z5646061  |  </w:t>
    </w:r>
    <w:r>
      <w:rPr>
        <w:color w:val="5E6978"/>
        <w:sz w:val="18"/>
      </w:rPr>
      <w:fldChar w:fldCharType="begin"/>
    </w:r>
    <w:r>
      <w:rPr>
        <w:color w:val="5E6978"/>
        <w:sz w:val="18"/>
      </w:rPr>
      <w:instrText>PAGE</w:instrText>
    </w:r>
    <w:r>
      <w:rPr>
        <w:color w:val="5E6978"/>
        <w:sz w:val="18"/>
      </w:rPr>
      <w:fldChar w:fldCharType="separate"/>
    </w:r>
    <w:r w:rsidR="00E92E25">
      <w:rPr>
        <w:noProof/>
        <w:color w:val="5E6978"/>
        <w:sz w:val="18"/>
      </w:rPr>
      <w:t>2</w:t>
    </w:r>
    <w:r>
      <w:rPr>
        <w:color w:val="5E69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3DA03C" w14:textId="77777777" w:rsidR="004B2104" w:rsidRDefault="004B2104">
      <w:pPr>
        <w:spacing w:after="0" w:line="240" w:lineRule="auto"/>
      </w:pPr>
      <w:r>
        <w:separator/>
      </w:r>
    </w:p>
  </w:footnote>
  <w:footnote w:type="continuationSeparator" w:id="0">
    <w:p w14:paraId="48BD572C" w14:textId="77777777" w:rsidR="004B2104" w:rsidRDefault="004B2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41E6DA" w14:textId="711BA16F" w:rsidR="00523ED0" w:rsidRDefault="00000000">
    <w:pPr>
      <w:pStyle w:val="Header"/>
      <w:jc w:val="right"/>
    </w:pPr>
    <w:r>
      <w:rPr>
        <w:b/>
        <w:color w:val="D97706"/>
        <w:sz w:val="17"/>
      </w:rPr>
      <w:t>FINS5545 PART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08A5635"/>
    <w:multiLevelType w:val="singleLevel"/>
    <w:tmpl w:val="DF8A532C"/>
    <w:lvl w:ilvl="0">
      <w:start w:val="1"/>
      <w:numFmt w:val="decimal"/>
      <w:pStyle w:val="ListBullet"/>
      <w:lvlText w:val="%1."/>
      <w:lvlJc w:val="left"/>
      <w:pPr>
        <w:tabs>
          <w:tab w:val="num" w:pos="720"/>
        </w:tabs>
        <w:spacing w:after="160" w:line="280" w:lineRule="auto"/>
        <w:ind w:left="720" w:hanging="360"/>
      </w:pPr>
    </w:lvl>
  </w:abstractNum>
  <w:abstractNum w:abstractNumId="10" w15:restartNumberingAfterBreak="0">
    <w:nsid w:val="74A951A6"/>
    <w:multiLevelType w:val="singleLevel"/>
    <w:tmpl w:val="130C077C"/>
    <w:lvl w:ilvl="0">
      <w:start w:val="1"/>
      <w:numFmt w:val="bullet"/>
      <w:lvlText w:val="•"/>
      <w:lvlJc w:val="left"/>
      <w:pPr>
        <w:tabs>
          <w:tab w:val="num" w:pos="720"/>
        </w:tabs>
        <w:spacing w:after="160" w:line="280" w:lineRule="auto"/>
        <w:ind w:left="720" w:hanging="360"/>
      </w:pPr>
    </w:lvl>
  </w:abstractNum>
  <w:num w:numId="1" w16cid:durableId="42180417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1F"/>
    <w:rsid w:val="00034616"/>
    <w:rsid w:val="0006063C"/>
    <w:rsid w:val="0015074B"/>
    <w:rsid w:val="001D69BC"/>
    <w:rsid w:val="002156B2"/>
    <w:rsid w:val="00253F6A"/>
    <w:rsid w:val="0029639D"/>
    <w:rsid w:val="002E2401"/>
    <w:rsid w:val="00326F90"/>
    <w:rsid w:val="0035706F"/>
    <w:rsid w:val="00474AC8"/>
    <w:rsid w:val="0047546B"/>
    <w:rsid w:val="004B2104"/>
    <w:rsid w:val="00523ED0"/>
    <w:rsid w:val="0055235A"/>
    <w:rsid w:val="00575C20"/>
    <w:rsid w:val="00620186"/>
    <w:rsid w:val="006550A9"/>
    <w:rsid w:val="0071467B"/>
    <w:rsid w:val="0085490B"/>
    <w:rsid w:val="008E78AA"/>
    <w:rsid w:val="00946CBA"/>
    <w:rsid w:val="00981226"/>
    <w:rsid w:val="009C069D"/>
    <w:rsid w:val="00A119D0"/>
    <w:rsid w:val="00A73C54"/>
    <w:rsid w:val="00AA1D8D"/>
    <w:rsid w:val="00AC4010"/>
    <w:rsid w:val="00B428EA"/>
    <w:rsid w:val="00B47730"/>
    <w:rsid w:val="00B54D05"/>
    <w:rsid w:val="00B768C8"/>
    <w:rsid w:val="00CB0664"/>
    <w:rsid w:val="00CC0626"/>
    <w:rsid w:val="00D45FB3"/>
    <w:rsid w:val="00E10D0E"/>
    <w:rsid w:val="00E26FFF"/>
    <w:rsid w:val="00E92E25"/>
    <w:rsid w:val="00EB320A"/>
    <w:rsid w:val="00EC383E"/>
    <w:rsid w:val="00EC6803"/>
    <w:rsid w:val="00EE3049"/>
    <w:rsid w:val="00FC693F"/>
    <w:rsid w:val="00FE7F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8E95C"/>
  <w14:defaultImageDpi w14:val="300"/>
  <w15:docId w15:val="{DB33812F-0283-7A4E-9478-B6F448E44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80" w:line="240" w:lineRule="auto"/>
    </w:pPr>
    <w:rPr>
      <w:b/>
      <w:bCs/>
      <w:i/>
      <w:color w:val="5E69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2156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4861</Words>
  <Characters>27953</Characters>
  <Application>Microsoft Office Word</Application>
  <DocSecurity>0</DocSecurity>
  <Lines>548</Lines>
  <Paragraphs>306</Paragraphs>
  <ScaleCrop>false</ScaleCrop>
  <HeadingPairs>
    <vt:vector size="2" baseType="variant">
      <vt:variant>
        <vt:lpstr>Title</vt:lpstr>
      </vt:variant>
      <vt:variant>
        <vt:i4>1</vt:i4>
      </vt:variant>
    </vt:vector>
  </HeadingPairs>
  <TitlesOfParts>
    <vt:vector size="1" baseType="lpstr">
      <vt:lpstr>AtlasSignal: Funds, Sentiment and an Evidence-First Investment App</vt:lpstr>
    </vt:vector>
  </TitlesOfParts>
  <Manager/>
  <Company/>
  <LinksUpToDate>false</LinksUpToDate>
  <CharactersWithSpaces>32508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AtlasSignal: Systematic Funds and News-Confidence Analytics</dc:title>
  <dc:subject>FINS5545 Part B Final Report</dc:subject>
  <dc:creator>z5646061</dc:creator>
  <cp:keywords/>
  <dc:description/>
  <cp:lastModifiedBy>Yixuan Miao</cp:lastModifiedBy>
  <cp:revision>5</cp:revision>
  <dcterms:created xsi:type="dcterms:W3CDTF">2026-08-12T15:40:00Z</dcterms:created>
  <dcterms:modified xsi:type="dcterms:W3CDTF">2026-08-12T17:37:00Z</dcterms:modified>
  <cp:category/>
</cp:coreProperties>
</file>