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/>
          <w:b/>
          <w:color w:val="000000"/>
          <w:sz w:val="24"/>
        </w:rPr>
        <w:t>CMERC 官方权重：实验二分类纠错与概率校准对比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本报告对照 M³Net 与 CMERC 作者分别公开、预先固定的 IEMOCAP 权重。全部统计复用已保存的 1623 条完整文本、音频、视觉输入预测；不训练、不重新推理、不更换 checkpoint、不根据测试结果选模。</w:t>
      </w:r>
    </w:p>
    <w:p>
      <w:r>
        <w:rPr>
          <w:rFonts w:ascii="宋体" w:hAnsi="宋体" w:eastAsia="宋体" w:cs="宋体"/>
          <w:b/>
          <w:color w:val="000000"/>
          <w:sz w:val="24"/>
        </w:rPr>
        <w:t>一、来源、评估协议与解释边界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M³Net 固定权重为 Roberta_IEMOCAP3.pth.tar；CMERC 固定权重为 IEMOCAP_checkpoint.pkl。两者模型结构、特征文件、六分类映射、测试话语、batch size=16、Padding/Mask、默认 cuDNN RNN 后端与已记录 PyG 兼容补丁已核验。本轮按 (dataset, dialogue_id, utterance_index) 重新核验 source utterance ID、原文和真实标签。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这是一组公开固定权重的描述性行为对照；训练 seed、Epoch、checkpoint 选择方式与两次训练的配对关系尚未确认。因此不构成严格模块消融，不能将差异归因于 CL、HSCL、CC 或声称这些模块产生了因果收益。输入权重和预测文件 SHA-256 见 run_manifest.json。</w:t>
      </w:r>
    </w:p>
    <w:p>
      <w:r>
        <w:rPr>
          <w:rFonts w:ascii="宋体" w:hAnsi="宋体" w:eastAsia="宋体" w:cs="宋体"/>
          <w:b/>
          <w:color w:val="000000"/>
          <w:sz w:val="24"/>
        </w:rPr>
        <w:t>二、逐样本分类变化</w:t>
      </w:r>
    </w:p>
    <w:p>
      <w:r>
        <w:rPr>
          <w:rFonts w:ascii="宋体" w:hAnsi="宋体" w:eastAsia="宋体" w:cs="宋体"/>
          <w:b/>
          <w:color w:val="000000"/>
          <w:sz w:val="24"/>
        </w:rPr>
        <w:t>表 1　全测试集分类转移（比例分母为 1623）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4933"/>
        <w:gridCol w:w="4933"/>
        <w:gridCol w:w="4933"/>
      </w:tblGrid>
      <w:tr>
        <w:trPr>
          <w:tblHeader/>
        </w:trPr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分类转移</w:t>
            </w:r>
          </w:p>
        </w:tc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话语数</w:t>
            </w:r>
          </w:p>
        </w:tc>
        <w:tc>
          <w:tcPr>
            <w:tcW w:type="dxa" w:w="4933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占全部话语 (%)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both_correct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1083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66.7283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baseline_wrong_cmerc_correct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84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5.1756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baseline_correct_cmerc_wrong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93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5.7301</w:t>
            </w:r>
          </w:p>
        </w:tc>
      </w:tr>
      <w:tr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both_wrong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363</w:t>
            </w:r>
          </w:p>
        </w:tc>
        <w:tc>
          <w:tcPr>
            <w:tcW w:type="dxa" w:w="4933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22.3660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固定 M³Net 的错误数为 447，固定 CMERC 的错误数为 456。W-F1 分别为 72.6601% 与 71.9838%，CMERC−M³Net 为 -0.6763 个百分点。分类纠正和新增错误必须同时报告；置信度降低本身不表示类别已纠正。</w:t>
      </w:r>
    </w:p>
    <w:p>
      <w:r>
        <w:rPr>
          <w:rFonts w:ascii="宋体" w:hAnsi="宋体" w:eastAsia="宋体" w:cs="宋体"/>
          <w:b/>
          <w:color w:val="000000"/>
          <w:sz w:val="24"/>
        </w:rPr>
        <w:t>三、高置信度错误与逐阈值转移</w:t>
      </w:r>
    </w:p>
    <w:p>
      <w:r>
        <w:rPr>
          <w:rFonts w:ascii="宋体" w:hAnsi="宋体" w:eastAsia="宋体" w:cs="宋体"/>
          <w:b/>
          <w:color w:val="000000"/>
          <w:sz w:val="24"/>
        </w:rPr>
        <w:t>表 2　高置信度预测的支持数与错误率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/>
        </w:trPr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高置信预测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高置信错误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错误率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高置信预测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高置信错误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错误率 (%)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1060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20.9434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1055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18.9573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137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17.3418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16.0804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605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14.5455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619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12.2779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 3　原 M³Net 高置信度错误的去向与 CMERC 新增错误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/>
        </w:trPr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原高置信错误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分类纠正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仍错且置信度下降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仍错且置信度未降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仍错且达到原阈值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新增高置信错误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134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138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137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41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表注：阈值均为 ≥0.80、≥0.90、≥0.95；高置信度预测错误率的分母为相应模型所有达到阈值的预测数，分母为零时为 N/A。表 3 前三种去向互斥且合计等于原高置信错误数；“仍错且达到原阈值”是另外的重叠子集，不应与前三项相加。新增高置信错误指 CMERC 为高置信错误而 M³Net 原本并非相同阈值高置信错误，可包括 M³Net 原本正确或原本低置信错误的样本。</w:t>
      </w:r>
    </w:p>
    <w:p>
      <w:r>
        <w:rPr>
          <w:rFonts w:ascii="宋体" w:hAnsi="宋体" w:eastAsia="宋体" w:cs="宋体"/>
          <w:b/>
          <w:color w:val="000000"/>
          <w:sz w:val="24"/>
        </w:rPr>
        <w:t>表 3a　原高置信度错误去向的比例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tblHeader/>
        </w:trPr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分类纠正 (%)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仍错且置信度下降 (%)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仍错且置信度未降 (%)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仍错且达到原阈值 (%)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7.2072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60.3604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32.4324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62.1622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4.3796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62.0438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33.5766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63.5036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2.2727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68.1818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29.5455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55.6818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 3b　CMERC 新增高置信错误的分母与来源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原非高置信错误数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新增高置信错误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新增占可进入样本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来自原正确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来自原低置信错误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1401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4.4254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46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1486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2.7591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36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1535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1.7590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表注：表 3a 的分母均为同阈值下 M³Net 的高置信度错误数；表 3b 的新增比例分母为1623−M³Net 高置信度错误数。新增来源两项互斥，合计为全部新增高置信错误数。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最大预测置信度变化与真实类别概率变化分别保存在 paired_predictions.csv。两个模型的错误预测类别可能不同，因此最大概率下降并不意味着同一错误类别概率下降；更不能单凭该变化认定存在模态冲突。</w:t>
      </w:r>
    </w:p>
    <w:p>
      <w:r>
        <w:rPr>
          <w:rFonts w:ascii="宋体" w:hAnsi="宋体" w:eastAsia="宋体" w:cs="宋体"/>
          <w:b/>
          <w:color w:val="000000"/>
          <w:sz w:val="24"/>
        </w:rPr>
        <w:t>四、类别级纠错与退化</w:t>
      </w:r>
    </w:p>
    <w:p>
      <w:r>
        <w:rPr>
          <w:rFonts w:ascii="宋体" w:hAnsi="宋体" w:eastAsia="宋体" w:cs="宋体"/>
          <w:b/>
          <w:color w:val="000000"/>
          <w:sz w:val="24"/>
        </w:rPr>
        <w:t>表 4　按真实情绪统计分类转移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真实情绪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支持数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错误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错误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错→对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对→错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两者都错</w:t>
            </w:r>
          </w:p>
        </w:tc>
        <w:tc>
          <w:tcPr>
            <w:tcW w:type="dxa" w:w="185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净错误变化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happy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144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49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52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245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46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-4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neutral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384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94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101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19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82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angry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170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66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56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51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-10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excited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299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74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22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24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frustrated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381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127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101</w:t>
            </w:r>
          </w:p>
        </w:tc>
        <w:tc>
          <w:tcPr>
            <w:tcW w:type="dxa" w:w="185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表注：净错误变化=CMERC 错误数−M³Net 错误数，正值表示错误增加。类别表使用真实情绪分组，支持数合计 1623；不按预测情绪分组替代。</w:t>
      </w:r>
    </w:p>
    <w:p>
      <w:r>
        <w:rPr>
          <w:rFonts w:ascii="宋体" w:hAnsi="宋体" w:eastAsia="宋体" w:cs="宋体"/>
          <w:b/>
          <w:color w:val="000000"/>
          <w:sz w:val="24"/>
        </w:rPr>
        <w:t>五、全测试集概率校准对比</w:t>
      </w:r>
    </w:p>
    <w:p>
      <w:r>
        <w:rPr>
          <w:rFonts w:ascii="宋体" w:hAnsi="宋体" w:eastAsia="宋体" w:cs="宋体"/>
          <w:b/>
          <w:color w:val="000000"/>
          <w:sz w:val="24"/>
        </w:rPr>
        <w:t>表 5　分类性能与错误置信度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rPr>
          <w:tblHeader/>
        </w:trPr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模型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话语数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错误数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Accuracy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W-F1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平均置信度 (%)</w:t>
            </w:r>
          </w:p>
        </w:tc>
        <w:tc>
          <w:tcPr>
            <w:tcW w:type="dxa" w:w="2114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错误平均置信度 (%)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Official M³Net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1623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447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72.4584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72.6601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83.2952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76.6322</w:t>
            </w:r>
          </w:p>
        </w:tc>
      </w:tr>
      <w:tr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Official CMERC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1623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456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71.9039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71.9838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83.1707</w:t>
            </w:r>
          </w:p>
        </w:tc>
        <w:tc>
          <w:tcPr>
            <w:tcW w:type="dxa" w:w="2114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74.7381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 6　校准与概率评分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tblHeader/>
        </w:trPr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模型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ECE (%)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MCE (%)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Brier Score</w:t>
            </w:r>
          </w:p>
        </w:tc>
        <w:tc>
          <w:tcPr>
            <w:tcW w:type="dxa" w:w="2960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NLL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Official M³Net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11.5123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16.9779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0.432485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0.883990</w:t>
            </w:r>
          </w:p>
        </w:tc>
      </w:tr>
      <w:tr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Official CMERC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11.2668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16.6292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0.429447</w:t>
            </w:r>
          </w:p>
        </w:tc>
        <w:tc>
          <w:tcPr>
            <w:tcW w:type="dxa" w:w="2960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0.869046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表注：所有指标使用全部 1623 条有效话语。ECE/MCE 采用十个等宽箱 [0,0.1)、…、[0.9,1]，空箱不计入 MCE 最大值；ECE=Σ(n箱/N)|平均置信度−箱内准确率|。Brier 为所有类别平方误差之和的样本均值，不除以类别数或 2；NLL 为真实类别概率的负自然对数均值，不裁剪概率。分箱差值为平均置信度−准确率。</w:t>
      </w:r>
    </w:p>
    <w:p>
      <w:r>
        <w:rPr>
          <w:rFonts w:ascii="宋体" w:hAnsi="宋体" w:eastAsia="宋体" w:cs="宋体"/>
          <w:b/>
          <w:color w:val="000000"/>
          <w:sz w:val="24"/>
        </w:rPr>
        <w:t>表　Official M³Net 十等宽校准分箱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下界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上界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话语数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平均置信度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实际准确率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有符号差值 (pp)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37.8231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46.6667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-8.8435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45.5898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52.9412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-7.3514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168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55.1153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55.3571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-0.2418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65.4273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62.2378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+3.1895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186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74.9952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65.5914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+9.4038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85.4964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68.5185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+16.9779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97.0216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82.6582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+14.3633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表　Official CMERC 十等宽校准分箱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下界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上界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话语数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平均置信度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实际准确率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有符号差值 (pp)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N/A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36.1921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35.7143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+0.4778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45.3584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42.2535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+3.1048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54.9795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54.0000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+0.9795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65.1238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59.2357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+5.8881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176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75.1519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58.5227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+16.6292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259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85.4683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72.2008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+13.2675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796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97.2670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83.9196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+13.3474</w:t>
            </w:r>
          </w:p>
        </w:tc>
      </w:tr>
    </w:tbl>
    <w:p>
      <w:r>
        <w:rPr>
          <w:rFonts w:ascii="宋体" w:hAnsi="宋体" w:eastAsia="宋体" w:cs="宋体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120640" cy="5616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IEMOCAP_public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1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b w:val="0"/>
          <w:color w:val="000000"/>
          <w:sz w:val="24"/>
        </w:rPr>
        <w:t>图 1　IEMOCAP 两份固定公开权重的可靠性对照。虚线为理想校准；各模型只绘制非空箱的真实均值点，连线仅引导阅读，不表示拟合；下方为全部十箱的样本支持数。空箱没有虚假观测点，稀疏箱不代表稳定的跨运行规律。</w:t>
      </w:r>
    </w:p>
    <w:p>
      <w:r>
        <w:rPr>
          <w:rFonts w:ascii="宋体" w:hAnsi="宋体" w:eastAsia="宋体" w:cs="宋体"/>
          <w:b/>
          <w:color w:val="000000"/>
          <w:sz w:val="24"/>
        </w:rPr>
        <w:t>六、典型案例：纠正、降置信度与新增错误均展示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案例选择规则：typical_cases.csv 完整保留四种案例类型在三个阈值下的所有匹配样本；同一句可因类型或阈值重叠出现。正文统一展示阈值 0.90 下每类按预先定义的 selection_score 降序、对话 ID 与话语索引稳定排序的前两条。概率表同时列两模型全部六类概率，不只选择支持改善的样本。完整逐话语证据见 paired_predictions.csv。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selection_score 的固定定义：纠正与仍错降置信度案例使用 M³Net 最大置信度；原正确而 CMERC 新增高置信错误使用 CMERC 最大置信度；两者均高置信错误使用两模型最大置信度的较小者。该排序只决定报告摘录，不用于选择 checkpoint 或修改统计。</w:t>
      </w:r>
    </w:p>
    <w:p>
      <w:r>
        <w:rPr>
          <w:rFonts w:ascii="宋体" w:hAnsi="宋体" w:eastAsia="宋体" w:cs="宋体"/>
          <w:b/>
          <w:color w:val="000000"/>
          <w:sz w:val="24"/>
        </w:rPr>
        <w:t>案例类型：baseline_correct_new_cmerc_hc_error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Ses05F_impro03，话语索引 78，源 ID Ses05F_impro03_M066，真实情绪 happy。原文：That's what girls like, right?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happy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50.5062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50.5062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excited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97.5837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1.7647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0.505062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0.007124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0.000013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0.487702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0.000100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0.017647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0.006362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0.000064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0.975837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0.000084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对话 Ses05M_script02_2，话语索引 31，源 ID Ses05M_script02_2_M022，真实情绪 frustrated。原文：A vacation?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frustrated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53.8706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53.8706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angry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94.4146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5.5817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0.000022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0.460325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0.000944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0.538706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0.944146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0.000036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0.055817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案例类型：both_high_confidence_wrong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Ses05F_impro06，话语索引 42，源 ID Ses05F_impro06_M021，真实情绪 neutral。原文：yeah.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99.9922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0.0077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99.9982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0.0018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0.999922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0.000077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0.000001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0.999982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0.000018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对话 Ses05F_impro06，话语索引 50，源 ID Ses05F_impro06_M025，真实情绪 neutral。原文：Do you know what, if it was me that died, I'd really want you to be crying and being really upset too any way. So, I think you should definitely do this, because it's trying what it's supposed to be.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99.9821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0.0172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99.9941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0.0058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0.999821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0.000172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0.000005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0.999941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0.000058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0.000001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案例类型：corrected_baseline_hc_error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Ses05F_script01_3，话语索引 4，源 ID Ses05F_script01_3_F003，真实情绪 happy。原文：No.  But I'm not going to stay.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99.0812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0.7957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happy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70.5606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70.5606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0.007957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0.990812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0.000900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0.000258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0.000072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0.705606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0.263526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0.024080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0.000019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0.003893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0.002876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对话 Ses05F_script01_1，话语索引 43，源 ID Ses05F_script01_1_M031，真实情绪 frustrated。原文：All right, then, Mom.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neutral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95.5531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4.3485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frustrated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77.6309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77.6309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0.000832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0.955531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0.000150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0.043485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0.001497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0.216685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0.005509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0.776309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案例类型：still_wrong_confidence_lower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对话 Ses05M_script01_3，话语索引 25，源 ID Ses05M_script01_3_F022，真实情绪 neutral。原文：Yeah, sure.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99.9763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0.0151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sad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99.9557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0.0376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0.000084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0.999763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0.000151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0.000002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0.000061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0.999557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0.000376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0.000005</w:t>
            </w:r>
          </w:p>
        </w:tc>
      </w:tr>
    </w:tbl>
    <w:p>
      <w:r>
        <w:rPr>
          <w:rFonts w:ascii="宋体" w:hAnsi="宋体" w:eastAsia="宋体" w:cs="宋体"/>
          <w:b w:val="0"/>
          <w:color w:val="000000"/>
          <w:sz w:val="24"/>
        </w:rPr>
        <w:t>对话 Ses05F_impro01，话语索引 32，源 ID Ses05F_impro01_F017，真实情绪 angry。原文：Isn't there anything you can do?  Just call over and ask them if I can go to the front of the line in the other line.</w:t>
      </w:r>
    </w:p>
    <w:p>
      <w:r>
        <w:rPr>
          <w:rFonts w:ascii="宋体" w:hAnsi="宋体" w:eastAsia="宋体" w:cs="宋体"/>
          <w:b/>
          <w:color w:val="000000"/>
          <w:sz w:val="24"/>
        </w:rPr>
        <w:t>案例预测、最大置信度与真实类别概率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M³Net 真实类概率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预测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最大概率 (%)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CMERC 真实类概率 (%)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frustrated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99.9116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0.0822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frustrated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95.0684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4.8025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M³Net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0.000062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0.000822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0.999116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CMERC 六类概率（0–1）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color="000000" w:sz="8"/>
          <w:left w:val="nil" w:color="000000" w:sz="8"/>
          <w:bottom w:val="single" w:color="000000" w:sz="8"/>
          <w:right w:val="nil" w:color="000000" w:sz="8"/>
          <w:insideH w:val="nil" w:color="000000" w:sz="8"/>
          <w:insideV w:val="nil" w:color="000000" w:sz="8"/>
        </w:tblBorders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happy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sad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neutral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angry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excited</w:t>
            </w:r>
          </w:p>
        </w:tc>
        <w:tc>
          <w:tcPr>
            <w:tcW w:type="dxa" w:w="2466"/>
            <w:tcBorders>
              <w:bottom w:val="single" w:color="000000" w:sz="4"/>
            </w:tcBorders>
          </w:tcPr>
          <w:p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frustrated</w:t>
            </w:r>
          </w:p>
        </w:tc>
      </w:tr>
      <w:tr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0.000016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0.000100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0.001112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0.048025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0.000062</w:t>
            </w:r>
          </w:p>
        </w:tc>
        <w:tc>
          <w:tcPr>
            <w:tcW w:type="dxa" w:w="2466"/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0.950684</w:t>
            </w:r>
          </w:p>
        </w:tc>
      </w:tr>
    </w:tbl>
    <w:p>
      <w:r>
        <w:rPr>
          <w:rFonts w:ascii="宋体" w:hAnsi="宋体" w:eastAsia="宋体" w:cs="宋体"/>
          <w:b/>
          <w:color w:val="000000"/>
          <w:sz w:val="24"/>
        </w:rPr>
        <w:t>七、结论与局限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这两份固定权重在分类与概率评分上表现不同：CMERC 的分类错误更多、W-F1 较低；其 ECE、MCE、Brier 与 NLL 的具体差值见表 6。较低的校准或概率评分不能替代分类纠错证据，也不意味着所有样本的置信度均得到改善。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CMERC−M³Net 的指标差值：ECE -0.2455 个百分点；MCE -0.3487 个百分点；Brier -0.0030；NLL -0.0149。这些数值的小幅改善与较低的分类 F1 同时存在，不能据此声称整体纠错能力提升。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全部结果是单个固定测试集上的描述性统计，未估计训练随机性、显著性或因果效果；训练历史和严格配对关系仍未知。后续若研究模块净收益，应使用预先固定的共同训练与验证选模协议进行配对实验；本任务不执行此类训练。</w:t>
      </w:r>
    </w:p>
    <w:sectPr w:rsidR="00FC693F" w:rsidRPr="0006063C" w:rsidSect="00034616">
      <w:pgSz w:w="16838" w:h="11906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