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B5235" w14:textId="15513399" w:rsidR="007C59E3" w:rsidRDefault="00D2360D">
      <w:r w:rsidRPr="00D2360D">
        <w:t xml:space="preserve">The study explores the nonlinear effects of </w:t>
      </w:r>
      <w:r w:rsidR="00B17F9B">
        <w:t>public transport</w:t>
      </w:r>
      <w:r w:rsidRPr="00D2360D">
        <w:t xml:space="preserve"> accessibility on the urban development of Chongqing, a mountainous city in China. Based on Chongqing's metro service areas (MSAs) and big open data, point-of-interest (POI) data obtained from the Map Application Programming Interface (API) has been used to represent the level of urban development.</w:t>
      </w:r>
      <w:r>
        <w:rPr>
          <w:rFonts w:hint="eastAsia"/>
        </w:rPr>
        <w:t xml:space="preserve"> </w:t>
      </w:r>
      <w:r w:rsidRPr="00D2360D">
        <w:t xml:space="preserve">Comprehensive city, road, and metro maps, including data from open street maps, were utilized to procure information on road and metro accessibility. Employing Gradient Boosting Decision Trees (GBDT), a supervised machine-learning technique, the study effectively evaluates the accessibility of public transport in Chongqing by </w:t>
      </w:r>
      <w:r>
        <w:rPr>
          <w:rFonts w:hint="eastAsia"/>
        </w:rPr>
        <w:t>examining</w:t>
      </w:r>
      <w:r w:rsidRPr="00D2360D">
        <w:t xml:space="preserve"> the nonlinear interplay between public transportation accessibility and urban development.</w:t>
      </w:r>
    </w:p>
    <w:p w14:paraId="49F48146" w14:textId="77777777" w:rsidR="00B17F9B" w:rsidRDefault="00B17F9B" w:rsidP="00B17F9B">
      <w:pPr>
        <w:pStyle w:val="a4"/>
      </w:pPr>
      <w:r>
        <w:rPr>
          <w:rFonts w:hint="eastAsia"/>
        </w:rPr>
        <w:t>1 Intro</w:t>
      </w:r>
    </w:p>
    <w:p w14:paraId="15FEC52D" w14:textId="70633B51" w:rsidR="00D2360D" w:rsidRDefault="008A7F7E">
      <w:pPr>
        <w:rPr>
          <w:rFonts w:hint="eastAsia"/>
        </w:rPr>
      </w:pPr>
      <w:r>
        <w:rPr>
          <w:rFonts w:hint="eastAsia"/>
        </w:rPr>
        <w:t>1.1 E</w:t>
      </w:r>
      <w:r>
        <w:t>ffects of public transport systems on urban development patterns</w:t>
      </w:r>
    </w:p>
    <w:p w14:paraId="45E0E0E1" w14:textId="4534EF40" w:rsidR="008A7F7E" w:rsidRDefault="008A7F7E" w:rsidP="008A7F7E">
      <w:r>
        <w:rPr>
          <w:rFonts w:hint="eastAsia"/>
        </w:rPr>
        <w:t>P</w:t>
      </w:r>
      <w:r>
        <w:t>ublic transport investments can shape urban form and land use in several ways. Some studies highlight how high-capacity transit enables more compact, high-density urban development by reducing reliance on automobiles</w:t>
      </w:r>
      <w:r w:rsidR="00A877A2">
        <w:rPr>
          <w:rFonts w:hint="eastAsia"/>
        </w:rPr>
        <w:t xml:space="preserve"> </w:t>
      </w:r>
      <w:r w:rsidR="00A877A2">
        <w:fldChar w:fldCharType="begin"/>
      </w:r>
      <w:r w:rsidR="00A877A2">
        <w:instrText xml:space="preserve"> ADDIN ZOTERO_ITEM CSL_CITATION {"citationID":"47V90nQA","properties":{"formattedCitation":"(Hurst, 2011; Knowles, 2012)","plainCitation":"(Hurst, 2011; Knowles, 2012)","noteIndex":0},"citationItems":[{"id":624,"uris":["http://zotero.org/users/11424820/items/GP3P72NS"],"itemData":{"id":624,"type":"article-journal","container-title":"Economics Honors Projects","title":"How Does Light Rail Transit Affect Urban Land Use?","URL":"https://digitalcommons.macalester.edu/economics_honors_projects/35","author":[{"family":"Hurst","given":"Needham"}],"issued":{"date-parts":[["2011",4,1]]},"citation-key":"hurstHowDoesLight2011"}},{"id":623,"uris":["http://zotero.org/users/11424820/items/KAH6M34H"],"itemData":{"id":623,"type":"article-journal","abstract":"Ørestad is Copenhagen’s linear new town being built over a 30year period around stations on an elevated, driverless mini-metro line. Copenhagen Metro’s construction was to be financed by the sale to developers of publicly-owned land along the route. The Øresund Bridge from Malmö in Sweden also facilitates substantial international commuting by rail and road to Ørestad. This paper briefly assesses Copenhagen’s 60year record of transit-oriented development since its internationally renowned 1947 Finger Plan. It focuses principally on analysing Ørestad’s progress since the late 1990s in creating transit-oriented development of jobs, housing and retail, education and leisure facilities. The paper finally examines how Ørestad is contributing to Copenhagen’s economic growth and relieving pressure on Copenhagen’s Central Business District.","collection-title":"Special Section on Rail Transit Systems and High Speed Rail","container-title":"Journal of Transport Geography","DOI":"10.1016/j.jtrangeo.2012.01.009","ISSN":"0966-6923","journalAbbreviation":"Journal of Transport Geography","page":"251-261","source":"6.1","title":"Transit Oriented Development in Copenhagen, Denmark: from the Finger Plan to Ørestad","title-short":"Transit Oriented Development in Copenhagen, Denmark","volume":"22","author":[{"family":"Knowles","given":"Richard D."}],"issued":{"date-parts":[["2012",5,1]]},"citation-key":"knowlesTransitOrientedDevelopment2012"}}],"schema":"https://github.com/citation-style-language/schema/raw/master/csl-citation.json"} </w:instrText>
      </w:r>
      <w:r w:rsidR="00A877A2">
        <w:fldChar w:fldCharType="separate"/>
      </w:r>
      <w:r w:rsidR="00A877A2" w:rsidRPr="00A877A2">
        <w:t>(Hurst, 2011; Knowles, 2012)</w:t>
      </w:r>
      <w:r w:rsidR="00A877A2">
        <w:fldChar w:fldCharType="end"/>
      </w:r>
      <w:r>
        <w:t>. Others examine public transport's role in achieving sustainable urbanization goals like reducing energy use, air pollution, and traffic congestion</w:t>
      </w:r>
      <w:r w:rsidR="00A877A2">
        <w:rPr>
          <w:rFonts w:hint="eastAsia"/>
        </w:rPr>
        <w:t xml:space="preserve"> </w:t>
      </w:r>
      <w:r w:rsidR="00A877A2">
        <w:fldChar w:fldCharType="begin"/>
      </w:r>
      <w:r w:rsidR="00A877A2">
        <w:instrText xml:space="preserve"> ADDIN ZOTERO_ITEM CSL_CITATION {"citationID":"GgyVRhPK","properties":{"formattedCitation":"(Sharma and Patil, 2022)","plainCitation":"(Sharma and Patil, 2022)","noteIndex":0},"citationItems":[{"id":627,"uris":["http://zotero.org/users/11424820/items/CTNW7SLF"],"itemData":{"id":627,"type":"article-journal","abstract":"Education is one of the crucial aspects of an individual's life, contributing to economic and social well-being. Lack of adequate access to educational services to children can affect their overall well-being. Further, an inadequate supply of educational opportunities can reinforce social inequalities. This research develops a conceptual framework to measure accessibility for educational services using an extensive dataset of mode-wise travel time matrix of 577 Traffic Analysis Zones (TAZ) and 4308 schools in Greater Mumbai. We evaluated spatial and social equity from urban and transportation planning perspectives for access to educational services. The Gini index is used to assess the distribution of educational accessibility and quantify the spatial inequity. Social inequity is quantified based on the mode-wise accessibility ratio for educational services. The average accessibility ratio shows that the gap in access by public transport and private mode reduces as the threshold increases. A decision framework is developed based on accessibility measures, and policy measures are suggested to address the existing inequities. This study can help planners and policymakers effectively prioritise the suggested measures to maximise the benefits and address spatial and social inequities for access to educational services.","container-title":"Cities","DOI":"10.1016/j.cities.2021.103543","ISSN":"0264-2751","journalAbbreviation":"Cities","page":"103543","source":"6.7","title":"Spatial and social inequities for educational services accessibility - A case study for schools in Greater Mumbai","volume":"122","author":[{"family":"Sharma","given":"Gajanand"},{"family":"Patil","given":"Gopal R."}],"issued":{"date-parts":[["2022",3,1]]},"citation-key":"sharmaSpatialSocialInequities2022"}}],"schema":"https://github.com/citation-style-language/schema/raw/master/csl-citation.json"} </w:instrText>
      </w:r>
      <w:r w:rsidR="00A877A2">
        <w:fldChar w:fldCharType="separate"/>
      </w:r>
      <w:r w:rsidR="00A877A2" w:rsidRPr="00A877A2">
        <w:t>(Sharma and Patil, 2022)</w:t>
      </w:r>
      <w:r w:rsidR="00A877A2">
        <w:fldChar w:fldCharType="end"/>
      </w:r>
      <w:r>
        <w:t>. Additionally, research has identified symbiotic relationships where transportation infrastructure influences surrounding land uses, which in turn generate new travel demand patterns influencing future transport investments</w:t>
      </w:r>
      <w:r w:rsidR="00A877A2">
        <w:rPr>
          <w:rFonts w:hint="eastAsia"/>
        </w:rPr>
        <w:t xml:space="preserve"> </w:t>
      </w:r>
      <w:r w:rsidR="00A877A2">
        <w:fldChar w:fldCharType="begin"/>
      </w:r>
      <w:r w:rsidR="00A877A2">
        <w:instrText xml:space="preserve"> ADDIN ZOTERO_ITEM CSL_CITATION {"citationID":"ngkBWoCm","properties":{"formattedCitation":"(Rode {\\i{}et al.}, 2017)","plainCitation":"(Rode et al., 2017)","noteIndex":0},"citationItems":[{"id":628,"uris":["http://zotero.org/users/11424820/items/NECD8859"],"itemData":{"id":628,"type":"chapter","abstract":"This chapter reviews the different pathways which cities are following to become more accessible. By identifying the close link between transport and urban form based on global evidence, it highlights the direct and indirect costs of choices made. It then presents the tipping points which can allow to proceed from sprawling urban development and conventional motorised transport to more compact cities characterised by innovative mobility choices shaped around shared and public transport. The examples used are based on cities worldwide to illustrate emerging trends from both developed and developing countries. Therefore, the recommendations are valuable for a range of stakeholders including local and national policy makers, academics and vehicle manufacturers.","container-title":"Disrupting Mobility: Impacts of Sharing Economy and Innovative Transportation on Cities","event-place":"Cham","ISBN":"978-3-319-51602-8","language":"en","note":"DOI: 10.1007/978-3-319-51602-8_15","page":"239-273","publisher":"Springer International Publishing","publisher-place":"Cham","source":"Springer Link","title":"Accessibility in Cities: Transport and Urban Form","title-short":"Accessibility in Cities","URL":"https://doi.org/10.1007/978-3-319-51602-8_15","author":[{"family":"Rode","given":"Philipp"},{"family":"Floater","given":"Graham"},{"family":"Thomopoulos","given":"Nikolas"},{"family":"Docherty","given":"James"},{"family":"Schwinger","given":"Peter"},{"family":"Mahendra","given":"Anjali"},{"family":"Fang","given":"Wanli"}],"editor":[{"family":"Meyer","given":"Gereon"},{"family":"Shaheen","given":"Susan"}],"accessed":{"date-parts":[["2024",4,19]]},"issued":{"date-parts":[["2017"]]},"citation-key":"rodeAccessibilityCitiesTransport2017"}}],"schema":"https://github.com/citation-style-language/schema/raw/master/csl-citation.json"} </w:instrText>
      </w:r>
      <w:r w:rsidR="00A877A2">
        <w:fldChar w:fldCharType="separate"/>
      </w:r>
      <w:r w:rsidR="00A877A2" w:rsidRPr="00A877A2">
        <w:rPr>
          <w:kern w:val="0"/>
        </w:rPr>
        <w:t xml:space="preserve">(Rode </w:t>
      </w:r>
      <w:r w:rsidR="00A877A2" w:rsidRPr="00A877A2">
        <w:rPr>
          <w:i/>
          <w:iCs/>
          <w:kern w:val="0"/>
        </w:rPr>
        <w:t>et al.</w:t>
      </w:r>
      <w:r w:rsidR="00A877A2" w:rsidRPr="00A877A2">
        <w:rPr>
          <w:kern w:val="0"/>
        </w:rPr>
        <w:t>, 2017)</w:t>
      </w:r>
      <w:r w:rsidR="00A877A2">
        <w:fldChar w:fldCharType="end"/>
      </w:r>
      <w:r>
        <w:t>.</w:t>
      </w:r>
    </w:p>
    <w:p w14:paraId="65E08133" w14:textId="5F1FFB51" w:rsidR="00B17F9B" w:rsidRPr="008A7F7E" w:rsidRDefault="00B17F9B" w:rsidP="00B17F9B"/>
    <w:p w14:paraId="44913F18" w14:textId="54592AD2" w:rsidR="00B17F9B" w:rsidRDefault="00175D64" w:rsidP="00B17F9B">
      <w:r>
        <w:rPr>
          <w:rFonts w:hint="eastAsia"/>
        </w:rPr>
        <w:t>T</w:t>
      </w:r>
      <w:r w:rsidR="008A7F7E">
        <w:t>he transit-oriented development (TOD) concept has emerged as an intensive, mixed-use urban model centering growth around transit nodes and promoting public transport use</w:t>
      </w:r>
      <w:r w:rsidR="00864DC3">
        <w:rPr>
          <w:rFonts w:hint="eastAsia"/>
        </w:rPr>
        <w:t xml:space="preserve"> </w:t>
      </w:r>
      <w:r w:rsidR="00864DC3">
        <w:fldChar w:fldCharType="begin"/>
      </w:r>
      <w:r w:rsidR="00864DC3">
        <w:instrText xml:space="preserve"> ADDIN ZOTERO_ITEM CSL_CITATION {"citationID":"EfZPKHnC","properties":{"formattedCitation":"(Calthorpe, 1993)","plainCitation":"(Calthorpe, 1993)","noteIndex":0},"citationItems":[{"id":631,"uris":["http://zotero.org/users/11424820/items/ARE37BLI"],"itemData":{"id":631,"type":"article-journal","container-title":"New York: Princeton Architectural Press","title":"The next American metropolis","URL":"https://scholar.google.com/scholar_lookup?title=The%20next%20American%20metropolis%3A%20Ecology%2C%20community%2C%20and%20the%20American%20dream&amp;publication_year=1993&amp;author=P.%20Calthorpe#/","volume":"Vol. 23","author":[{"family":"Calthorpe","given":"Peter"}],"accessed":{"date-parts":[["2024",4,19]]},"issued":{"date-parts":[["1993"]]},"citation-key":"calthorpeNextAmericanMetropolis1993"}}],"schema":"https://github.com/citation-style-language/schema/raw/master/csl-citation.json"} </w:instrText>
      </w:r>
      <w:r w:rsidR="00864DC3">
        <w:fldChar w:fldCharType="separate"/>
      </w:r>
      <w:r w:rsidR="00864DC3" w:rsidRPr="00864DC3">
        <w:t>(Calthorpe, 1993)</w:t>
      </w:r>
      <w:r w:rsidR="00864DC3">
        <w:fldChar w:fldCharType="end"/>
      </w:r>
      <w:r w:rsidR="008A7F7E">
        <w:t>. While early TOD research focused on impacts to travel behavior, more recent work has analyzed effects on urban development intensity, land values, job accessibility and economic development</w:t>
      </w:r>
      <w:r w:rsidR="00864DC3">
        <w:rPr>
          <w:rFonts w:hint="eastAsia"/>
        </w:rPr>
        <w:t xml:space="preserve"> </w:t>
      </w:r>
      <w:r w:rsidR="00864DC3">
        <w:fldChar w:fldCharType="begin"/>
      </w:r>
      <w:r w:rsidR="00864DC3">
        <w:instrText xml:space="preserve"> ADDIN ZOTERO_ITEM CSL_CITATION {"citationID":"zn6W84cF","properties":{"formattedCitation":"(Kamruzzaman {\\i{}et al.}, 2014; Dong, 2016)","plainCitation":"(Kamruzzaman et al., 2014; Dong, 2016)","noteIndex":0},"citationItems":[{"id":635,"uris":["http://zotero.org/users/11424820/items/TVA7IKEY"],"itemData":{"id":635,"type":"article-journal","abstract":"Internationally, transit oriented development (TOD) is characterised by moderate to high density development with diverse land use patterns and well connected street networks centred around high frequency transit stops (bus and rail). Although different TOD typologies have been developed in different contexts, they are based on subjective evaluation criteria derived from the context in which they are built and typically lack a validation measure. Arguably there exist sets of TOD characteristics that perform better in certain contexts, and being able to optimise TOD effectiveness would facilitate planning and supporting policy development. This research utilises data from census collection districts (CCDs) in Brisbane with different sets of TOD attributes measured across six objectively quantified built environmental indicators: net employment density, net residential density, land use diversity, intersection density, cul-de-sac density, and public transport accessibility. Using these measures, a Two Step Cluster Analysis was conducted to identify natural groupings of the CCDs with similar profiles, resulting in four unique TOD clusters: (a) residential TODs, (b) activity centre TODs, (c) potential TODs, and (d) TOD non-suitability. The typologies are validated by estimating a multinomial logistic regression model in order to understand the mode choice behaviour of 10,013 individuals living in these areas. Results indicate that in comparison to people living in areas classified as residential TODs, people who reside in non-TOD clusters were significantly less likely to use public transport (PT) (1.4 times), and active transport (4 times) compared to the car. People living in areas classified as potential TODs were 1.3 times less likely to use PT, and 2.5 times less likely to use active transport compared to using the car. Only a little difference in mode choice behaviour was evident between people living in areas classified as residential TODs and activity centre TODs. The results suggest that: (a) two types of TODs may be suitable for classification and effect mode choice in Brisbane; (b) TOD typology should be developed based on their TOD profile and performance matrices; (c) both bus stop and train station based TODs are suitable for development in Brisbane.","container-title":"Journal of Transport Geography","DOI":"10.1016/j.jtrangeo.2013.11.002","ISSN":"0966-6923","journalAbbreviation":"Journal of Transport Geography","page":"54-70","source":"6.1","title":"Advance transit oriented development typology: case study in Brisbane, Australia","title-short":"Advance transit oriented development typology","volume":"34","author":[{"family":"Kamruzzaman","given":"Md."},{"family":"Baker","given":"Douglas"},{"family":"Washington","given":"Simon"},{"family":"Turrell","given":"Gavin"}],"issued":{"date-parts":[["2014",1,1]]},"citation-key":"kamruzzamanAdvanceTransitOriented2014"}},{"id":639,"uris":["http://zotero.org/users/11424820/items/LX8M2PTX"],"itemData":{"id":639,"type":"article-journal","abstract":"Problem, research strategy, and findings: There is little consensus about the effects of rail transit on residential development, especially in suburbs, despite high expectations. I revisit this issue by examining a “best case”: I test the impacts of rail transit on housing development around suburban rail stations in Portland (OR), a region with multiple supportive transit-oriented development policies. I conducted longitudinal analyses of housing development in quarter-mile catchment areas around 57 suburban rail transit stations in suburban Portland from 2004 to 2014, a longer time period than many previous studies, evaluating factors that helped station areas attract residential development. Housing developments, most multifamily, grew much faster in the quarter-mile catchment areas around suburban stations put into service in or before 2004 than the regional average. Areas around stations opened after 2004 have few residential developments. More residential development is associated with higher system ridership, more vacant land zoned for residential and mixed-use purposes, greater shares of nonresidential land, and higher shares of the White population. Faster density increases were associated with more vacant land zoned for high-density and mixed-use purposes. Takeaway for practice: Rail systems may need to be in operation longer to affect land use than the study periods in some previous research. Rail transit can guide suburban residential development in neighborhoods with enough vacant land, some nonresidential destinations, and appropriate zoning. Multiple supportive public policies and incentives appear to have a major impact, but may not be effective alone unless these preconditions are met.","container-title":"Journal of the American Planning Association","DOI":"10.1080/01944363.2016.1215258","ISSN":"0194-4363","issue":"4","note":"publisher: Routledge\n_eprint: https://doi.org/10.1080/01944363.2016.1215258","page":"316–326","source":"5.6","title":"If You Build Rail Transit in Suburbs, Will Development Come?","volume":"82","author":[{"family":"Dong","given":"Hongwei"}],"issued":{"date-parts":[["2016",10,1]]},"citation-key":"dongIfYouBuild2016"}}],"schema":"https://github.com/citation-style-language/schema/raw/master/csl-citation.json"} </w:instrText>
      </w:r>
      <w:r w:rsidR="00864DC3">
        <w:fldChar w:fldCharType="separate"/>
      </w:r>
      <w:r w:rsidR="00864DC3" w:rsidRPr="00864DC3">
        <w:rPr>
          <w:kern w:val="0"/>
        </w:rPr>
        <w:t xml:space="preserve">(Kamruzzaman </w:t>
      </w:r>
      <w:r w:rsidR="00864DC3" w:rsidRPr="00864DC3">
        <w:rPr>
          <w:i/>
          <w:iCs/>
          <w:kern w:val="0"/>
        </w:rPr>
        <w:t>et al.</w:t>
      </w:r>
      <w:r w:rsidR="00864DC3" w:rsidRPr="00864DC3">
        <w:rPr>
          <w:kern w:val="0"/>
        </w:rPr>
        <w:t>, 2014; Dong, 2016)</w:t>
      </w:r>
      <w:r w:rsidR="00864DC3">
        <w:fldChar w:fldCharType="end"/>
      </w:r>
      <w:r w:rsidR="008A7F7E">
        <w:t>.</w:t>
      </w:r>
      <w:r w:rsidR="008A7F7E">
        <w:rPr>
          <w:rFonts w:hint="eastAsia"/>
        </w:rPr>
        <w:t xml:space="preserve"> </w:t>
      </w:r>
      <w:r>
        <w:rPr>
          <w:rFonts w:hint="eastAsia"/>
        </w:rPr>
        <w:t>Many</w:t>
      </w:r>
      <w:r w:rsidR="00B17F9B">
        <w:t xml:space="preserve"> studies have begun to explore this relationship through techniques such as spatial analysis, descriptive statistics, and regression modeling</w:t>
      </w:r>
      <w:r w:rsidR="00864DC3">
        <w:rPr>
          <w:rFonts w:hint="eastAsia"/>
        </w:rPr>
        <w:t xml:space="preserve"> </w:t>
      </w:r>
      <w:r w:rsidR="00864DC3">
        <w:fldChar w:fldCharType="begin"/>
      </w:r>
      <w:r w:rsidR="00864DC3">
        <w:instrText xml:space="preserve"> ADDIN ZOTERO_ITEM CSL_CITATION {"citationID":"AnBUkYVu","properties":{"formattedCitation":"(Xiao {\\i{}et al.}, 2021; Zhou and Yang, 2021)","plainCitation":"(Xiao et al., 2021; Zhou and Yang, 2021)","noteIndex":0},"citationItems":[{"id":641,"uris":["http://zotero.org/users/11424820/items/G3VNTRYD"],"itemData":{"id":641,"type":"article-journal","abstract":"Urban vibrancy can facilitate human activities and social interactions, attract capital and talent, enhance competitiveness and creativity, maintain resilience, and finally achieve a sustainable urban development. Theoretically, transit-oriented development (TOD) is beneficial for vibrancy. In practice, TOD implementation does not always lead to vibrant community life. To foster vibrancy around stations, we need to understand relationships between TOD-ness (i.e., the degree to which the current (physical) conditions of station areas meet the standards of TOD) and vibrancy. Empirical studies on this topic are scarce, despite numerous studies on built environment effects on vibrancy. Moreover, these studies are likely to overestimate/underestimate the effects as most of them neglect the pervasive nonlinearity and synergism. This research contributes to the understanding of nonlinear and synergistic effects of TOD on vibrancy by constructing gradient boosting decision tree model using multi-source data from 166 metro station areas in Shenzhen, China. Local explanations for the model indicate the following: (1) Sufficient bus services, horizontal built-up coverage, and mixed-use buildings are dominant contributors to vibrancy around metro stations. (2) TOD have nonlinear influences on vibrancy. (3) Synergistic effects are evident among/within TOD dimensions. Practical implications of the findings, such as targeted policies with nuanced planning/design criteria, are further discussed.","call-number":"1","container-title":"Sustainable Cities and Society","DOI":"10.1016/j.scs.2021.103063","ISSN":"2210-6707","journalAbbreviation":"Sustainable Cities and Society","page":"103063","source":"11.7","title":"Nonlinear and synergistic effects of TOD on urban vibrancy: Applying local explanations for gradient boosting decision tree","title-short":"Nonlinear and synergistic effects of TOD on urban vibrancy","volume":"72","author":[{"family":"Xiao","given":"Longzhu"},{"family":"Lo","given":"Siuming"},{"family":"Liu","given":"Jixiang"},{"family":"Zhou","given":"Jiangping"},{"family":"Li","given":"Qingqing"}],"issued":{"date-parts":[["2021",9,1]]},"citation-key":"xiaoNonlinearSynergisticEffects2021"}},{"id":642,"uris":["http://zotero.org/users/11424820/items/JRCC8ABL"],"itemData":{"id":642,"type":"article-journal","abstract":"Transit-Oriented Development (TOD) degree, the correlation between transit-based accessibility and urban development, reflects to what extent TOD shapes urban form. This paper empirically examines the shifting patterns of TOD degree and its correlates by using publicly available big and/or open data (BOD) such as point of interest (POI) and OpenStreetMap data for Shenzhen, China, a city experiencing rapid growth/changes in recent decades. The BOD used contain up-to-date information of human activities in finer spatiotemporal resolutions than traditional data. The paper illustrates how BOD can be utilized to quantify TOD degree and its correlates in 2014 and 2017. The main findings are twofold. First, bus stops, a proxy for bus-based accessibility, were found to markedly influence urban development (measued by the number of POIs with social media check-ins) around a (planned) metro station in 2014, when the local metro system was still in devleopment. Second, the impacts of the metro-based accessibility (measured by the average time to the two central business districts) on urban development became larger than those of the accessibility to bus stops as the local metro system matured. It is recommended that decision-makers should systematically consider and harness those effects over time to better promote TOD degree.","container-title":"Cities","DOI":"10.1016/j.cities.2020.102990","ISSN":"0264-2751","journalAbbreviation":"Cities","page":"102990","source":"6.7","title":"Transit-based accessibility and urban development: An exploratory study of Shenzhen based on big and/or open data","title-short":"Transit-based accessibility and urban development","volume":"110","author":[{"family":"Zhou","given":"Jiangping"},{"family":"Yang","given":"Yuling"}],"issued":{"date-parts":[["2021",3,1]]},"citation-key":"zhouTransitbasedAccessibilityUrban2021"}}],"schema":"https://github.com/citation-style-language/schema/raw/master/csl-citation.json"} </w:instrText>
      </w:r>
      <w:r w:rsidR="00864DC3">
        <w:fldChar w:fldCharType="separate"/>
      </w:r>
      <w:r w:rsidR="00864DC3" w:rsidRPr="00864DC3">
        <w:rPr>
          <w:kern w:val="0"/>
        </w:rPr>
        <w:t xml:space="preserve">(Xiao </w:t>
      </w:r>
      <w:r w:rsidR="00864DC3" w:rsidRPr="00864DC3">
        <w:rPr>
          <w:i/>
          <w:iCs/>
          <w:kern w:val="0"/>
        </w:rPr>
        <w:t>et al.</w:t>
      </w:r>
      <w:r w:rsidR="00864DC3" w:rsidRPr="00864DC3">
        <w:rPr>
          <w:kern w:val="0"/>
        </w:rPr>
        <w:t>, 2021; Zhou and Yang, 2021)</w:t>
      </w:r>
      <w:r w:rsidR="00864DC3">
        <w:fldChar w:fldCharType="end"/>
      </w:r>
      <w:r w:rsidR="00B17F9B">
        <w:t>, these efforts have predominantly assumed linear associations between transit accessibility metrics and indicators of urban development, such as employment/population densities and concentrations of points of interest. The potential for nonlinear effects, wherein the marginal impacts of transit accessibility on urban development may diminish or accelerate beyond certain thresholds, has been relatively underexplored</w:t>
      </w:r>
      <w:r w:rsidR="00864DC3">
        <w:rPr>
          <w:rFonts w:hint="eastAsia"/>
        </w:rPr>
        <w:t xml:space="preserve"> </w:t>
      </w:r>
      <w:r w:rsidR="00864DC3">
        <w:fldChar w:fldCharType="begin"/>
      </w:r>
      <w:r w:rsidR="00864DC3">
        <w:instrText xml:space="preserve"> ADDIN ZOTERO_ITEM CSL_CITATION {"citationID":"Lj3KuFXF","properties":{"formattedCitation":"(Xu and Yang, 2019)","plainCitation":"(Xu and Yang, 2019)","noteIndex":0},"citationItems":[{"id":640,"uris":["http://zotero.org/users/11424820/items/YSKESYXG"],"itemData":{"id":640,"type":"article-journal","abstract":"This study proposes a measure to evaluate the urban land use plan with transit accessibility, more specifically, the spatial accessibility of transit stations. The spatial accessibility of transit stations is measured with the number of effective reachable grids, and the influence of transfer on reduction in spatial accessibility is considered. A geographically weighted regression model is used to determine the correlation between transit accessibility and urban land use characteristics. Moreover, the methodology is applied to Xiamen, China and the corresponding results demonstrate the usefulness and effectiveness of the proposed methodology. Researchers can adopt the proposed approach to evaluate urban land use plan, particularly in transit-dominated and car-lite contexts.","call-number":"1","container-title":"Sustainable Cities and Society","DOI":"10.1016/j.scs.2018.11.042","ISSN":"2210-6707","journalAbbreviation":"Sustainable Cities and Society","page":"474-485","source":"11.7","title":"Evaluating the urban land use plan with transit accessibility","volume":"45","author":[{"family":"Xu","given":"Wangtu (Ato)"},{"family":"Yang","given":"Linchuan"}],"issued":{"date-parts":[["2019",2,1]]},"citation-key":"xuEvaluatingUrbanLand2019"}}],"schema":"https://github.com/citation-style-language/schema/raw/master/csl-citation.json"} </w:instrText>
      </w:r>
      <w:r w:rsidR="00864DC3">
        <w:fldChar w:fldCharType="separate"/>
      </w:r>
      <w:r w:rsidR="00864DC3" w:rsidRPr="00864DC3">
        <w:t>(Xu and Yang, 2019)</w:t>
      </w:r>
      <w:r w:rsidR="00864DC3">
        <w:fldChar w:fldCharType="end"/>
      </w:r>
      <w:r w:rsidR="00B17F9B">
        <w:t>.</w:t>
      </w:r>
    </w:p>
    <w:p w14:paraId="132E43CE" w14:textId="77777777" w:rsidR="00B17F9B" w:rsidRDefault="00B17F9B" w:rsidP="00B17F9B"/>
    <w:p w14:paraId="70EBF646" w14:textId="5E20CA99" w:rsidR="00B17F9B" w:rsidRDefault="008A7F7E" w:rsidP="00B17F9B">
      <w:r>
        <w:rPr>
          <w:rFonts w:hint="eastAsia"/>
        </w:rPr>
        <w:t xml:space="preserve">1.2 </w:t>
      </w:r>
      <w:r w:rsidR="00B17F9B">
        <w:t>Public Transit Accessibility Evaluation</w:t>
      </w:r>
    </w:p>
    <w:p w14:paraId="2753BD5D" w14:textId="2B092F0B" w:rsidR="00B17F9B" w:rsidRDefault="00B17F9B" w:rsidP="00B17F9B">
      <w:r>
        <w:t>The concept of accessibility encapsulates the ease with which desired destinations and activities can be reached from a given location (Geurs &amp; van Eck, 2001). It serves as a critical determinant of both transit ridership levels and land use dynamics. Scholars have developed a variety of methodologies to evaluate public transit accessibility, typically grounded in the spatial distributions of transit stops/stations, service frequencies, travel times, and the destinations served (Mavoa et al., 2012).</w:t>
      </w:r>
    </w:p>
    <w:p w14:paraId="52945BD8" w14:textId="77777777" w:rsidR="00B17F9B" w:rsidRDefault="00B17F9B" w:rsidP="00B17F9B"/>
    <w:p w14:paraId="7BE13B15" w14:textId="4C70010C" w:rsidR="00B17F9B" w:rsidRDefault="00B17F9B" w:rsidP="00B17F9B">
      <w:r>
        <w:lastRenderedPageBreak/>
        <w:t>Empirical evidence suggests that higher levels of transit accessibility tend to be correlated with more compact urban development patterns and elevated real estate valuations</w:t>
      </w:r>
      <w:r w:rsidR="00864DC3">
        <w:rPr>
          <w:rFonts w:hint="eastAsia"/>
        </w:rPr>
        <w:t xml:space="preserve"> </w:t>
      </w:r>
      <w:r w:rsidR="00864DC3">
        <w:fldChar w:fldCharType="begin"/>
      </w:r>
      <w:r w:rsidR="000E216C">
        <w:instrText xml:space="preserve"> ADDIN ZOTERO_ITEM CSL_CITATION {"citationID":"B14ntohG","properties":{"formattedCitation":"(Wang {\\i{}et al.}, 2015; Gong, 2021)","plainCitation":"(Wang et al., 2015; Gong, 2021)","noteIndex":0},"citationItems":[{"id":644,"uris":["http://zotero.org/users/11424820/items/AFFJWI4C"],"itemData":{"id":644,"type":"article-journal","abstract":"In this paper, we empirically test the viability of a flow-based approach as an alternative to transport accessibility measurement. To track where commuters travel from and to (but not commute times), we use transactional smartcard data from residents in Singapore to construct the (daily) spatial network of trips generated. We use the Place Rank method to demonstrate the viability of the flow-based approach to study accessibility. We compute the Place Rank of each of 44 planning areas in Singapore. Interestingly, even though the spatial network is constructed using only origin–destination information, we find that the travel time of the trips out of each planning area generally decreases as the area’s Place Rank increases. The same is also the case for in-vehicle time, number of transfers in the network and transfer time. This shows that a flow-based approach can be used to measure the notion of accessibility, which is traditionally assessed using travel time information in the system. We also compare Place Rank with other indicators, namely, bus stop density, eigenvector centrality, clustering coefficient and typographical coefficient to evaluate an area’s accessibility. The results show that these indicators are not as effective as the Place Rank method.","container-title":"Transportation Research Part C: Emerging Technologies","DOI":"10.1016/j.trc.2015.04.017","ISSN":"0968-090X","journalAbbreviation":"Transportation Research Part C: Emerging Technologies","page":"335-345","source":"ScienceDirect","title":"Flow-based accessibility measurement: The Place Rank approach","title-short":"Flow-based accessibility measurement","volume":"56","author":[{"family":"Wang","given":"Guihua"},{"family":"Zhong","given":"Yuanguang"},{"family":"Teo","given":"Chung-Piaw"},{"family":"Liu","given":"Qizhang"}],"issued":{"date-parts":[["2015",7,1]]},"citation-key":"wangFlowbasedAccessibilityMeasurement2015"}},{"id":650,"uris":["http://zotero.org/users/11424820/items/CMA96LUS"],"itemData":{"id":650,"type":"article-journal","container-title":"Transactions in GIS","title":"Evaluating healthcare resource inequality in Beijing, China based on an improved spatial accessibility measurement","URL":"https://onlinelibrary.wiley.com/doi/full/10.1111/tgis.12737?casa_token=5PFr4Ct-tG8AAAAA%3AMhVUn5TycVRZgaDBMrmA8CO1zJf18weDFBEc93KZzzJxS5LSLXwgO00ZKOgoOvQi19CqYvlLBXPnIXXJBg#/","author":[{"family":"Gong","given":"Shize"}],"accessed":{"date-parts":[["2024",4,19]]},"issued":{"date-parts":[["2021"]]},"citation-key":"gongEvaluatingHealthcareResource2021"}}],"schema":"https://github.com/citation-style-language/schema/raw/master/csl-citation.json"} </w:instrText>
      </w:r>
      <w:r w:rsidR="00864DC3">
        <w:fldChar w:fldCharType="separate"/>
      </w:r>
      <w:r w:rsidR="000E216C" w:rsidRPr="000E216C">
        <w:rPr>
          <w:kern w:val="0"/>
        </w:rPr>
        <w:t xml:space="preserve">(Wang </w:t>
      </w:r>
      <w:r w:rsidR="000E216C" w:rsidRPr="000E216C">
        <w:rPr>
          <w:i/>
          <w:iCs/>
          <w:kern w:val="0"/>
        </w:rPr>
        <w:t>et al.</w:t>
      </w:r>
      <w:r w:rsidR="000E216C" w:rsidRPr="000E216C">
        <w:rPr>
          <w:kern w:val="0"/>
        </w:rPr>
        <w:t>, 2015; Gong, 2021)</w:t>
      </w:r>
      <w:r w:rsidR="00864DC3">
        <w:fldChar w:fldCharType="end"/>
      </w:r>
      <w:r>
        <w:t xml:space="preserve">. The relationship between transit accessibility and urban development may be moderated by factors such as a city's spatial structure, predominant transit modes, and physical geography. </w:t>
      </w:r>
      <w:r w:rsidR="00175D64">
        <w:rPr>
          <w:rFonts w:hint="eastAsia"/>
        </w:rPr>
        <w:t>Many</w:t>
      </w:r>
      <w:r>
        <w:t xml:space="preserve"> research has focused on monocentric cities situated in relatively flat terrain, where accessibility exhibits a distance-decay pattern emanating from the central business district (CBD). The dynamics of this relationship in mountainous or polycentric cities with more dispersed development patterns have not been extensively studied</w:t>
      </w:r>
      <w:r w:rsidR="000E216C">
        <w:rPr>
          <w:rFonts w:hint="eastAsia"/>
        </w:rPr>
        <w:t xml:space="preserve"> </w:t>
      </w:r>
      <w:r w:rsidR="000E216C">
        <w:fldChar w:fldCharType="begin"/>
      </w:r>
      <w:r w:rsidR="000E216C">
        <w:instrText xml:space="preserve"> ADDIN ZOTERO_ITEM CSL_CITATION {"citationID":"JZQx9w4R","properties":{"formattedCitation":"(Hickman and Hall, 2008)","plainCitation":"(Hickman and Hall, 2008)","noteIndex":0},"citationItems":[{"id":651,"uris":["http://zotero.org/users/11424820/items/E6PZ4SBU"],"itemData":{"id":651,"type":"article-journal","abstract":"The focus for much of London's current envisaged development growth is to move eastwards; beyond the City of London and Canary Wharf and into the London Thames Gateway. A major part of the next implementation stage (from 2006 to 2026) is to create a new future for Canning Town and the Royal Docks. This paper describes the strategic and detailed planning of a public transport-orientated development (PTOD) form around an improved public transport network in east London, including an extended Docklands Light Railway and a major new east–west cross-London rail link in Crossrail. The central argument behind the PTOD theme is that development density is linked effectively to public transport accessibility levels; ensuring that the fullest possible development potential is realized and that the public transport network is well utilized. Hence there are both place-making and sustainable transport objectives. Transport investment is used to enable high levels of development; and high levels of development are used to make possible a high-specification public transport system.","container-title":"Planning Practice &amp; Research","DOI":"10.1080/02697450802423583","ISSN":"0269-7459","issue":"3","note":"publisher: Routledge\n_eprint: https://doi.org/10.1080/02697450802423583","page":"323–339","source":"Taylor and Francis+NEJM","title":"Moving the City East: Explorations into Contextual Public Transport-orientated Development","title-short":"Moving the City East","volume":"23","author":[{"family":"Hickman","given":"Robin"},{"family":"Hall","given":"Peter"}],"issued":{"date-parts":[["2008",8,1]]},"citation-key":"hickmanMovingCityEast2008"}}],"schema":"https://github.com/citation-style-language/schema/raw/master/csl-citation.json"} </w:instrText>
      </w:r>
      <w:r w:rsidR="000E216C">
        <w:fldChar w:fldCharType="separate"/>
      </w:r>
      <w:r w:rsidR="000E216C" w:rsidRPr="000E216C">
        <w:t>(Hickman and Hall, 2008)</w:t>
      </w:r>
      <w:r w:rsidR="000E216C">
        <w:fldChar w:fldCharType="end"/>
      </w:r>
      <w:r>
        <w:t>.</w:t>
      </w:r>
    </w:p>
    <w:p w14:paraId="49B003A3" w14:textId="77777777" w:rsidR="008A7F7E" w:rsidRDefault="008A7F7E" w:rsidP="00B17F9B"/>
    <w:p w14:paraId="7B7274BB" w14:textId="47A83012" w:rsidR="00B17F9B" w:rsidRDefault="008A7F7E">
      <w:pPr>
        <w:rPr>
          <w:rFonts w:hint="eastAsia"/>
        </w:rPr>
      </w:pPr>
      <w:r>
        <w:t>Despite this extensive theoretical and empirical research, gaps remain in understanding the precise nature of the relationship between public transport accessibility and urban development levels. The majority of quantitative studies to date have assumed linear relationships between transit accessibility metrics and urban development variables. Potential nonlinearities and threshold effects have not been adequately explored.</w:t>
      </w:r>
      <w:r w:rsidR="000E216C">
        <w:rPr>
          <w:rFonts w:hint="eastAsia"/>
        </w:rPr>
        <w:t xml:space="preserve"> </w:t>
      </w:r>
      <w:r>
        <w:t>This study addresses this gap through a case analysis combining big data, machine learning, and interpreting nonlinear effects.</w:t>
      </w:r>
      <w:r w:rsidRPr="008A7F7E">
        <w:t xml:space="preserve"> </w:t>
      </w:r>
      <w:r>
        <w:t>Despite the growing availability of new big data sources to measure the built environment and human activities, much of the empirical TOD research still relies on traditional data sources such as population/employment statistics, which may not fully capture</w:t>
      </w:r>
      <w:r w:rsidR="00A877A2">
        <w:rPr>
          <w:rFonts w:hint="eastAsia"/>
        </w:rPr>
        <w:t xml:space="preserve"> </w:t>
      </w:r>
      <w:r>
        <w:t>urban development patterns.</w:t>
      </w:r>
    </w:p>
    <w:p w14:paraId="0A441C89" w14:textId="77777777" w:rsidR="00B17F9B" w:rsidRDefault="00B17F9B"/>
    <w:p w14:paraId="569D48F1" w14:textId="4014C634" w:rsidR="006D5B47" w:rsidRDefault="006D5B47" w:rsidP="00826C1B">
      <w:pPr>
        <w:pStyle w:val="a4"/>
      </w:pPr>
      <w:r>
        <w:rPr>
          <w:rFonts w:hint="eastAsia"/>
        </w:rPr>
        <w:t xml:space="preserve">2 </w:t>
      </w:r>
      <w:r w:rsidR="00BB3F2C">
        <w:rPr>
          <w:rFonts w:hint="eastAsia"/>
        </w:rPr>
        <w:t>Q</w:t>
      </w:r>
    </w:p>
    <w:p w14:paraId="2525FA2A" w14:textId="69F0D9E8" w:rsidR="006D5B47" w:rsidRDefault="00BB3F2C">
      <w:r w:rsidRPr="00BB3F2C">
        <w:t>What is the relationship between public transport accessibility and urban development in mountainous cities like Chongqing?</w:t>
      </w:r>
    </w:p>
    <w:p w14:paraId="0F7B5260" w14:textId="76EABA72" w:rsidR="00175D64" w:rsidRDefault="00175D64">
      <w:r w:rsidRPr="00175D64">
        <w:t>What are the specific impacts of different modes of public transport (e.g., metro, bus, street accessibility) on urban development?</w:t>
      </w:r>
    </w:p>
    <w:p w14:paraId="2556EB4B" w14:textId="246AE31E" w:rsidR="006D5B47" w:rsidRDefault="006D5B47" w:rsidP="00826C1B">
      <w:pPr>
        <w:pStyle w:val="a4"/>
      </w:pPr>
      <w:r>
        <w:rPr>
          <w:rFonts w:hint="eastAsia"/>
        </w:rPr>
        <w:t>3 method</w:t>
      </w:r>
    </w:p>
    <w:p w14:paraId="72850AD1" w14:textId="77777777" w:rsidR="00826C1B" w:rsidRDefault="00826C1B"/>
    <w:p w14:paraId="257C5B31" w14:textId="4F1FD569" w:rsidR="00826C1B" w:rsidRDefault="00826C1B">
      <w:r w:rsidRPr="00826C1B">
        <w:t>To investigate the</w:t>
      </w:r>
      <w:r w:rsidR="00B64C29">
        <w:rPr>
          <w:rFonts w:hint="eastAsia"/>
        </w:rPr>
        <w:t xml:space="preserve"> </w:t>
      </w:r>
      <w:r w:rsidRPr="00826C1B">
        <w:t>relationship between public transport accessibility and urban development levels in the mountainous city of Chongqing, this study employs a data-driven analytical approach combining big data sources, machine learning algorithms, and interpretable modeling techniques.</w:t>
      </w:r>
    </w:p>
    <w:p w14:paraId="47D9829E" w14:textId="77777777" w:rsidR="00826C1B" w:rsidRDefault="00826C1B"/>
    <w:p w14:paraId="7B0D240A" w14:textId="2516574B" w:rsidR="00826C1B" w:rsidRDefault="00826C1B" w:rsidP="00826C1B">
      <w:r>
        <w:t>The study employs</w:t>
      </w:r>
      <w:r w:rsidR="00B64C29">
        <w:rPr>
          <w:rFonts w:hint="eastAsia"/>
        </w:rPr>
        <w:t xml:space="preserve"> </w:t>
      </w:r>
      <w:r>
        <w:t>Gradient Boosting Decision Trees (GBDT) to model the potentially nonlinear relationships between the collected variables. GBDT is an ensemble method that incrementally combines weak regression tree models to optimize predictive performance. Crucial advantages include high accuracy, ability to automatically handle non-linearities and interactions, and inbuilt prevention of overfitting.</w:t>
      </w:r>
    </w:p>
    <w:p w14:paraId="422C9D20" w14:textId="77777777" w:rsidR="00826C1B" w:rsidRDefault="00826C1B" w:rsidP="00826C1B"/>
    <w:p w14:paraId="4494BA74" w14:textId="651F916A" w:rsidR="00826C1B" w:rsidRDefault="00826C1B" w:rsidP="00826C1B">
      <w:r>
        <w:t xml:space="preserve">To interpret the resulting GBDT model's nonlinear effects and each variable's relative </w:t>
      </w:r>
      <w:r>
        <w:lastRenderedPageBreak/>
        <w:t>importance, a method called SHapley Additive exPlanations (SHAP) is used. SHAP computes Shapley values, a game theory-based approach to fairly distribute the prediction among feature contributions. Visual techniques like dependency plots are then employed to scrutinize variable influence across their data ranges.</w:t>
      </w:r>
    </w:p>
    <w:p w14:paraId="18C1C836" w14:textId="77777777" w:rsidR="00826C1B" w:rsidRDefault="00826C1B" w:rsidP="00826C1B"/>
    <w:p w14:paraId="626AB8B5" w14:textId="5D2A91D0" w:rsidR="00826C1B" w:rsidRDefault="00826C1B" w:rsidP="00826C1B">
      <w:pPr>
        <w:rPr>
          <w:rFonts w:hint="eastAsia"/>
        </w:rPr>
      </w:pPr>
      <w:r>
        <w:t>The complete analytical workflow spans data collection and cleaning, GBDT model training on Chongqing's metro service area samples using the curated variables, interpreting the GBDT's nonlinear effects via SHAP values and dependence plots, and finally deriving planning implications based on the nonlinear effects revealed for different types of stations/neighborhoods.</w:t>
      </w:r>
    </w:p>
    <w:p w14:paraId="5ED8FC0F" w14:textId="77777777" w:rsidR="006D5B47" w:rsidRPr="00B64C29" w:rsidRDefault="006D5B47"/>
    <w:p w14:paraId="5E8DF8B4" w14:textId="7C18B214" w:rsidR="006D5B47" w:rsidRDefault="006D5B47" w:rsidP="00826C1B">
      <w:pPr>
        <w:pStyle w:val="a4"/>
      </w:pPr>
      <w:r>
        <w:rPr>
          <w:rFonts w:hint="eastAsia"/>
        </w:rPr>
        <w:t>4 data</w:t>
      </w:r>
    </w:p>
    <w:p w14:paraId="7FFBA5E2" w14:textId="5AD1D7D9" w:rsidR="00446DC5" w:rsidRDefault="00446DC5" w:rsidP="00826C1B">
      <w:r>
        <w:rPr>
          <w:rFonts w:hint="eastAsia"/>
        </w:rPr>
        <w:t xml:space="preserve">We </w:t>
      </w:r>
      <w:r>
        <w:t>collected</w:t>
      </w:r>
      <w:r>
        <w:rPr>
          <w:rFonts w:hint="eastAsia"/>
        </w:rPr>
        <w:t xml:space="preserve"> data in year 2024, </w:t>
      </w:r>
      <w:r>
        <w:t>and</w:t>
      </w:r>
      <w:r>
        <w:rPr>
          <w:rFonts w:hint="eastAsia"/>
        </w:rPr>
        <w:t xml:space="preserve"> t</w:t>
      </w:r>
      <w:r w:rsidRPr="00446DC5">
        <w:t>he indicator system utilized in this study was tailored to the particular context after being derived from the one</w:t>
      </w:r>
      <w:r>
        <w:rPr>
          <w:rFonts w:hint="eastAsia"/>
        </w:rPr>
        <w:t xml:space="preserve"> </w:t>
      </w:r>
      <w:r w:rsidRPr="00446DC5">
        <w:t>used in Shenzhen</w:t>
      </w:r>
      <w:r>
        <w:rPr>
          <w:rFonts w:hint="eastAsia"/>
        </w:rPr>
        <w:t xml:space="preserve"> </w:t>
      </w:r>
      <w:r>
        <w:fldChar w:fldCharType="begin"/>
      </w:r>
      <w:r>
        <w:instrText xml:space="preserve"> ADDIN ZOTERO_ITEM CSL_CITATION {"citationID":"PQ9sBhJ4","properties":{"formattedCitation":"(Xiao {\\i{}et al.}, 2021)","plainCitation":"(Xiao et al., 2021)","noteIndex":0},"citationItems":[{"id":641,"uris":["http://zotero.org/users/11424820/items/G3VNTRYD"],"itemData":{"id":641,"type":"article-journal","abstract":"Urban vibrancy can facilitate human activities and social interactions, attract capital and talent, enhance competitiveness and creativity, maintain resilience, and finally achieve a sustainable urban development. Theoretically, transit-oriented development (TOD) is beneficial for vibrancy. In practice, TOD implementation does not always lead to vibrant community life. To foster vibrancy around stations, we need to understand relationships between TOD-ness (i.e., the degree to which the current (physical) conditions of station areas meet the standards of TOD) and vibrancy. Empirical studies on this topic are scarce, despite numerous studies on built environment effects on vibrancy. Moreover, these studies are likely to overestimate/underestimate the effects as most of them neglect the pervasive nonlinearity and synergism. This research contributes to the understanding of nonlinear and synergistic effects of TOD on vibrancy by constructing gradient boosting decision tree model using multi-source data from 166 metro station areas in Shenzhen, China. Local explanations for the model indicate the following: (1) Sufficient bus services, horizontal built-up coverage, and mixed-use buildings are dominant contributors to vibrancy around metro stations. (2) TOD have nonlinear influences on vibrancy. (3) Synergistic effects are evident among/within TOD dimensions. Practical implications of the findings, such as targeted policies with nuanced planning/design criteria, are further discussed.","call-number":"1","container-title":"Sustainable Cities and Society","DOI":"10.1016/j.scs.2021.103063","ISSN":"2210-6707","journalAbbreviation":"Sustainable Cities and Society","page":"103063","source":"11.7","title":"Nonlinear and synergistic effects of TOD on urban vibrancy: Applying local explanations for gradient boosting decision tree","title-short":"Nonlinear and synergistic effects of TOD on urban vibrancy","volume":"72","author":[{"family":"Xiao","given":"Longzhu"},{"family":"Lo","given":"Siuming"},{"family":"Liu","given":"Jixiang"},{"family":"Zhou","given":"Jiangping"},{"family":"Li","given":"Qingqing"}],"issued":{"date-parts":[["2021",9,1]]},"citation-key":"xiaoNonlinearSynergisticEffects2021"}}],"schema":"https://github.com/citation-style-language/schema/raw/master/csl-citation.json"} </w:instrText>
      </w:r>
      <w:r>
        <w:fldChar w:fldCharType="separate"/>
      </w:r>
      <w:r w:rsidRPr="00446DC5">
        <w:rPr>
          <w:kern w:val="0"/>
        </w:rPr>
        <w:t xml:space="preserve">(Xiao </w:t>
      </w:r>
      <w:r w:rsidRPr="00446DC5">
        <w:rPr>
          <w:i/>
          <w:iCs/>
          <w:kern w:val="0"/>
        </w:rPr>
        <w:t>et al.</w:t>
      </w:r>
      <w:r w:rsidRPr="00446DC5">
        <w:rPr>
          <w:kern w:val="0"/>
        </w:rPr>
        <w:t>, 2021)</w:t>
      </w:r>
      <w:r>
        <w:fldChar w:fldCharType="end"/>
      </w:r>
      <w:r w:rsidRPr="00446DC5">
        <w:t>.</w:t>
      </w:r>
    </w:p>
    <w:p w14:paraId="4D599909" w14:textId="77777777" w:rsidR="00446DC5" w:rsidRDefault="00446DC5" w:rsidP="00826C1B"/>
    <w:p w14:paraId="1F6F17A5" w14:textId="7417BA79" w:rsidR="00826C1B" w:rsidRDefault="00826C1B" w:rsidP="00826C1B">
      <w:r>
        <w:t>The level of urban development is quantified using point of interest (POI) data obtained from a major online mapping platform's API. POIs represent geographic locations and entities crucial for daily urban activities like restaurants, shopping centers, businesses</w:t>
      </w:r>
      <w:r w:rsidR="000E216C">
        <w:rPr>
          <w:rFonts w:hint="eastAsia"/>
        </w:rPr>
        <w:t>, leisure entertainment, life sevices, medical services, real estate, and schools</w:t>
      </w:r>
      <w:r>
        <w:t>. Their density and concentration can serve as a proxy for development intensity.</w:t>
      </w:r>
      <w:r w:rsidR="000E216C" w:rsidRPr="000E216C">
        <w:t xml:space="preserve"> </w:t>
      </w:r>
      <w:r w:rsidR="000E216C" w:rsidRPr="000E216C">
        <w:t>The Chongqing Municipal Government's TOD special planning document also mandates that comprehensive development areas be built using a station radius length of 600 meters</w:t>
      </w:r>
      <w:r w:rsidR="000E216C">
        <w:rPr>
          <w:rFonts w:hint="eastAsia"/>
        </w:rPr>
        <w:t xml:space="preserve">, while over </w:t>
      </w:r>
      <w:r w:rsidR="000E216C" w:rsidRPr="000E216C">
        <w:t>73</w:t>
      </w:r>
      <w:r w:rsidR="000E216C">
        <w:rPr>
          <w:rFonts w:hint="eastAsia"/>
        </w:rPr>
        <w:t>0,000</w:t>
      </w:r>
      <w:r>
        <w:t xml:space="preserve"> filtered POIs falling within 600m radius metro service areas were collected.</w:t>
      </w:r>
    </w:p>
    <w:p w14:paraId="03EAD708" w14:textId="77777777" w:rsidR="00826C1B" w:rsidRDefault="00826C1B" w:rsidP="00826C1B"/>
    <w:p w14:paraId="63480953" w14:textId="6D1649F6" w:rsidR="00826C1B" w:rsidRDefault="002F39C3" w:rsidP="00826C1B">
      <w:r w:rsidRPr="002F39C3">
        <w:t>Regional urban development is facilitated by well-maintained streets.</w:t>
      </w:r>
      <w:r w:rsidR="006A5D20" w:rsidRPr="006A5D20">
        <w:t xml:space="preserve"> </w:t>
      </w:r>
      <w:r w:rsidR="006A5D20">
        <w:t>Public transport accessibility measures were derived from several spatial data sources</w:t>
      </w:r>
      <w:r w:rsidR="006A5D20">
        <w:rPr>
          <w:rFonts w:hint="eastAsia"/>
        </w:rPr>
        <w:t>, which was</w:t>
      </w:r>
      <w:r w:rsidRPr="002F39C3">
        <w:t xml:space="preserve"> calculated using the proportion of streets in an MSA having betweenness values in the top 30%. </w:t>
      </w:r>
      <w:r w:rsidR="006A5D20">
        <w:t>Road network data from OpenStreetMaps enabled calculating street-level betweenness centrality</w:t>
      </w:r>
      <w:r w:rsidR="006A5D20">
        <w:rPr>
          <w:rFonts w:hint="eastAsia"/>
        </w:rPr>
        <w:t xml:space="preserve">, which </w:t>
      </w:r>
      <w:r w:rsidRPr="002F39C3">
        <w:t>counts how many times a link's midpoint follows the shortest routes to connect any two street segments that are less than 600 meters apart.</w:t>
      </w:r>
      <w:r w:rsidRPr="002F39C3">
        <w:t xml:space="preserve"> </w:t>
      </w:r>
    </w:p>
    <w:p w14:paraId="5D9A9090" w14:textId="77777777" w:rsidR="00826C1B" w:rsidRDefault="00826C1B" w:rsidP="00826C1B"/>
    <w:p w14:paraId="482057B8" w14:textId="5D69EEAF" w:rsidR="006D5B47" w:rsidRDefault="00826C1B" w:rsidP="00826C1B">
      <w:r>
        <w:t>Other relevant variables extracted include the number of bus stops in each metro service area, walking times to the central business district, station characteristics (interchange status), and average residential property prices as a control variable.</w:t>
      </w:r>
    </w:p>
    <w:p w14:paraId="62164669" w14:textId="2A626060" w:rsidR="006D5B47" w:rsidRDefault="006D5B47" w:rsidP="00826C1B">
      <w:pPr>
        <w:pStyle w:val="a4"/>
      </w:pPr>
      <w:r>
        <w:rPr>
          <w:rFonts w:hint="eastAsia"/>
        </w:rPr>
        <w:t>5 ex</w:t>
      </w:r>
    </w:p>
    <w:p w14:paraId="04AE25B4" w14:textId="77777777" w:rsidR="006D5B47" w:rsidRDefault="006D5B47"/>
    <w:p w14:paraId="346B07FC" w14:textId="285EBFCD" w:rsidR="006D5B47" w:rsidRDefault="006D5B47" w:rsidP="00826C1B">
      <w:pPr>
        <w:pStyle w:val="a4"/>
      </w:pPr>
      <w:r>
        <w:rPr>
          <w:rFonts w:hint="eastAsia"/>
        </w:rPr>
        <w:t>6 analysis</w:t>
      </w:r>
    </w:p>
    <w:p w14:paraId="168180F0" w14:textId="7440F79E" w:rsidR="006D5B47" w:rsidRDefault="00B64C29">
      <w:r w:rsidRPr="00B64C29">
        <w:t xml:space="preserve">The GBDT model is built with LightGBM. The number of POIs is set as a dependent </w:t>
      </w:r>
      <w:r w:rsidRPr="00B64C29">
        <w:lastRenderedPageBreak/>
        <w:t>variable, and station attributes, accessibility to public transportation, and control variables are set as independent variables.</w:t>
      </w:r>
    </w:p>
    <w:p w14:paraId="3AB4090D" w14:textId="77777777" w:rsidR="00B64C29" w:rsidRDefault="00B64C29"/>
    <w:p w14:paraId="5AAAF468" w14:textId="77777777" w:rsidR="00B64C29" w:rsidRDefault="00B64C29"/>
    <w:p w14:paraId="75ABF737" w14:textId="10237533" w:rsidR="00B64C29" w:rsidRPr="00DA4153" w:rsidRDefault="00DA4153">
      <w:pPr>
        <w:rPr>
          <w:rFonts w:hint="eastAsia"/>
        </w:rPr>
      </w:pPr>
      <w:r w:rsidRPr="00DA4153">
        <w:t>The mean Shap value for each variable is represented by the horizontal coordinates. The average marginal contribution of a variable over all other variables is its Shap value. The graph's left side displays the variables in decreasing order of global relevance, while the graph's right side illustrates how each MSA's variable values affect urban development.</w:t>
      </w:r>
    </w:p>
    <w:p w14:paraId="204AA12F" w14:textId="77777777" w:rsidR="00B64C29" w:rsidRDefault="00B64C29">
      <w:pPr>
        <w:rPr>
          <w:rFonts w:hint="eastAsia"/>
        </w:rPr>
      </w:pPr>
    </w:p>
    <w:p w14:paraId="14763497" w14:textId="15CC4286" w:rsidR="006D5B47" w:rsidRDefault="006D5B47">
      <w:r>
        <w:rPr>
          <w:rFonts w:hint="eastAsia"/>
        </w:rPr>
        <w:t>7 dis</w:t>
      </w:r>
    </w:p>
    <w:p w14:paraId="7420E6E9" w14:textId="77777777" w:rsidR="00BB3F2C" w:rsidRDefault="00BB3F2C"/>
    <w:p w14:paraId="29307760" w14:textId="4360638F" w:rsidR="00BB3F2C" w:rsidRDefault="00BB3F2C">
      <w:r>
        <w:rPr>
          <w:rFonts w:hint="eastAsia"/>
        </w:rPr>
        <w:t>Q</w:t>
      </w:r>
    </w:p>
    <w:p w14:paraId="798061F7" w14:textId="27F420E8" w:rsidR="00BB3F2C" w:rsidRDefault="00BB3F2C">
      <w:r w:rsidRPr="00BB3F2C">
        <w:t>The study found nonlinear and threshold effects of public transport accessibility factors like</w:t>
      </w:r>
      <w:r w:rsidR="00313225">
        <w:rPr>
          <w:rFonts w:hint="eastAsia"/>
        </w:rPr>
        <w:t xml:space="preserve"> closeness centraility</w:t>
      </w:r>
      <w:r w:rsidRPr="00BB3F2C">
        <w:t xml:space="preserve">, street accessibility, and </w:t>
      </w:r>
      <w:r w:rsidR="00313225">
        <w:rPr>
          <w:rFonts w:hint="eastAsia"/>
        </w:rPr>
        <w:t>number</w:t>
      </w:r>
      <w:r w:rsidRPr="00BB3F2C">
        <w:t xml:space="preserve"> of bus stops on urban development levels measured by number of POIs in metro service areas of Chongqing.</w:t>
      </w:r>
    </w:p>
    <w:p w14:paraId="12EC46E7" w14:textId="77777777" w:rsidR="00BB3F2C" w:rsidRDefault="00BB3F2C"/>
    <w:p w14:paraId="0561046E" w14:textId="408FA973" w:rsidR="00BB3F2C" w:rsidRDefault="00356D7E">
      <w:r w:rsidRPr="00356D7E">
        <w:t>Metro betweenness and street accessibility measures had the strongest positive influence, followed by some other metro accessibility metrics. Bus stop density had a relatively weaker effect.</w:t>
      </w:r>
    </w:p>
    <w:p w14:paraId="3BC6A943" w14:textId="77777777" w:rsidR="00FA3FB6" w:rsidRDefault="00FA3FB6"/>
    <w:p w14:paraId="64D9F29A" w14:textId="0E721E14" w:rsidR="00FA3FB6" w:rsidRDefault="00FA3FB6"/>
    <w:p w14:paraId="056A1098" w14:textId="77777777" w:rsidR="00313225" w:rsidRDefault="00313225"/>
    <w:p w14:paraId="3B0F0B63" w14:textId="77777777" w:rsidR="00313225" w:rsidRDefault="00313225"/>
    <w:p w14:paraId="3CC181ED" w14:textId="77777777" w:rsidR="00313225" w:rsidRDefault="00313225">
      <w:pPr>
        <w:rPr>
          <w:rFonts w:hint="eastAsia"/>
        </w:rPr>
      </w:pPr>
    </w:p>
    <w:p w14:paraId="5D11BBA8" w14:textId="77777777" w:rsidR="00373026" w:rsidRDefault="00373026" w:rsidP="00373026">
      <w:r>
        <w:t>The predominant factor contributing to the expansion of urban areas in Chongqing is the density of bus stations, which underscores the critical role of access to public transportation in fostering urban development.</w:t>
      </w:r>
    </w:p>
    <w:p w14:paraId="50806845" w14:textId="77777777" w:rsidR="00373026" w:rsidRDefault="00373026" w:rsidP="00373026"/>
    <w:p w14:paraId="386480D1" w14:textId="1D5D4830" w:rsidR="00373026" w:rsidRDefault="00373026" w:rsidP="00373026">
      <w:r>
        <w:t xml:space="preserve">The significance of housing cost as a variable suggests its potential as an influencing factor on the growth patterns within MSAs. High real estate values often mirror the attractiveness and thriving economic conditions of a locale, indicating that residential zones are key contributors to the growth of urban regions. The challenging </w:t>
      </w:r>
      <w:r>
        <w:rPr>
          <w:rFonts w:hint="eastAsia"/>
        </w:rPr>
        <w:t>geographical position</w:t>
      </w:r>
      <w:r>
        <w:t xml:space="preserve"> of Chongqing could lead to escalated construction expenses, which in turn may inflate property prices. Areas that are strategically planned around transit routes and amenities are likely to experience an appreciation in property value.</w:t>
      </w:r>
    </w:p>
    <w:p w14:paraId="0A31387A" w14:textId="77777777" w:rsidR="00373026" w:rsidRDefault="00373026" w:rsidP="00373026"/>
    <w:p w14:paraId="70C60753" w14:textId="2CB455E8" w:rsidR="00875D69" w:rsidRDefault="00373026" w:rsidP="00373026">
      <w:r>
        <w:t xml:space="preserve">The study also indicates a dispersion of urban development throughout various city nodes rather than a concentration in the CBD, as the impact of a location within the CBD is minimal. This observation counters the initial prediction of CBDs as focal points of vigorous development and highlights a more decentralized urban growth. The assessment does not reveal any substantial influence of either the age of transit stations or their status as transfer hubs on urban expansion. This insight emerged despite initial expectations of such factors serving as indicators of development longevity or nodal </w:t>
      </w:r>
      <w:r>
        <w:lastRenderedPageBreak/>
        <w:t>activity intensity. The analysis also reflects that the evaluation of transfer station significance was conducted using a simplistic binary approach, and that the estimation of CBD proximity exclusively considered public transit, omitting the impact of personal vehicular access. Despite the prominence of the Jiefangbei-Jiangbeizui-Danzishi district as the recognized core of Chongqing, urban development is not confined to this region alone.</w:t>
      </w:r>
    </w:p>
    <w:p w14:paraId="441D7DF9" w14:textId="77777777" w:rsidR="00875D69" w:rsidRDefault="00875D69" w:rsidP="00875D69"/>
    <w:p w14:paraId="314867B0" w14:textId="6F4927A9" w:rsidR="00875D69" w:rsidRDefault="00875D69" w:rsidP="00875D69"/>
    <w:p w14:paraId="5A390ADB" w14:textId="77777777" w:rsidR="00640359" w:rsidRDefault="00640359" w:rsidP="00875D69"/>
    <w:p w14:paraId="2BE9AC19" w14:textId="77777777" w:rsidR="00640359" w:rsidRDefault="00640359" w:rsidP="00875D69"/>
    <w:p w14:paraId="3738EA8E" w14:textId="77777777" w:rsidR="00640359" w:rsidRDefault="00640359" w:rsidP="00875D69"/>
    <w:p w14:paraId="7F19EFE9" w14:textId="77777777" w:rsidR="00640359" w:rsidRDefault="00640359" w:rsidP="00875D69"/>
    <w:p w14:paraId="5A7FDB3C" w14:textId="28350D0D" w:rsidR="00640359" w:rsidRDefault="00640359" w:rsidP="00875D69">
      <w:r w:rsidRPr="00640359">
        <w:t>According to Manout et al. (2018), transit accessibility is widely regarded as a crucial objective in the promotion of transit use and policies. Accessibility to public transportation and urban development have been linked in a number of studies (Rode et al., 2017; Zhou &amp; Yang, 2021). To the best of our knowledge, no previous research has examined the nonlinear relationship between the two, though. The objective of this research is to examine, through quantitative analysis, the non-linear and threshold effects of public transportation accessibility on urban development.</w:t>
      </w:r>
    </w:p>
    <w:p w14:paraId="0A9CCF89" w14:textId="77777777" w:rsidR="00640359" w:rsidRDefault="00640359" w:rsidP="00875D69"/>
    <w:p w14:paraId="6D9792AE" w14:textId="77777777" w:rsidR="00640359" w:rsidRDefault="00640359" w:rsidP="00875D69">
      <w:pPr>
        <w:rPr>
          <w:rFonts w:hint="eastAsia"/>
        </w:rPr>
      </w:pPr>
    </w:p>
    <w:p w14:paraId="40AEDAF3" w14:textId="77777777" w:rsidR="001C13B2" w:rsidRDefault="001C13B2" w:rsidP="00875D69"/>
    <w:p w14:paraId="61CA33E6" w14:textId="6AE3116C" w:rsidR="001C13B2" w:rsidRDefault="001C13B2" w:rsidP="00875D69"/>
    <w:p w14:paraId="0FAC06C4" w14:textId="77777777" w:rsidR="00640359" w:rsidRDefault="00640359" w:rsidP="00875D69"/>
    <w:p w14:paraId="01241EAE" w14:textId="6D7B9F90" w:rsidR="00640359" w:rsidRDefault="00640359" w:rsidP="00875D69">
      <w:pPr>
        <w:rPr>
          <w:rFonts w:hint="eastAsia"/>
        </w:rPr>
      </w:pPr>
      <w:r w:rsidRPr="00640359">
        <w:t>Because there is a lack of data specifically for mountainous cities, the accessibility and transport characteristics used in the study, which were adapted from earlier research on plain cities, might not be applicable there. Furthermore, the study's definition of "MSA" is based on conventional circular areas, which might not be suitable for hilly cities with erratic road systems. Future research could address these limitations by establishing a more varied system for evaluating accessibility characteristics based on the unique features of road networks and pedestrian systems in mountainous cities, as well as by using social media check-in data and other forms of data to obtain more accurate POI data.</w:t>
      </w:r>
    </w:p>
    <w:sectPr w:rsidR="006403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40B8D"/>
    <w:multiLevelType w:val="hybridMultilevel"/>
    <w:tmpl w:val="57C8E554"/>
    <w:lvl w:ilvl="0" w:tplc="22F8C7FA">
      <w:start w:val="1"/>
      <w:numFmt w:val="decimal"/>
      <w:pStyle w:val="a"/>
      <w:lvlText w:val="Figure %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73230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B47"/>
    <w:rsid w:val="00043714"/>
    <w:rsid w:val="000E216C"/>
    <w:rsid w:val="00175D64"/>
    <w:rsid w:val="001A6491"/>
    <w:rsid w:val="001C13B2"/>
    <w:rsid w:val="002C0E07"/>
    <w:rsid w:val="002F39C3"/>
    <w:rsid w:val="00313225"/>
    <w:rsid w:val="00356D7E"/>
    <w:rsid w:val="00373026"/>
    <w:rsid w:val="00446DC5"/>
    <w:rsid w:val="00640359"/>
    <w:rsid w:val="006A5D20"/>
    <w:rsid w:val="006D5B47"/>
    <w:rsid w:val="00734CBC"/>
    <w:rsid w:val="00740280"/>
    <w:rsid w:val="007C59E3"/>
    <w:rsid w:val="007D2C86"/>
    <w:rsid w:val="00826C1B"/>
    <w:rsid w:val="00864DC3"/>
    <w:rsid w:val="00875D69"/>
    <w:rsid w:val="008A7F7E"/>
    <w:rsid w:val="008E32C1"/>
    <w:rsid w:val="0099743A"/>
    <w:rsid w:val="00A877A2"/>
    <w:rsid w:val="00B17F9B"/>
    <w:rsid w:val="00B64C29"/>
    <w:rsid w:val="00BB3F2C"/>
    <w:rsid w:val="00D07CF6"/>
    <w:rsid w:val="00D2360D"/>
    <w:rsid w:val="00DA4153"/>
    <w:rsid w:val="00DE5ABF"/>
    <w:rsid w:val="00E51321"/>
    <w:rsid w:val="00FA3F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70A3A3"/>
  <w15:chartTrackingRefBased/>
  <w15:docId w15:val="{A053E26A-8A1C-4204-9887-1EB6AE611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43714"/>
    <w:pPr>
      <w:widowControl w:val="0"/>
      <w:jc w:val="both"/>
    </w:pPr>
    <w:rPr>
      <w:rFonts w:ascii="Times New Roman" w:eastAsia="宋体" w:hAnsi="Times New Roman" w:cs="Times New Roman"/>
      <w:sz w:val="24"/>
      <w:szCs w:val="2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
    <w:name w:val="正文1"/>
    <w:link w:val="10"/>
    <w:autoRedefine/>
    <w:qFormat/>
    <w:rsid w:val="00043714"/>
    <w:pPr>
      <w:spacing w:line="360" w:lineRule="auto"/>
      <w:ind w:firstLineChars="200" w:firstLine="200"/>
      <w:jc w:val="both"/>
    </w:pPr>
    <w:rPr>
      <w:rFonts w:ascii="Times New Roman" w:eastAsia="宋体" w:hAnsi="Times New Roman"/>
      <w:sz w:val="24"/>
      <w:szCs w:val="44"/>
    </w:rPr>
  </w:style>
  <w:style w:type="character" w:customStyle="1" w:styleId="10">
    <w:name w:val="正文1 字符"/>
    <w:basedOn w:val="a1"/>
    <w:link w:val="1"/>
    <w:rsid w:val="00043714"/>
    <w:rPr>
      <w:rFonts w:ascii="Times New Roman" w:eastAsia="宋体" w:hAnsi="Times New Roman"/>
      <w:sz w:val="24"/>
      <w:szCs w:val="44"/>
    </w:rPr>
  </w:style>
  <w:style w:type="paragraph" w:customStyle="1" w:styleId="a4">
    <w:name w:val="一级标题"/>
    <w:basedOn w:val="a0"/>
    <w:link w:val="a5"/>
    <w:autoRedefine/>
    <w:qFormat/>
    <w:rsid w:val="00043714"/>
    <w:pPr>
      <w:snapToGrid w:val="0"/>
      <w:spacing w:before="240" w:line="360" w:lineRule="auto"/>
      <w:jc w:val="left"/>
      <w:outlineLvl w:val="1"/>
    </w:pPr>
    <w:rPr>
      <w:rFonts w:eastAsia="黑体" w:cstheme="minorBidi"/>
      <w:sz w:val="32"/>
      <w:szCs w:val="44"/>
    </w:rPr>
  </w:style>
  <w:style w:type="character" w:customStyle="1" w:styleId="a5">
    <w:name w:val="一级标题 字符"/>
    <w:basedOn w:val="a1"/>
    <w:link w:val="a4"/>
    <w:rsid w:val="00043714"/>
    <w:rPr>
      <w:rFonts w:ascii="Times New Roman" w:eastAsia="黑体" w:hAnsi="Times New Roman"/>
      <w:sz w:val="32"/>
      <w:szCs w:val="44"/>
    </w:rPr>
  </w:style>
  <w:style w:type="paragraph" w:customStyle="1" w:styleId="a6">
    <w:name w:val="二级标题"/>
    <w:basedOn w:val="a0"/>
    <w:link w:val="a7"/>
    <w:autoRedefine/>
    <w:qFormat/>
    <w:rsid w:val="002C0E07"/>
    <w:pPr>
      <w:snapToGrid w:val="0"/>
      <w:spacing w:before="240" w:after="120" w:line="360" w:lineRule="auto"/>
      <w:jc w:val="left"/>
      <w:outlineLvl w:val="2"/>
    </w:pPr>
    <w:rPr>
      <w:rFonts w:eastAsia="黑体" w:cstheme="minorBidi"/>
      <w:sz w:val="28"/>
      <w:szCs w:val="44"/>
    </w:rPr>
  </w:style>
  <w:style w:type="character" w:customStyle="1" w:styleId="a7">
    <w:name w:val="二级标题 字符"/>
    <w:basedOn w:val="a1"/>
    <w:link w:val="a6"/>
    <w:rsid w:val="002C0E07"/>
    <w:rPr>
      <w:rFonts w:ascii="Times New Roman" w:eastAsia="黑体" w:hAnsi="Times New Roman"/>
      <w:sz w:val="28"/>
      <w:szCs w:val="44"/>
    </w:rPr>
  </w:style>
  <w:style w:type="paragraph" w:customStyle="1" w:styleId="a8">
    <w:name w:val="一级节标题"/>
    <w:basedOn w:val="a0"/>
    <w:link w:val="a9"/>
    <w:autoRedefine/>
    <w:qFormat/>
    <w:rsid w:val="001A6491"/>
    <w:pPr>
      <w:spacing w:before="60" w:line="360" w:lineRule="auto"/>
      <w:ind w:firstLineChars="150" w:firstLine="150"/>
      <w:jc w:val="left"/>
      <w:outlineLvl w:val="3"/>
    </w:pPr>
    <w:rPr>
      <w:rFonts w:ascii="Calibri" w:hAnsi="Calibri" w:cstheme="minorBidi"/>
      <w:sz w:val="28"/>
      <w:szCs w:val="22"/>
    </w:rPr>
  </w:style>
  <w:style w:type="character" w:customStyle="1" w:styleId="a9">
    <w:name w:val="一级节标题 字符"/>
    <w:basedOn w:val="a1"/>
    <w:link w:val="a8"/>
    <w:rsid w:val="001A6491"/>
    <w:rPr>
      <w:rFonts w:ascii="Calibri" w:eastAsia="宋体" w:hAnsi="Calibri"/>
      <w:sz w:val="28"/>
    </w:rPr>
  </w:style>
  <w:style w:type="paragraph" w:customStyle="1" w:styleId="aa">
    <w:name w:val="章节标题"/>
    <w:basedOn w:val="a0"/>
    <w:link w:val="ab"/>
    <w:autoRedefine/>
    <w:qFormat/>
    <w:rsid w:val="001A6491"/>
    <w:pPr>
      <w:snapToGrid w:val="0"/>
      <w:spacing w:before="240" w:after="120" w:line="360" w:lineRule="auto"/>
      <w:jc w:val="center"/>
      <w:outlineLvl w:val="0"/>
    </w:pPr>
    <w:rPr>
      <w:rFonts w:eastAsia="黑体" w:cstheme="minorBidi"/>
      <w:sz w:val="32"/>
      <w:szCs w:val="44"/>
    </w:rPr>
  </w:style>
  <w:style w:type="character" w:customStyle="1" w:styleId="ab">
    <w:name w:val="章节标题 字符"/>
    <w:basedOn w:val="a1"/>
    <w:link w:val="aa"/>
    <w:rsid w:val="001A6491"/>
    <w:rPr>
      <w:rFonts w:ascii="Times New Roman" w:eastAsia="黑体" w:hAnsi="Times New Roman"/>
      <w:sz w:val="32"/>
      <w:szCs w:val="44"/>
    </w:rPr>
  </w:style>
  <w:style w:type="paragraph" w:styleId="a">
    <w:name w:val="No Spacing"/>
    <w:aliases w:val="图"/>
    <w:basedOn w:val="a0"/>
    <w:autoRedefine/>
    <w:uiPriority w:val="1"/>
    <w:qFormat/>
    <w:rsid w:val="001A6491"/>
    <w:pPr>
      <w:numPr>
        <w:numId w:val="1"/>
      </w:numPr>
      <w:spacing w:line="360" w:lineRule="auto"/>
      <w:jc w:val="center"/>
    </w:pPr>
    <w:rPr>
      <w:b/>
      <w:sz w:val="21"/>
    </w:rPr>
  </w:style>
  <w:style w:type="paragraph" w:styleId="ac">
    <w:name w:val="Bibliography"/>
    <w:basedOn w:val="a0"/>
    <w:next w:val="a0"/>
    <w:uiPriority w:val="37"/>
    <w:unhideWhenUsed/>
    <w:rsid w:val="001C13B2"/>
    <w:pPr>
      <w:spacing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504704">
      <w:bodyDiv w:val="1"/>
      <w:marLeft w:val="0"/>
      <w:marRight w:val="0"/>
      <w:marTop w:val="0"/>
      <w:marBottom w:val="0"/>
      <w:divBdr>
        <w:top w:val="none" w:sz="0" w:space="0" w:color="auto"/>
        <w:left w:val="none" w:sz="0" w:space="0" w:color="auto"/>
        <w:bottom w:val="none" w:sz="0" w:space="0" w:color="auto"/>
        <w:right w:val="none" w:sz="0" w:space="0" w:color="auto"/>
      </w:divBdr>
      <w:divsChild>
        <w:div w:id="1617515989">
          <w:marLeft w:val="0"/>
          <w:marRight w:val="0"/>
          <w:marTop w:val="0"/>
          <w:marBottom w:val="0"/>
          <w:divBdr>
            <w:top w:val="none" w:sz="0" w:space="0" w:color="auto"/>
            <w:left w:val="none" w:sz="0" w:space="0" w:color="auto"/>
            <w:bottom w:val="none" w:sz="0" w:space="0" w:color="auto"/>
            <w:right w:val="none" w:sz="0" w:space="0" w:color="auto"/>
          </w:divBdr>
          <w:divsChild>
            <w:div w:id="55243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5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1548</TotalTime>
  <Pages>5</Pages>
  <Words>1734</Words>
  <Characters>10555</Characters>
  <Application>Microsoft Office Word</Application>
  <DocSecurity>0</DocSecurity>
  <Lines>201</Lines>
  <Paragraphs>35</Paragraphs>
  <ScaleCrop>false</ScaleCrop>
  <Company/>
  <LinksUpToDate>false</LinksUpToDate>
  <CharactersWithSpaces>12255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Yiyan</dc:creator>
  <cp:keywords/>
  <dc:description/>
  <cp:lastModifiedBy>Sun, Yiyan</cp:lastModifiedBy>
  <cp:revision>5</cp:revision>
  <dcterms:created xsi:type="dcterms:W3CDTF">2024-04-19T01:32:00Z</dcterms:created>
  <dcterms:modified xsi:type="dcterms:W3CDTF">2024-04-20T03:22:00Z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7a4613f7-190e-4c84-ba59-b6ca39007fae</vt:lpwstr>
  </property>
  <property fmtid="{D5CDD505-2E9C-101B-9397-08002B2CF9AE}" pid="3" name="ZOTERO_PREF_1">
    <vt:lpwstr>&lt;data data-version="3" zotero-version="6.0.36"&gt;&lt;session id="V5Wihljf"/&gt;&lt;style id="http://www.zotero.org/styles/ucl-institute-of-education-harvard" hasBibliography="1" bibliographyStyleHasBeenSet="1"/&gt;&lt;prefs&gt;&lt;pref name="fieldType" value="Field"/&gt;&lt;/prefs&gt;&lt;/</vt:lpwstr>
  </property>
  <property fmtid="{D5CDD505-2E9C-101B-9397-08002B2CF9AE}" pid="4" name="ZOTERO_PREF_2">
    <vt:lpwstr>data&gt;</vt:lpwstr>
  </property>
</Properties>
</file>