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1496E" w14:textId="77777777" w:rsidR="008862C1" w:rsidRPr="00D0677E" w:rsidRDefault="00A21F75">
      <w:pPr>
        <w:pStyle w:val="Title"/>
        <w:keepNext w:val="0"/>
        <w:keepLines w:val="0"/>
        <w:spacing w:after="0"/>
        <w:rPr>
          <w:rFonts w:ascii="Times New Roman" w:eastAsia="Times New Roman" w:hAnsi="Times New Roman" w:cs="Times New Roman"/>
          <w:sz w:val="56"/>
          <w:szCs w:val="56"/>
          <w:lang w:val="en-US"/>
        </w:rPr>
      </w:pPr>
      <w:bookmarkStart w:id="0" w:name="_bvny5lr1pv0r" w:colFirst="0" w:colLast="0"/>
      <w:bookmarkEnd w:id="0"/>
      <w:r w:rsidRPr="00D0677E">
        <w:rPr>
          <w:rFonts w:ascii="Times New Roman" w:eastAsia="Times New Roman" w:hAnsi="Times New Roman" w:cs="Times New Roman"/>
          <w:sz w:val="56"/>
          <w:szCs w:val="56"/>
          <w:lang w:val="en-US"/>
        </w:rPr>
        <w:t>AM14 Assignment 1</w:t>
      </w:r>
    </w:p>
    <w:p w14:paraId="087AE8BE" w14:textId="16C126AA" w:rsidR="008862C1" w:rsidRPr="00D0677E" w:rsidRDefault="00A21F75">
      <w:pPr>
        <w:pBdr>
          <w:bottom w:val="single" w:sz="8" w:space="17" w:color="000000"/>
        </w:pBdr>
        <w:spacing w:after="640" w:line="240" w:lineRule="auto"/>
        <w:rPr>
          <w:sz w:val="15"/>
          <w:szCs w:val="15"/>
          <w:lang w:val="en-US"/>
        </w:rPr>
      </w:pPr>
      <w:r w:rsidRPr="00D0677E">
        <w:rPr>
          <w:rFonts w:ascii="Times New Roman" w:eastAsia="Times New Roman" w:hAnsi="Times New Roman" w:cs="Times New Roman"/>
          <w:sz w:val="24"/>
          <w:szCs w:val="24"/>
          <w:lang w:val="en-US"/>
        </w:rPr>
        <w:t>Group 11</w:t>
      </w:r>
      <w:r w:rsidR="00155C1A" w:rsidRPr="00D0677E">
        <w:rPr>
          <w:rFonts w:ascii="Times New Roman" w:eastAsia="Times New Roman" w:hAnsi="Times New Roman" w:cs="Times New Roman"/>
          <w:sz w:val="24"/>
          <w:szCs w:val="24"/>
          <w:lang w:val="en-US"/>
        </w:rPr>
        <w:t xml:space="preserve">: Valeria Opre, Rishabh Kaushik, </w:t>
      </w:r>
      <w:r w:rsidR="00D0677E" w:rsidRPr="00D0677E">
        <w:rPr>
          <w:rFonts w:ascii="Times New Roman" w:eastAsia="Times New Roman" w:hAnsi="Times New Roman" w:cs="Times New Roman"/>
          <w:sz w:val="24"/>
          <w:szCs w:val="24"/>
          <w:lang w:val="en-US"/>
        </w:rPr>
        <w:t>Yifan Yang</w:t>
      </w:r>
      <w:r w:rsidR="00155C1A" w:rsidRPr="00D0677E">
        <w:rPr>
          <w:rFonts w:ascii="Times New Roman" w:eastAsia="Times New Roman" w:hAnsi="Times New Roman" w:cs="Times New Roman"/>
          <w:sz w:val="24"/>
          <w:szCs w:val="24"/>
          <w:lang w:val="en-US"/>
        </w:rPr>
        <w:t>, Jiaying Chen, Nikolaos Panayotou</w:t>
      </w:r>
    </w:p>
    <w:p w14:paraId="6E3F6416" w14:textId="77777777" w:rsidR="008862C1" w:rsidRPr="00D0677E" w:rsidRDefault="00A21F75">
      <w:pPr>
        <w:pStyle w:val="Heading3"/>
        <w:ind w:firstLine="720"/>
        <w:rPr>
          <w:rFonts w:ascii="Times New Roman" w:eastAsia="Times New Roman" w:hAnsi="Times New Roman" w:cs="Times New Roman"/>
          <w:b/>
          <w:color w:val="000000"/>
          <w:sz w:val="22"/>
          <w:szCs w:val="22"/>
          <w:lang w:val="en-US"/>
        </w:rPr>
      </w:pPr>
      <w:bookmarkStart w:id="1" w:name="_qb4enlqhnsm3" w:colFirst="0" w:colLast="0"/>
      <w:bookmarkEnd w:id="1"/>
      <w:r w:rsidRPr="00D0677E">
        <w:rPr>
          <w:rFonts w:ascii="Times New Roman" w:eastAsia="Times New Roman" w:hAnsi="Times New Roman" w:cs="Times New Roman"/>
          <w:b/>
          <w:color w:val="000000"/>
          <w:sz w:val="22"/>
          <w:szCs w:val="22"/>
          <w:lang w:val="en-US"/>
        </w:rPr>
        <w:t>Q2. How do dividends affect the results of monthly returns for MSFT and GE?</w:t>
      </w:r>
    </w:p>
    <w:p w14:paraId="10EFA07F" w14:textId="77777777" w:rsidR="008862C1" w:rsidRPr="00D0677E" w:rsidRDefault="00A21F75">
      <w:pP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Including dividends makes a significant difference in the return of the stocks. Dividends appear to have a positive effect on monthly returns: in fact, the total return with dividend is higher than the total return without dividend for the analyzed period for both stocks. </w:t>
      </w:r>
    </w:p>
    <w:p w14:paraId="12216ADC" w14:textId="77777777" w:rsidR="00323D8D" w:rsidRPr="00D0677E" w:rsidRDefault="00323D8D">
      <w:pPr>
        <w:jc w:val="both"/>
        <w:rPr>
          <w:rFonts w:ascii="Times New Roman" w:eastAsia="Times New Roman" w:hAnsi="Times New Roman" w:cs="Times New Roman"/>
          <w:lang w:val="en-US"/>
        </w:rPr>
      </w:pPr>
    </w:p>
    <w:p w14:paraId="43A8C591" w14:textId="3AA8F543" w:rsidR="008862C1" w:rsidRPr="00D0677E" w:rsidRDefault="00A21F75">
      <w:pPr>
        <w:jc w:val="both"/>
        <w:rPr>
          <w:rFonts w:ascii="Times New Roman" w:eastAsia="Times New Roman" w:hAnsi="Times New Roman" w:cs="Times New Roman"/>
          <w:highlight w:val="white"/>
          <w:lang w:val="en-US"/>
        </w:rPr>
      </w:pPr>
      <w:r w:rsidRPr="00D0677E">
        <w:rPr>
          <w:rFonts w:ascii="Times New Roman" w:eastAsia="Times New Roman" w:hAnsi="Times New Roman" w:cs="Times New Roman"/>
          <w:lang w:val="en-US"/>
        </w:rPr>
        <w:t xml:space="preserve">Microsoft introduced its first dividend in 2003, and it experienced an abnormal increase in returns after that for both return with dividend and without. Microsoft has managed to increase its dividend payout by leaps and bounds ever since 2005, increasing the investor’s faith in the company’s management and business. Despite the negative impact of the financial crisis of 2008-09, the stock was able to recover: while the dividends soared since 2010, the total return of Microsoft grew dramatically, to a total return of the period of </w:t>
      </w:r>
      <w:r w:rsidRPr="00D0677E">
        <w:rPr>
          <w:rFonts w:ascii="Times New Roman" w:eastAsia="Times New Roman" w:hAnsi="Times New Roman" w:cs="Times New Roman"/>
          <w:highlight w:val="white"/>
          <w:lang w:val="en-US"/>
        </w:rPr>
        <w:t xml:space="preserve">115.05% with dividend and 73.60% without. </w:t>
      </w:r>
    </w:p>
    <w:p w14:paraId="3FE9AFD9" w14:textId="77777777" w:rsidR="00323D8D" w:rsidRPr="00D0677E" w:rsidRDefault="00323D8D">
      <w:pPr>
        <w:pBdr>
          <w:top w:val="nil"/>
          <w:left w:val="nil"/>
          <w:bottom w:val="nil"/>
          <w:right w:val="nil"/>
          <w:between w:val="nil"/>
        </w:pBdr>
        <w:jc w:val="both"/>
        <w:rPr>
          <w:rFonts w:ascii="Times New Roman" w:eastAsia="Times New Roman" w:hAnsi="Times New Roman" w:cs="Times New Roman"/>
          <w:lang w:val="en-US"/>
        </w:rPr>
      </w:pPr>
    </w:p>
    <w:p w14:paraId="4A79E332" w14:textId="270D2FA6"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For General Electric, we observe from the plot that the dividend gain was growing gradually and steadily from 1980 to 2008. As the financial crisis hit the markets, the dividend payout dropped too. </w:t>
      </w:r>
    </w:p>
    <w:p w14:paraId="410DDE4A" w14:textId="77777777"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Moreover, the company faced backlashes in 2009 after the Securities and Exchange Commission investigated the company on fraud accusations and inflated revenue. The company decided to settle for a fine of $50 Million (Forbes, Aug 4, 2009), as their yearly dividends slashed from $1.24 to $0.82. </w:t>
      </w:r>
    </w:p>
    <w:p w14:paraId="4C1590A7" w14:textId="77777777"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Dividends fell even further in 2010. The total return of GE recovered since 2010 and the dividend recovered too in 2010-2014. The total return of GE grew 9.92 % with dividends and 4.89% without dividends. </w:t>
      </w:r>
    </w:p>
    <w:p w14:paraId="725B335A" w14:textId="77777777" w:rsidR="008862C1" w:rsidRPr="00D0677E" w:rsidRDefault="008862C1">
      <w:pPr>
        <w:pBdr>
          <w:top w:val="nil"/>
          <w:left w:val="nil"/>
          <w:bottom w:val="nil"/>
          <w:right w:val="nil"/>
          <w:between w:val="nil"/>
        </w:pBdr>
        <w:jc w:val="both"/>
        <w:rPr>
          <w:rFonts w:ascii="Times New Roman" w:eastAsia="Times New Roman" w:hAnsi="Times New Roman" w:cs="Times New Roman"/>
          <w:lang w:val="en-US"/>
        </w:rPr>
      </w:pPr>
    </w:p>
    <w:p w14:paraId="2FCDF7FC" w14:textId="77777777"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The results seem to be aligning with the Dividend signaling theory, which assumes that dividend change announcements trigger share returns because they convey information about management’s assessment on firms’ future prospects (Elisabete Vieira &amp; Clara Raposo, 2007). </w:t>
      </w:r>
    </w:p>
    <w:p w14:paraId="0BAF54CB" w14:textId="352FD610"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The announcement of dividend increases makes abnormal positive returns, as can be observed in the case of MSFT in 2006 (Microsoft, 2006) and announcement of dividend decreases generate abnormal negative returns, as can be observed in the case of GE in 2009 (Forbes, </w:t>
      </w:r>
      <w:r w:rsidR="00B04E4B" w:rsidRPr="00D0677E">
        <w:rPr>
          <w:rFonts w:ascii="Times New Roman" w:eastAsia="Times New Roman" w:hAnsi="Times New Roman" w:cs="Times New Roman"/>
          <w:lang w:val="en-US"/>
        </w:rPr>
        <w:t>2009) (</w:t>
      </w:r>
      <w:r w:rsidRPr="00D0677E">
        <w:rPr>
          <w:rFonts w:ascii="Times New Roman" w:eastAsia="Times New Roman" w:hAnsi="Times New Roman" w:cs="Times New Roman"/>
          <w:lang w:val="en-US"/>
        </w:rPr>
        <w:t xml:space="preserve">Suwanna, 2012). AFrom our brief analysis it seems that the hypothesis of dividend signaling holds true, as the GE stock sharply decreased in price after the announcement of alleged financial investigations and </w:t>
      </w:r>
      <w:r w:rsidR="00B04E4B" w:rsidRPr="00D0677E">
        <w:rPr>
          <w:rFonts w:ascii="Times New Roman" w:eastAsia="Times New Roman" w:hAnsi="Times New Roman" w:cs="Times New Roman"/>
          <w:lang w:val="en-US"/>
        </w:rPr>
        <w:t>as MSFG</w:t>
      </w:r>
      <w:r w:rsidRPr="00D0677E">
        <w:rPr>
          <w:rFonts w:ascii="Times New Roman" w:eastAsia="Times New Roman" w:hAnsi="Times New Roman" w:cs="Times New Roman"/>
          <w:lang w:val="en-US"/>
        </w:rPr>
        <w:t xml:space="preserve"> stock increased in value after news on increasing dividends.</w:t>
      </w:r>
    </w:p>
    <w:p w14:paraId="6054A5D8" w14:textId="77777777" w:rsidR="008862C1" w:rsidRPr="00D0677E" w:rsidRDefault="008862C1">
      <w:pPr>
        <w:pBdr>
          <w:top w:val="nil"/>
          <w:left w:val="nil"/>
          <w:bottom w:val="nil"/>
          <w:right w:val="nil"/>
          <w:between w:val="nil"/>
        </w:pBdr>
        <w:rPr>
          <w:rFonts w:ascii="Times New Roman" w:eastAsia="Times New Roman" w:hAnsi="Times New Roman" w:cs="Times New Roman"/>
          <w:lang w:val="en-US"/>
        </w:rPr>
      </w:pPr>
    </w:p>
    <w:p w14:paraId="2A6B2EDB" w14:textId="77777777" w:rsidR="008862C1" w:rsidRPr="00D0677E" w:rsidRDefault="00A21F75" w:rsidP="00D0677E">
      <w:pPr>
        <w:ind w:firstLine="720"/>
        <w:rPr>
          <w:rFonts w:ascii="Times New Roman" w:eastAsia="Times New Roman" w:hAnsi="Times New Roman" w:cs="Times New Roman"/>
          <w:b/>
          <w:lang w:val="en-US"/>
        </w:rPr>
      </w:pPr>
      <w:r w:rsidRPr="00D0677E">
        <w:rPr>
          <w:rFonts w:ascii="Times New Roman" w:eastAsia="Times New Roman" w:hAnsi="Times New Roman" w:cs="Times New Roman"/>
          <w:b/>
          <w:lang w:val="en-US"/>
        </w:rPr>
        <w:t>Q3. Mean, variance, skewness, and kurtosis of the normal and the log returns.</w:t>
      </w:r>
    </w:p>
    <w:p w14:paraId="6CF143CC" w14:textId="77777777" w:rsidR="008862C1" w:rsidRPr="00D0677E" w:rsidRDefault="008862C1">
      <w:pPr>
        <w:rPr>
          <w:rFonts w:ascii="Times New Roman" w:eastAsia="Times New Roman" w:hAnsi="Times New Roman" w:cs="Times New Roman"/>
          <w:lang w:val="en-US"/>
        </w:rPr>
      </w:pPr>
    </w:p>
    <w:p w14:paraId="7EC2EACF" w14:textId="77777777" w:rsidR="008862C1" w:rsidRPr="00D0677E" w:rsidRDefault="00A21F75">
      <w:pPr>
        <w:rPr>
          <w:rFonts w:ascii="Times New Roman" w:eastAsia="Times New Roman" w:hAnsi="Times New Roman" w:cs="Times New Roman"/>
          <w:lang w:val="en-US"/>
        </w:rPr>
      </w:pPr>
      <w:r w:rsidRPr="00D0677E">
        <w:rPr>
          <w:rFonts w:ascii="Times New Roman" w:eastAsia="Times New Roman" w:hAnsi="Times New Roman" w:cs="Times New Roman"/>
          <w:lang w:val="en-US"/>
        </w:rPr>
        <w:t>Normal return and log return of MSFT:</w:t>
      </w:r>
    </w:p>
    <w:p w14:paraId="16B6F13A" w14:textId="7715E1EB"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The metrics about the distribution of the simple return and log return of MSFT allow us to conclude that the mean, </w:t>
      </w:r>
      <w:r w:rsidR="00B04E4B" w:rsidRPr="00D0677E">
        <w:rPr>
          <w:rFonts w:ascii="Times New Roman" w:eastAsia="Times New Roman" w:hAnsi="Times New Roman" w:cs="Times New Roman"/>
          <w:lang w:val="en-US"/>
        </w:rPr>
        <w:t>variance,</w:t>
      </w:r>
      <w:r w:rsidRPr="00D0677E">
        <w:rPr>
          <w:rFonts w:ascii="Times New Roman" w:eastAsia="Times New Roman" w:hAnsi="Times New Roman" w:cs="Times New Roman"/>
          <w:lang w:val="en-US"/>
        </w:rPr>
        <w:t xml:space="preserve"> and kurtosis of the returns are very similar while the skewness is very different for the normal and log </w:t>
      </w:r>
      <w:r w:rsidR="00B04E4B" w:rsidRPr="00D0677E">
        <w:rPr>
          <w:rFonts w:ascii="Times New Roman" w:eastAsia="Times New Roman" w:hAnsi="Times New Roman" w:cs="Times New Roman"/>
          <w:lang w:val="en-US"/>
        </w:rPr>
        <w:t>return.</w:t>
      </w:r>
      <w:r w:rsidRPr="00D0677E">
        <w:rPr>
          <w:rFonts w:ascii="Times New Roman" w:eastAsia="Times New Roman" w:hAnsi="Times New Roman" w:cs="Times New Roman"/>
          <w:lang w:val="en-US"/>
        </w:rPr>
        <w:t xml:space="preserve"> For the </w:t>
      </w:r>
      <w:r w:rsidRPr="00D0677E">
        <w:rPr>
          <w:rFonts w:ascii="Times New Roman" w:eastAsia="Times New Roman" w:hAnsi="Times New Roman" w:cs="Times New Roman"/>
          <w:i/>
          <w:lang w:val="en-US"/>
        </w:rPr>
        <w:t>simple return</w:t>
      </w:r>
      <w:r w:rsidRPr="00D0677E">
        <w:rPr>
          <w:rFonts w:ascii="Times New Roman" w:eastAsia="Times New Roman" w:hAnsi="Times New Roman" w:cs="Times New Roman"/>
          <w:lang w:val="en-US"/>
        </w:rPr>
        <w:t>, the skewness is 0.44, indicating a moderately right-skewness (positively skewed). For the log return, the skewness is -0.1, indicating a slightly left-skewed skewness closer to a normal distribution compared to simple return.</w:t>
      </w:r>
    </w:p>
    <w:p w14:paraId="0350F273" w14:textId="77777777" w:rsidR="008862C1" w:rsidRPr="00D0677E" w:rsidRDefault="00A21F75">
      <w:pPr>
        <w:pBdr>
          <w:top w:val="nil"/>
          <w:left w:val="nil"/>
          <w:bottom w:val="nil"/>
          <w:right w:val="nil"/>
          <w:between w:val="nil"/>
        </w:pBd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lastRenderedPageBreak/>
        <w:t xml:space="preserve">The business implications are the following: contrary to </w:t>
      </w:r>
      <w:r w:rsidRPr="00D0677E">
        <w:rPr>
          <w:rFonts w:ascii="Times New Roman" w:eastAsia="Times New Roman" w:hAnsi="Times New Roman" w:cs="Times New Roman"/>
          <w:i/>
          <w:lang w:val="en-US"/>
        </w:rPr>
        <w:t>log returns</w:t>
      </w:r>
      <w:r w:rsidRPr="00D0677E">
        <w:rPr>
          <w:rFonts w:ascii="Times New Roman" w:eastAsia="Times New Roman" w:hAnsi="Times New Roman" w:cs="Times New Roman"/>
          <w:lang w:val="en-US"/>
        </w:rPr>
        <w:t xml:space="preserve">, for </w:t>
      </w:r>
      <w:r w:rsidRPr="00D0677E">
        <w:rPr>
          <w:rFonts w:ascii="Times New Roman" w:eastAsia="Times New Roman" w:hAnsi="Times New Roman" w:cs="Times New Roman"/>
          <w:i/>
          <w:lang w:val="en-US"/>
        </w:rPr>
        <w:t>simple returns</w:t>
      </w:r>
      <w:r w:rsidRPr="00D0677E">
        <w:rPr>
          <w:rFonts w:ascii="Times New Roman" w:eastAsia="Times New Roman" w:hAnsi="Times New Roman" w:cs="Times New Roman"/>
          <w:lang w:val="en-US"/>
        </w:rPr>
        <w:t>, the distribution indicates that investors might experience frequent small losses and a few large gains from the investment (Corporate Finance Institute, 2022). Kurtosis of the distribution of returns is over 5 (very high) for both variables. This indicates that the distribution of monthly return (either simple or log) of MSFT is more peaked than normal distribution and possesses thick tails.</w:t>
      </w:r>
    </w:p>
    <w:p w14:paraId="5371D7FA" w14:textId="77777777" w:rsidR="008862C1" w:rsidRPr="00D0677E" w:rsidRDefault="008862C1">
      <w:pPr>
        <w:rPr>
          <w:rFonts w:ascii="Times New Roman" w:eastAsia="Times New Roman" w:hAnsi="Times New Roman" w:cs="Times New Roman"/>
          <w:lang w:val="en-US"/>
        </w:rPr>
      </w:pPr>
    </w:p>
    <w:p w14:paraId="5177867C" w14:textId="77777777" w:rsidR="008862C1" w:rsidRPr="00D0677E" w:rsidRDefault="00A21F75" w:rsidP="00B04E4B">
      <w:pPr>
        <w:ind w:firstLine="720"/>
        <w:rPr>
          <w:rFonts w:ascii="Times New Roman" w:eastAsia="Times New Roman" w:hAnsi="Times New Roman" w:cs="Times New Roman"/>
          <w:lang w:val="en-US"/>
        </w:rPr>
      </w:pPr>
      <w:r w:rsidRPr="00D0677E">
        <w:rPr>
          <w:rFonts w:ascii="Times New Roman" w:eastAsia="Times New Roman" w:hAnsi="Times New Roman" w:cs="Times New Roman"/>
          <w:b/>
          <w:lang w:val="en-US"/>
        </w:rPr>
        <w:t>Q5. Comparing daily to monthly returns for MSFT and GE.</w:t>
      </w:r>
    </w:p>
    <w:p w14:paraId="716F2CC5" w14:textId="77777777" w:rsidR="008862C1" w:rsidRPr="00D0677E" w:rsidRDefault="008862C1">
      <w:pPr>
        <w:rPr>
          <w:rFonts w:ascii="Times New Roman" w:eastAsia="Times New Roman" w:hAnsi="Times New Roman" w:cs="Times New Roman"/>
          <w:lang w:val="en-US"/>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2505"/>
      </w:tblGrid>
      <w:tr w:rsidR="008862C1" w:rsidRPr="00D0677E" w14:paraId="20496708" w14:textId="77777777" w:rsidTr="00D0677E">
        <w:tc>
          <w:tcPr>
            <w:tcW w:w="6495" w:type="dxa"/>
            <w:tcBorders>
              <w:top w:val="nil"/>
              <w:left w:val="nil"/>
              <w:bottom w:val="nil"/>
              <w:right w:val="nil"/>
            </w:tcBorders>
            <w:shd w:val="clear" w:color="auto" w:fill="auto"/>
            <w:tcMar>
              <w:top w:w="100" w:type="dxa"/>
              <w:left w:w="100" w:type="dxa"/>
              <w:bottom w:w="100" w:type="dxa"/>
              <w:right w:w="100" w:type="dxa"/>
            </w:tcMar>
          </w:tcPr>
          <w:p w14:paraId="511566B8" w14:textId="77777777" w:rsidR="008862C1" w:rsidRDefault="00A21F75">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476B57" wp14:editId="41ED8ED2">
                  <wp:extent cx="3531246" cy="279478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531246" cy="2794783"/>
                          </a:xfrm>
                          <a:prstGeom prst="rect">
                            <a:avLst/>
                          </a:prstGeom>
                          <a:ln/>
                        </pic:spPr>
                      </pic:pic>
                    </a:graphicData>
                  </a:graphic>
                </wp:inline>
              </w:drawing>
            </w:r>
          </w:p>
        </w:tc>
        <w:tc>
          <w:tcPr>
            <w:tcW w:w="2505" w:type="dxa"/>
            <w:tcBorders>
              <w:top w:val="nil"/>
              <w:left w:val="nil"/>
              <w:bottom w:val="nil"/>
              <w:right w:val="nil"/>
            </w:tcBorders>
            <w:shd w:val="clear" w:color="auto" w:fill="auto"/>
            <w:tcMar>
              <w:top w:w="100" w:type="dxa"/>
              <w:left w:w="100" w:type="dxa"/>
              <w:bottom w:w="100" w:type="dxa"/>
              <w:right w:w="100" w:type="dxa"/>
            </w:tcMar>
          </w:tcPr>
          <w:p w14:paraId="3D128313" w14:textId="77777777" w:rsidR="008862C1" w:rsidRPr="00D0677E" w:rsidRDefault="00A21F75">
            <w:pPr>
              <w:rPr>
                <w:rFonts w:ascii="Times New Roman" w:eastAsia="Times New Roman" w:hAnsi="Times New Roman" w:cs="Times New Roman"/>
                <w:lang w:val="en-US"/>
              </w:rPr>
            </w:pPr>
            <w:r w:rsidRPr="00D0677E">
              <w:rPr>
                <w:rFonts w:ascii="Times New Roman" w:eastAsia="Times New Roman" w:hAnsi="Times New Roman" w:cs="Times New Roman"/>
                <w:lang w:val="en-US"/>
              </w:rPr>
              <w:t>The difference identified is that the monthly data is smoother while daily data has more volatility, as can be seen in the graph on the left. Departures from normality are much more severe for higher frequencies (daily) as they contain more noise compared to low frequencies (longer periods).</w:t>
            </w:r>
          </w:p>
          <w:p w14:paraId="0A3B4EC4" w14:textId="77777777" w:rsidR="008862C1" w:rsidRPr="00D0677E" w:rsidRDefault="008862C1">
            <w:pPr>
              <w:widowControl w:val="0"/>
              <w:pBdr>
                <w:top w:val="nil"/>
                <w:left w:val="nil"/>
                <w:bottom w:val="nil"/>
                <w:right w:val="nil"/>
                <w:between w:val="nil"/>
              </w:pBdr>
              <w:spacing w:line="240" w:lineRule="auto"/>
              <w:rPr>
                <w:rFonts w:ascii="Times New Roman" w:eastAsia="Times New Roman" w:hAnsi="Times New Roman" w:cs="Times New Roman"/>
                <w:lang w:val="en-US"/>
              </w:rPr>
            </w:pPr>
          </w:p>
        </w:tc>
      </w:tr>
    </w:tbl>
    <w:p w14:paraId="3B026FBB" w14:textId="77777777" w:rsidR="008862C1" w:rsidRPr="00D0677E" w:rsidRDefault="008862C1">
      <w:pPr>
        <w:rPr>
          <w:rFonts w:ascii="Times New Roman" w:eastAsia="Times New Roman" w:hAnsi="Times New Roman" w:cs="Times New Roman"/>
          <w:lang w:val="en-US"/>
        </w:rPr>
      </w:pPr>
    </w:p>
    <w:p w14:paraId="38BD512C" w14:textId="77777777" w:rsidR="00B04E4B" w:rsidRPr="00B04E4B" w:rsidRDefault="00A21F75" w:rsidP="00B04E4B">
      <w:pPr>
        <w:pBdr>
          <w:top w:val="nil"/>
          <w:left w:val="nil"/>
          <w:bottom w:val="nil"/>
          <w:right w:val="nil"/>
          <w:between w:val="nil"/>
        </w:pBdr>
        <w:ind w:firstLine="720"/>
        <w:rPr>
          <w:rFonts w:ascii="Times New Roman" w:eastAsia="Times New Roman" w:hAnsi="Times New Roman" w:cs="Times New Roman"/>
          <w:b/>
          <w:lang w:val="en-GB"/>
        </w:rPr>
      </w:pPr>
      <w:r w:rsidRPr="00D0677E">
        <w:rPr>
          <w:rFonts w:ascii="Times New Roman" w:eastAsia="Times New Roman" w:hAnsi="Times New Roman" w:cs="Times New Roman"/>
          <w:b/>
          <w:lang w:val="en-US"/>
        </w:rPr>
        <w:t>Q6. Log daily and monthly returns</w:t>
      </w:r>
      <w:r w:rsidR="00B04E4B">
        <w:rPr>
          <w:rFonts w:ascii="Times New Roman" w:eastAsia="Times New Roman" w:hAnsi="Times New Roman" w:cs="Times New Roman"/>
          <w:b/>
          <w:lang w:val="en-US"/>
        </w:rPr>
        <w:t xml:space="preserve">. </w:t>
      </w:r>
      <w:r w:rsidR="00B04E4B" w:rsidRPr="00B04E4B">
        <w:rPr>
          <w:rFonts w:ascii="Times New Roman" w:eastAsia="Times New Roman" w:hAnsi="Times New Roman" w:cs="Times New Roman"/>
          <w:b/>
          <w:lang w:val="en-GB"/>
        </w:rPr>
        <w:t>Compare and discuss your results with</w:t>
      </w:r>
    </w:p>
    <w:p w14:paraId="678519E5" w14:textId="51DFC86B" w:rsidR="008862C1" w:rsidRPr="00D0677E" w:rsidRDefault="00B04E4B" w:rsidP="00B04E4B">
      <w:pPr>
        <w:pBdr>
          <w:top w:val="nil"/>
          <w:left w:val="nil"/>
          <w:bottom w:val="nil"/>
          <w:right w:val="nil"/>
          <w:between w:val="nil"/>
        </w:pBdr>
        <w:ind w:firstLine="720"/>
        <w:rPr>
          <w:rFonts w:ascii="Times New Roman" w:eastAsia="Times New Roman" w:hAnsi="Times New Roman" w:cs="Times New Roman"/>
          <w:b/>
          <w:lang w:val="en-US"/>
        </w:rPr>
      </w:pPr>
      <w:r w:rsidRPr="00B04E4B">
        <w:rPr>
          <w:rFonts w:ascii="Times New Roman" w:eastAsia="Times New Roman" w:hAnsi="Times New Roman" w:cs="Times New Roman"/>
          <w:b/>
          <w:lang w:val="en-GB"/>
        </w:rPr>
        <w:t>the results from monthly frequency.</w:t>
      </w:r>
    </w:p>
    <w:p w14:paraId="783F5289" w14:textId="77777777" w:rsidR="008862C1" w:rsidRPr="00D0677E" w:rsidRDefault="008862C1">
      <w:pPr>
        <w:pBdr>
          <w:top w:val="nil"/>
          <w:left w:val="nil"/>
          <w:bottom w:val="nil"/>
          <w:right w:val="nil"/>
          <w:between w:val="nil"/>
        </w:pBdr>
        <w:rPr>
          <w:rFonts w:ascii="Times New Roman" w:eastAsia="Times New Roman" w:hAnsi="Times New Roman" w:cs="Times New Roman"/>
          <w:b/>
          <w:lang w:val="en-US"/>
        </w:rPr>
      </w:pP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665"/>
        <w:gridCol w:w="1745"/>
        <w:gridCol w:w="1760"/>
        <w:gridCol w:w="1627"/>
        <w:gridCol w:w="1228"/>
      </w:tblGrid>
      <w:tr w:rsidR="008862C1" w14:paraId="39D7E66B" w14:textId="77777777">
        <w:trPr>
          <w:trHeight w:val="420"/>
        </w:trPr>
        <w:tc>
          <w:tcPr>
            <w:tcW w:w="2663" w:type="dxa"/>
            <w:tcBorders>
              <w:top w:val="nil"/>
              <w:left w:val="nil"/>
              <w:bottom w:val="single" w:sz="7" w:space="0" w:color="000000"/>
              <w:right w:val="nil"/>
            </w:tcBorders>
            <w:tcMar>
              <w:top w:w="0" w:type="dxa"/>
              <w:left w:w="100" w:type="dxa"/>
              <w:bottom w:w="40" w:type="dxa"/>
              <w:right w:w="100" w:type="dxa"/>
            </w:tcMar>
          </w:tcPr>
          <w:p w14:paraId="304E44A3" w14:textId="77777777" w:rsidR="008862C1" w:rsidRDefault="00A21F75">
            <w:pPr>
              <w:rPr>
                <w:rFonts w:ascii="Verdana" w:eastAsia="Verdana" w:hAnsi="Verdana" w:cs="Verdana"/>
                <w:sz w:val="17"/>
                <w:szCs w:val="17"/>
              </w:rPr>
            </w:pPr>
            <w:r>
              <w:rPr>
                <w:rFonts w:ascii="Verdana" w:eastAsia="Verdana" w:hAnsi="Verdana" w:cs="Verdana"/>
                <w:b/>
                <w:sz w:val="18"/>
                <w:szCs w:val="18"/>
              </w:rPr>
              <w:t>TICKER</w:t>
            </w:r>
          </w:p>
        </w:tc>
        <w:tc>
          <w:tcPr>
            <w:tcW w:w="1745" w:type="dxa"/>
            <w:tcBorders>
              <w:top w:val="nil"/>
              <w:left w:val="nil"/>
              <w:bottom w:val="single" w:sz="7" w:space="0" w:color="000000"/>
              <w:right w:val="nil"/>
            </w:tcBorders>
            <w:tcMar>
              <w:top w:w="0" w:type="dxa"/>
              <w:left w:w="100" w:type="dxa"/>
              <w:bottom w:w="40" w:type="dxa"/>
              <w:right w:w="100" w:type="dxa"/>
            </w:tcMar>
          </w:tcPr>
          <w:p w14:paraId="45ABE639" w14:textId="77777777" w:rsidR="008862C1" w:rsidRDefault="00A21F75">
            <w:pPr>
              <w:jc w:val="right"/>
              <w:rPr>
                <w:rFonts w:ascii="Verdana" w:eastAsia="Verdana" w:hAnsi="Verdana" w:cs="Verdana"/>
                <w:sz w:val="17"/>
                <w:szCs w:val="17"/>
              </w:rPr>
            </w:pPr>
            <w:r>
              <w:rPr>
                <w:rFonts w:ascii="Verdana" w:eastAsia="Verdana" w:hAnsi="Verdana" w:cs="Verdana"/>
                <w:b/>
                <w:sz w:val="18"/>
                <w:szCs w:val="18"/>
              </w:rPr>
              <w:t>mean</w:t>
            </w:r>
          </w:p>
        </w:tc>
        <w:tc>
          <w:tcPr>
            <w:tcW w:w="1760" w:type="dxa"/>
            <w:tcBorders>
              <w:top w:val="nil"/>
              <w:left w:val="nil"/>
              <w:bottom w:val="single" w:sz="7" w:space="0" w:color="000000"/>
              <w:right w:val="nil"/>
            </w:tcBorders>
            <w:tcMar>
              <w:top w:w="0" w:type="dxa"/>
              <w:left w:w="100" w:type="dxa"/>
              <w:bottom w:w="40" w:type="dxa"/>
              <w:right w:w="100" w:type="dxa"/>
            </w:tcMar>
          </w:tcPr>
          <w:p w14:paraId="6EABFDB5" w14:textId="77777777" w:rsidR="008862C1" w:rsidRDefault="00A21F75">
            <w:pPr>
              <w:jc w:val="right"/>
              <w:rPr>
                <w:rFonts w:ascii="Verdana" w:eastAsia="Verdana" w:hAnsi="Verdana" w:cs="Verdana"/>
                <w:sz w:val="17"/>
                <w:szCs w:val="17"/>
              </w:rPr>
            </w:pPr>
            <w:r>
              <w:rPr>
                <w:rFonts w:ascii="Verdana" w:eastAsia="Verdana" w:hAnsi="Verdana" w:cs="Verdana"/>
                <w:b/>
                <w:sz w:val="18"/>
                <w:szCs w:val="18"/>
              </w:rPr>
              <w:t>variance</w:t>
            </w:r>
          </w:p>
        </w:tc>
        <w:tc>
          <w:tcPr>
            <w:tcW w:w="1627" w:type="dxa"/>
            <w:tcBorders>
              <w:top w:val="nil"/>
              <w:left w:val="nil"/>
              <w:bottom w:val="single" w:sz="7" w:space="0" w:color="000000"/>
              <w:right w:val="nil"/>
            </w:tcBorders>
            <w:tcMar>
              <w:top w:w="0" w:type="dxa"/>
              <w:left w:w="100" w:type="dxa"/>
              <w:bottom w:w="40" w:type="dxa"/>
              <w:right w:w="100" w:type="dxa"/>
            </w:tcMar>
          </w:tcPr>
          <w:p w14:paraId="57310343" w14:textId="77777777" w:rsidR="008862C1" w:rsidRDefault="00A21F75">
            <w:pPr>
              <w:jc w:val="right"/>
              <w:rPr>
                <w:rFonts w:ascii="Verdana" w:eastAsia="Verdana" w:hAnsi="Verdana" w:cs="Verdana"/>
                <w:sz w:val="17"/>
                <w:szCs w:val="17"/>
              </w:rPr>
            </w:pPr>
            <w:r>
              <w:rPr>
                <w:rFonts w:ascii="Verdana" w:eastAsia="Verdana" w:hAnsi="Verdana" w:cs="Verdana"/>
                <w:b/>
                <w:sz w:val="18"/>
                <w:szCs w:val="18"/>
              </w:rPr>
              <w:t>skewness</w:t>
            </w:r>
          </w:p>
        </w:tc>
        <w:tc>
          <w:tcPr>
            <w:tcW w:w="1228" w:type="dxa"/>
            <w:tcBorders>
              <w:top w:val="nil"/>
              <w:left w:val="nil"/>
              <w:bottom w:val="single" w:sz="7" w:space="0" w:color="000000"/>
              <w:right w:val="nil"/>
            </w:tcBorders>
            <w:tcMar>
              <w:top w:w="0" w:type="dxa"/>
              <w:left w:w="100" w:type="dxa"/>
              <w:bottom w:w="40" w:type="dxa"/>
              <w:right w:w="100" w:type="dxa"/>
            </w:tcMar>
          </w:tcPr>
          <w:p w14:paraId="0E56FA95" w14:textId="77777777" w:rsidR="008862C1" w:rsidRDefault="00A21F75">
            <w:pPr>
              <w:jc w:val="right"/>
              <w:rPr>
                <w:rFonts w:ascii="Verdana" w:eastAsia="Verdana" w:hAnsi="Verdana" w:cs="Verdana"/>
                <w:sz w:val="17"/>
                <w:szCs w:val="17"/>
              </w:rPr>
            </w:pPr>
            <w:r>
              <w:rPr>
                <w:rFonts w:ascii="Verdana" w:eastAsia="Verdana" w:hAnsi="Verdana" w:cs="Verdana"/>
                <w:b/>
                <w:sz w:val="18"/>
                <w:szCs w:val="18"/>
              </w:rPr>
              <w:t>kurtosis</w:t>
            </w:r>
          </w:p>
        </w:tc>
      </w:tr>
      <w:tr w:rsidR="008862C1" w14:paraId="7B1E5288" w14:textId="77777777">
        <w:trPr>
          <w:trHeight w:val="315"/>
        </w:trPr>
        <w:tc>
          <w:tcPr>
            <w:tcW w:w="2663" w:type="dxa"/>
            <w:tcBorders>
              <w:top w:val="nil"/>
              <w:left w:val="nil"/>
              <w:bottom w:val="nil"/>
              <w:right w:val="nil"/>
            </w:tcBorders>
            <w:tcMar>
              <w:top w:w="40" w:type="dxa"/>
              <w:left w:w="100" w:type="dxa"/>
              <w:bottom w:w="40" w:type="dxa"/>
              <w:right w:w="100" w:type="dxa"/>
            </w:tcMar>
          </w:tcPr>
          <w:p w14:paraId="2AAF6ADE" w14:textId="77777777" w:rsidR="008862C1" w:rsidRDefault="00A21F75">
            <w:pPr>
              <w:spacing w:line="348" w:lineRule="auto"/>
              <w:rPr>
                <w:rFonts w:ascii="Verdana" w:eastAsia="Verdana" w:hAnsi="Verdana" w:cs="Verdana"/>
                <w:b/>
                <w:sz w:val="18"/>
                <w:szCs w:val="18"/>
              </w:rPr>
            </w:pPr>
            <w:r>
              <w:rPr>
                <w:rFonts w:ascii="Verdana" w:eastAsia="Verdana" w:hAnsi="Verdana" w:cs="Verdana"/>
                <w:b/>
                <w:sz w:val="18"/>
                <w:szCs w:val="18"/>
              </w:rPr>
              <w:t>MSFT daily log r</w:t>
            </w:r>
          </w:p>
        </w:tc>
        <w:tc>
          <w:tcPr>
            <w:tcW w:w="1745" w:type="dxa"/>
            <w:tcBorders>
              <w:top w:val="nil"/>
              <w:left w:val="nil"/>
              <w:bottom w:val="nil"/>
              <w:right w:val="nil"/>
            </w:tcBorders>
            <w:tcMar>
              <w:top w:w="40" w:type="dxa"/>
              <w:left w:w="100" w:type="dxa"/>
              <w:bottom w:w="40" w:type="dxa"/>
              <w:right w:w="100" w:type="dxa"/>
            </w:tcMar>
          </w:tcPr>
          <w:p w14:paraId="26A391E1"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0.0007416798</w:t>
            </w:r>
          </w:p>
        </w:tc>
        <w:tc>
          <w:tcPr>
            <w:tcW w:w="1760" w:type="dxa"/>
            <w:tcBorders>
              <w:top w:val="nil"/>
              <w:left w:val="nil"/>
              <w:bottom w:val="nil"/>
              <w:right w:val="nil"/>
            </w:tcBorders>
            <w:tcMar>
              <w:top w:w="40" w:type="dxa"/>
              <w:left w:w="100" w:type="dxa"/>
              <w:bottom w:w="40" w:type="dxa"/>
              <w:right w:w="100" w:type="dxa"/>
            </w:tcMar>
          </w:tcPr>
          <w:p w14:paraId="6C20264C"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0.0004311239</w:t>
            </w:r>
          </w:p>
        </w:tc>
        <w:tc>
          <w:tcPr>
            <w:tcW w:w="1627" w:type="dxa"/>
            <w:tcBorders>
              <w:top w:val="nil"/>
              <w:left w:val="nil"/>
              <w:bottom w:val="nil"/>
              <w:right w:val="nil"/>
            </w:tcBorders>
            <w:tcMar>
              <w:top w:w="40" w:type="dxa"/>
              <w:left w:w="100" w:type="dxa"/>
              <w:bottom w:w="40" w:type="dxa"/>
              <w:right w:w="100" w:type="dxa"/>
            </w:tcMar>
          </w:tcPr>
          <w:p w14:paraId="286A2F57"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0.01351621</w:t>
            </w:r>
          </w:p>
        </w:tc>
        <w:tc>
          <w:tcPr>
            <w:tcW w:w="1228" w:type="dxa"/>
            <w:tcBorders>
              <w:top w:val="nil"/>
              <w:left w:val="nil"/>
              <w:bottom w:val="nil"/>
              <w:right w:val="nil"/>
            </w:tcBorders>
            <w:tcMar>
              <w:top w:w="40" w:type="dxa"/>
              <w:left w:w="100" w:type="dxa"/>
              <w:bottom w:w="40" w:type="dxa"/>
              <w:right w:w="100" w:type="dxa"/>
            </w:tcMar>
          </w:tcPr>
          <w:p w14:paraId="0CA6EEA8"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8.571720</w:t>
            </w:r>
          </w:p>
        </w:tc>
      </w:tr>
      <w:tr w:rsidR="008862C1" w14:paraId="6CF22A1F" w14:textId="77777777">
        <w:trPr>
          <w:trHeight w:val="315"/>
        </w:trPr>
        <w:tc>
          <w:tcPr>
            <w:tcW w:w="2663" w:type="dxa"/>
            <w:tcBorders>
              <w:top w:val="nil"/>
              <w:left w:val="nil"/>
              <w:bottom w:val="nil"/>
              <w:right w:val="nil"/>
            </w:tcBorders>
            <w:tcMar>
              <w:top w:w="40" w:type="dxa"/>
              <w:left w:w="100" w:type="dxa"/>
              <w:bottom w:w="40" w:type="dxa"/>
              <w:right w:w="100" w:type="dxa"/>
            </w:tcMar>
          </w:tcPr>
          <w:p w14:paraId="555131C0" w14:textId="77777777" w:rsidR="008862C1" w:rsidRDefault="00A21F75">
            <w:pPr>
              <w:spacing w:line="348" w:lineRule="auto"/>
              <w:rPr>
                <w:rFonts w:ascii="Verdana" w:eastAsia="Verdana" w:hAnsi="Verdana" w:cs="Verdana"/>
                <w:b/>
                <w:sz w:val="18"/>
                <w:szCs w:val="18"/>
              </w:rPr>
            </w:pPr>
            <w:r>
              <w:rPr>
                <w:rFonts w:ascii="Verdana" w:eastAsia="Verdana" w:hAnsi="Verdana" w:cs="Verdana"/>
                <w:b/>
                <w:sz w:val="18"/>
                <w:szCs w:val="18"/>
              </w:rPr>
              <w:t>MSFT daily simple r</w:t>
            </w:r>
          </w:p>
        </w:tc>
        <w:tc>
          <w:tcPr>
            <w:tcW w:w="1745" w:type="dxa"/>
            <w:tcBorders>
              <w:top w:val="nil"/>
              <w:left w:val="nil"/>
              <w:bottom w:val="nil"/>
              <w:right w:val="nil"/>
            </w:tcBorders>
            <w:tcMar>
              <w:top w:w="40" w:type="dxa"/>
              <w:left w:w="100" w:type="dxa"/>
              <w:bottom w:w="40" w:type="dxa"/>
              <w:right w:w="100" w:type="dxa"/>
            </w:tcMar>
          </w:tcPr>
          <w:p w14:paraId="26EE86D1"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0.0009577292</w:t>
            </w:r>
          </w:p>
        </w:tc>
        <w:tc>
          <w:tcPr>
            <w:tcW w:w="1760" w:type="dxa"/>
            <w:tcBorders>
              <w:top w:val="nil"/>
              <w:left w:val="nil"/>
              <w:bottom w:val="nil"/>
              <w:right w:val="nil"/>
            </w:tcBorders>
            <w:tcMar>
              <w:top w:w="40" w:type="dxa"/>
              <w:left w:w="100" w:type="dxa"/>
              <w:bottom w:w="40" w:type="dxa"/>
              <w:right w:w="100" w:type="dxa"/>
            </w:tcMar>
          </w:tcPr>
          <w:p w14:paraId="27B6C144"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0.0004327714</w:t>
            </w:r>
          </w:p>
        </w:tc>
        <w:tc>
          <w:tcPr>
            <w:tcW w:w="1627" w:type="dxa"/>
            <w:tcBorders>
              <w:top w:val="nil"/>
              <w:left w:val="nil"/>
              <w:bottom w:val="nil"/>
              <w:right w:val="nil"/>
            </w:tcBorders>
            <w:tcMar>
              <w:top w:w="40" w:type="dxa"/>
              <w:left w:w="100" w:type="dxa"/>
              <w:bottom w:w="40" w:type="dxa"/>
              <w:right w:w="100" w:type="dxa"/>
            </w:tcMar>
          </w:tcPr>
          <w:p w14:paraId="2921102B"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0.25041363</w:t>
            </w:r>
          </w:p>
        </w:tc>
        <w:tc>
          <w:tcPr>
            <w:tcW w:w="1228" w:type="dxa"/>
            <w:tcBorders>
              <w:top w:val="nil"/>
              <w:left w:val="nil"/>
              <w:bottom w:val="nil"/>
              <w:right w:val="nil"/>
            </w:tcBorders>
            <w:tcMar>
              <w:top w:w="40" w:type="dxa"/>
              <w:left w:w="100" w:type="dxa"/>
              <w:bottom w:w="40" w:type="dxa"/>
              <w:right w:w="100" w:type="dxa"/>
            </w:tcMar>
          </w:tcPr>
          <w:p w14:paraId="7475F984"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8.797435</w:t>
            </w:r>
          </w:p>
        </w:tc>
      </w:tr>
      <w:tr w:rsidR="008862C1" w14:paraId="7763F431" w14:textId="77777777">
        <w:trPr>
          <w:trHeight w:val="315"/>
        </w:trPr>
        <w:tc>
          <w:tcPr>
            <w:tcW w:w="2663" w:type="dxa"/>
            <w:tcBorders>
              <w:top w:val="nil"/>
              <w:left w:val="nil"/>
              <w:bottom w:val="nil"/>
              <w:right w:val="nil"/>
            </w:tcBorders>
            <w:tcMar>
              <w:top w:w="40" w:type="dxa"/>
              <w:left w:w="100" w:type="dxa"/>
              <w:bottom w:w="40" w:type="dxa"/>
              <w:right w:w="100" w:type="dxa"/>
            </w:tcMar>
          </w:tcPr>
          <w:p w14:paraId="2146DA21" w14:textId="77777777" w:rsidR="008862C1" w:rsidRDefault="00A21F75">
            <w:pPr>
              <w:spacing w:line="348" w:lineRule="auto"/>
              <w:rPr>
                <w:rFonts w:ascii="Verdana" w:eastAsia="Verdana" w:hAnsi="Verdana" w:cs="Verdana"/>
                <w:b/>
                <w:sz w:val="18"/>
                <w:szCs w:val="18"/>
              </w:rPr>
            </w:pPr>
            <w:r>
              <w:rPr>
                <w:rFonts w:ascii="Verdana" w:eastAsia="Verdana" w:hAnsi="Verdana" w:cs="Verdana"/>
                <w:b/>
                <w:sz w:val="18"/>
                <w:szCs w:val="18"/>
              </w:rPr>
              <w:t>MSFT monthly log r</w:t>
            </w:r>
          </w:p>
        </w:tc>
        <w:tc>
          <w:tcPr>
            <w:tcW w:w="1745" w:type="dxa"/>
            <w:tcBorders>
              <w:top w:val="nil"/>
              <w:left w:val="nil"/>
              <w:bottom w:val="nil"/>
              <w:right w:val="nil"/>
            </w:tcBorders>
            <w:tcMar>
              <w:top w:w="40" w:type="dxa"/>
              <w:left w:w="100" w:type="dxa"/>
              <w:bottom w:w="40" w:type="dxa"/>
              <w:right w:w="100" w:type="dxa"/>
            </w:tcMar>
          </w:tcPr>
          <w:p w14:paraId="362AE900"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0.0156613852</w:t>
            </w:r>
          </w:p>
        </w:tc>
        <w:tc>
          <w:tcPr>
            <w:tcW w:w="1760" w:type="dxa"/>
            <w:tcBorders>
              <w:top w:val="nil"/>
              <w:left w:val="nil"/>
              <w:bottom w:val="nil"/>
              <w:right w:val="nil"/>
            </w:tcBorders>
            <w:tcMar>
              <w:top w:w="40" w:type="dxa"/>
              <w:left w:w="100" w:type="dxa"/>
              <w:bottom w:w="40" w:type="dxa"/>
              <w:right w:w="100" w:type="dxa"/>
            </w:tcMar>
          </w:tcPr>
          <w:p w14:paraId="273963A4"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0.0082815803</w:t>
            </w:r>
          </w:p>
        </w:tc>
        <w:tc>
          <w:tcPr>
            <w:tcW w:w="1627" w:type="dxa"/>
            <w:tcBorders>
              <w:top w:val="nil"/>
              <w:left w:val="nil"/>
              <w:bottom w:val="nil"/>
              <w:right w:val="nil"/>
            </w:tcBorders>
            <w:tcMar>
              <w:top w:w="40" w:type="dxa"/>
              <w:left w:w="100" w:type="dxa"/>
              <w:bottom w:w="40" w:type="dxa"/>
              <w:right w:w="100" w:type="dxa"/>
            </w:tcMar>
          </w:tcPr>
          <w:p w14:paraId="5FB05EB9"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-0.10188160</w:t>
            </w:r>
          </w:p>
        </w:tc>
        <w:tc>
          <w:tcPr>
            <w:tcW w:w="1228" w:type="dxa"/>
            <w:tcBorders>
              <w:top w:val="nil"/>
              <w:left w:val="nil"/>
              <w:bottom w:val="nil"/>
              <w:right w:val="nil"/>
            </w:tcBorders>
            <w:tcMar>
              <w:top w:w="40" w:type="dxa"/>
              <w:left w:w="100" w:type="dxa"/>
              <w:bottom w:w="40" w:type="dxa"/>
              <w:right w:w="100" w:type="dxa"/>
            </w:tcMar>
          </w:tcPr>
          <w:p w14:paraId="0C2EB860"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5.260510</w:t>
            </w:r>
          </w:p>
        </w:tc>
      </w:tr>
      <w:tr w:rsidR="008862C1" w14:paraId="1355DAF5" w14:textId="77777777">
        <w:trPr>
          <w:trHeight w:val="315"/>
        </w:trPr>
        <w:tc>
          <w:tcPr>
            <w:tcW w:w="2663" w:type="dxa"/>
            <w:tcBorders>
              <w:top w:val="nil"/>
              <w:left w:val="nil"/>
              <w:bottom w:val="nil"/>
              <w:right w:val="nil"/>
            </w:tcBorders>
            <w:tcMar>
              <w:top w:w="40" w:type="dxa"/>
              <w:left w:w="100" w:type="dxa"/>
              <w:bottom w:w="40" w:type="dxa"/>
              <w:right w:w="100" w:type="dxa"/>
            </w:tcMar>
          </w:tcPr>
          <w:p w14:paraId="509BFA47" w14:textId="77777777" w:rsidR="008862C1" w:rsidRDefault="00A21F75">
            <w:pPr>
              <w:spacing w:line="348" w:lineRule="auto"/>
              <w:rPr>
                <w:rFonts w:ascii="Verdana" w:eastAsia="Verdana" w:hAnsi="Verdana" w:cs="Verdana"/>
                <w:b/>
                <w:sz w:val="18"/>
                <w:szCs w:val="18"/>
              </w:rPr>
            </w:pPr>
            <w:r>
              <w:rPr>
                <w:rFonts w:ascii="Verdana" w:eastAsia="Verdana" w:hAnsi="Verdana" w:cs="Verdana"/>
                <w:b/>
                <w:sz w:val="18"/>
                <w:szCs w:val="18"/>
              </w:rPr>
              <w:t>MSFT monthly simple r</w:t>
            </w:r>
          </w:p>
        </w:tc>
        <w:tc>
          <w:tcPr>
            <w:tcW w:w="1745" w:type="dxa"/>
            <w:tcBorders>
              <w:top w:val="nil"/>
              <w:left w:val="nil"/>
              <w:bottom w:val="nil"/>
              <w:right w:val="nil"/>
            </w:tcBorders>
            <w:tcMar>
              <w:top w:w="40" w:type="dxa"/>
              <w:left w:w="100" w:type="dxa"/>
              <w:bottom w:w="40" w:type="dxa"/>
              <w:right w:w="100" w:type="dxa"/>
            </w:tcMar>
          </w:tcPr>
          <w:p w14:paraId="0ADD6703"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0.0199789340</w:t>
            </w:r>
          </w:p>
        </w:tc>
        <w:tc>
          <w:tcPr>
            <w:tcW w:w="1760" w:type="dxa"/>
            <w:tcBorders>
              <w:top w:val="nil"/>
              <w:left w:val="nil"/>
              <w:bottom w:val="nil"/>
              <w:right w:val="nil"/>
            </w:tcBorders>
            <w:tcMar>
              <w:top w:w="40" w:type="dxa"/>
              <w:left w:w="100" w:type="dxa"/>
              <w:bottom w:w="40" w:type="dxa"/>
              <w:right w:w="100" w:type="dxa"/>
            </w:tcMar>
          </w:tcPr>
          <w:p w14:paraId="6AC5A32C"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0.0086590323</w:t>
            </w:r>
          </w:p>
        </w:tc>
        <w:tc>
          <w:tcPr>
            <w:tcW w:w="1627" w:type="dxa"/>
            <w:tcBorders>
              <w:top w:val="nil"/>
              <w:left w:val="nil"/>
              <w:bottom w:val="nil"/>
              <w:right w:val="nil"/>
            </w:tcBorders>
            <w:tcMar>
              <w:top w:w="40" w:type="dxa"/>
              <w:left w:w="100" w:type="dxa"/>
              <w:bottom w:w="40" w:type="dxa"/>
              <w:right w:w="100" w:type="dxa"/>
            </w:tcMar>
          </w:tcPr>
          <w:p w14:paraId="3B11BAF5"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0.44420637</w:t>
            </w:r>
          </w:p>
        </w:tc>
        <w:tc>
          <w:tcPr>
            <w:tcW w:w="1228" w:type="dxa"/>
            <w:tcBorders>
              <w:top w:val="nil"/>
              <w:left w:val="nil"/>
              <w:bottom w:val="nil"/>
              <w:right w:val="nil"/>
            </w:tcBorders>
            <w:tcMar>
              <w:top w:w="40" w:type="dxa"/>
              <w:left w:w="100" w:type="dxa"/>
              <w:bottom w:w="40" w:type="dxa"/>
              <w:right w:w="100" w:type="dxa"/>
            </w:tcMar>
          </w:tcPr>
          <w:p w14:paraId="323E191A" w14:textId="77777777" w:rsidR="008862C1" w:rsidRDefault="00A21F75">
            <w:pPr>
              <w:spacing w:line="348" w:lineRule="auto"/>
              <w:jc w:val="right"/>
              <w:rPr>
                <w:rFonts w:ascii="Verdana" w:eastAsia="Verdana" w:hAnsi="Verdana" w:cs="Verdana"/>
                <w:b/>
                <w:sz w:val="18"/>
                <w:szCs w:val="18"/>
              </w:rPr>
            </w:pPr>
            <w:r>
              <w:rPr>
                <w:rFonts w:ascii="Verdana" w:eastAsia="Verdana" w:hAnsi="Verdana" w:cs="Verdana"/>
                <w:b/>
                <w:sz w:val="18"/>
                <w:szCs w:val="18"/>
              </w:rPr>
              <w:t>5.040721</w:t>
            </w:r>
          </w:p>
        </w:tc>
      </w:tr>
    </w:tbl>
    <w:p w14:paraId="5FBD9AAE" w14:textId="77777777" w:rsidR="008862C1" w:rsidRDefault="008862C1">
      <w:pPr>
        <w:pBdr>
          <w:top w:val="nil"/>
          <w:left w:val="nil"/>
          <w:bottom w:val="nil"/>
          <w:right w:val="nil"/>
          <w:between w:val="nil"/>
        </w:pBdr>
        <w:rPr>
          <w:rFonts w:ascii="Times New Roman" w:eastAsia="Times New Roman" w:hAnsi="Times New Roman" w:cs="Times New Roman"/>
          <w:b/>
        </w:rPr>
      </w:pPr>
    </w:p>
    <w:p w14:paraId="07E3EF77" w14:textId="45069A33" w:rsidR="008862C1" w:rsidRPr="00D0677E" w:rsidRDefault="00A21F75">
      <w:pPr>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Based on the table above, if we only compare the simple and log returns </w:t>
      </w:r>
      <w:r w:rsidR="00B04E4B" w:rsidRPr="00D0677E">
        <w:rPr>
          <w:rFonts w:ascii="Times New Roman" w:eastAsia="Times New Roman" w:hAnsi="Times New Roman" w:cs="Times New Roman"/>
          <w:lang w:val="en-US"/>
        </w:rPr>
        <w:t>daily</w:t>
      </w:r>
      <w:r w:rsidRPr="00D0677E">
        <w:rPr>
          <w:rFonts w:ascii="Times New Roman" w:eastAsia="Times New Roman" w:hAnsi="Times New Roman" w:cs="Times New Roman"/>
          <w:lang w:val="en-US"/>
        </w:rPr>
        <w:t xml:space="preserve">, we can see the mean and variance are still very similar. Using log return instead of simple return can reduce the skewness and kurtosis, which means the distribution of returns is closer to normal distribution. </w:t>
      </w:r>
    </w:p>
    <w:p w14:paraId="4E664B12" w14:textId="77777777" w:rsidR="008862C1" w:rsidRPr="00D0677E" w:rsidRDefault="00A21F75">
      <w:pP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To better compare daily and monthly risks we have to annualize the volatility.</w:t>
      </w:r>
    </w:p>
    <w:p w14:paraId="455ADD23" w14:textId="5EDCD6DE" w:rsidR="008862C1" w:rsidRPr="00D0677E" w:rsidRDefault="00A21F75">
      <w:pP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Further, if we compare the results with monthly frequency, we can observe that daily return has lower variance in comparison to monthly returns (both annualized</w:t>
      </w:r>
      <w:r w:rsidR="00B04E4B" w:rsidRPr="00D0677E">
        <w:rPr>
          <w:rFonts w:ascii="Times New Roman" w:eastAsia="Times New Roman" w:hAnsi="Times New Roman" w:cs="Times New Roman"/>
          <w:lang w:val="en-US"/>
        </w:rPr>
        <w:t>):</w:t>
      </w:r>
      <w:r w:rsidRPr="00D0677E">
        <w:rPr>
          <w:rFonts w:ascii="Times New Roman" w:eastAsia="Times New Roman" w:hAnsi="Times New Roman" w:cs="Times New Roman"/>
          <w:lang w:val="en-US"/>
        </w:rPr>
        <w:t xml:space="preserve"> </w:t>
      </w:r>
    </w:p>
    <w:p w14:paraId="6D782810" w14:textId="35A5D78A" w:rsidR="00EE79D4" w:rsidRPr="00EE79D4" w:rsidRDefault="00A21F75">
      <w:pPr>
        <w:jc w:val="both"/>
        <w:rPr>
          <w:rFonts w:ascii="Times New Roman" w:eastAsia="Times New Roman" w:hAnsi="Times New Roman" w:cs="Times New Roman"/>
          <w:lang w:val="en-US"/>
        </w:rPr>
      </w:pPr>
      <m:oMathPara>
        <m:oMath>
          <m:r>
            <w:rPr>
              <w:rFonts w:ascii="Cambria Math" w:eastAsia="Times New Roman" w:hAnsi="Cambria Math" w:cs="Times New Roman"/>
            </w:rPr>
            <m:t>daily</m:t>
          </m:r>
          <m:r>
            <m:rPr>
              <m:sty m:val="p"/>
            </m:rPr>
            <w:rPr>
              <w:rFonts w:ascii="Cambria Math" w:eastAsia="Times New Roman" w:hAnsi="Cambria Math" w:cs="Times New Roman"/>
              <w:lang w:val="en-US"/>
            </w:rPr>
            <m:t xml:space="preserve">: 0.0004311239* </m:t>
          </m:r>
          <m:rad>
            <m:radPr>
              <m:degHide m:val="1"/>
              <m:ctrlPr>
                <w:rPr>
                  <w:rFonts w:ascii="Cambria Math" w:eastAsia="Times New Roman" w:hAnsi="Cambria Math" w:cs="Times New Roman"/>
                </w:rPr>
              </m:ctrlPr>
            </m:radPr>
            <m:deg/>
            <m:e>
              <m:r>
                <m:rPr>
                  <m:sty m:val="p"/>
                </m:rPr>
                <w:rPr>
                  <w:rFonts w:ascii="Cambria Math" w:eastAsia="Times New Roman" w:hAnsi="Cambria Math" w:cs="Times New Roman"/>
                  <w:lang w:val="en-US"/>
                </w:rPr>
                <m:t>360</m:t>
              </m:r>
            </m:e>
          </m:rad>
          <m:r>
            <m:rPr>
              <m:sty m:val="p"/>
            </m:rPr>
            <w:rPr>
              <w:rFonts w:ascii="Cambria Math" w:eastAsia="Times New Roman" w:hAnsi="Cambria Math" w:cs="Times New Roman"/>
              <w:lang w:val="en-US"/>
            </w:rPr>
            <m:t xml:space="preserve">= 0.00818000086 </m:t>
          </m:r>
          <m:r>
            <w:rPr>
              <w:rFonts w:ascii="Cambria Math" w:eastAsia="Times New Roman" w:hAnsi="Cambria Math" w:cs="Times New Roman"/>
            </w:rPr>
            <m:t>vs</m:t>
          </m:r>
          <m:r>
            <m:rPr>
              <m:sty m:val="p"/>
            </m:rPr>
            <w:rPr>
              <w:rFonts w:ascii="Cambria Math" w:eastAsia="Times New Roman" w:hAnsi="Cambria Math" w:cs="Times New Roman"/>
              <w:lang w:val="en-US"/>
            </w:rPr>
            <m:t xml:space="preserve"> </m:t>
          </m:r>
        </m:oMath>
      </m:oMathPara>
    </w:p>
    <w:p w14:paraId="64502AAF" w14:textId="25CF3684" w:rsidR="00EE79D4" w:rsidRDefault="00A21F75" w:rsidP="00EE79D4">
      <w:pPr>
        <w:jc w:val="center"/>
        <w:rPr>
          <w:rFonts w:ascii="Times New Roman" w:eastAsia="Times New Roman" w:hAnsi="Times New Roman" w:cs="Times New Roman"/>
          <w:lang w:val="en-US"/>
        </w:rPr>
      </w:pPr>
      <m:oMath>
        <m:r>
          <w:rPr>
            <w:rFonts w:ascii="Cambria Math" w:eastAsia="Times New Roman" w:hAnsi="Cambria Math" w:cs="Times New Roman"/>
          </w:rPr>
          <m:t>mont</m:t>
        </m:r>
        <m:r>
          <w:rPr>
            <w:rFonts w:ascii="Cambria Math" w:eastAsia="Times New Roman" w:hAnsi="Cambria Math" w:cs="Times New Roman"/>
            <w:lang w:val="en-US"/>
          </w:rPr>
          <m:t>h</m:t>
        </m:r>
        <m:r>
          <w:rPr>
            <w:rFonts w:ascii="Cambria Math" w:eastAsia="Times New Roman" w:hAnsi="Cambria Math" w:cs="Times New Roman"/>
          </w:rPr>
          <m:t>ly</m:t>
        </m:r>
        <m:r>
          <m:rPr>
            <m:sty m:val="p"/>
          </m:rPr>
          <w:rPr>
            <w:rFonts w:ascii="Cambria Math" w:eastAsia="Times New Roman" w:hAnsi="Cambria Math" w:cs="Times New Roman"/>
            <w:lang w:val="en-US"/>
          </w:rPr>
          <m:t>: 0.0082815803*</m:t>
        </m:r>
        <m:rad>
          <m:radPr>
            <m:degHide m:val="1"/>
            <m:ctrlPr>
              <w:rPr>
                <w:rFonts w:ascii="Cambria Math" w:eastAsia="Times New Roman" w:hAnsi="Cambria Math" w:cs="Times New Roman"/>
              </w:rPr>
            </m:ctrlPr>
          </m:radPr>
          <m:deg/>
          <m:e>
            <m:r>
              <m:rPr>
                <m:sty m:val="p"/>
              </m:rPr>
              <w:rPr>
                <w:rFonts w:ascii="Cambria Math" w:eastAsia="Times New Roman" w:hAnsi="Cambria Math" w:cs="Times New Roman"/>
                <w:lang w:val="en-US"/>
              </w:rPr>
              <m:t>360</m:t>
            </m:r>
          </m:e>
        </m:rad>
        <m:r>
          <m:rPr>
            <m:sty m:val="p"/>
          </m:rPr>
          <w:rPr>
            <w:rFonts w:ascii="Cambria Math" w:eastAsia="Times New Roman" w:hAnsi="Cambria Math" w:cs="Times New Roman"/>
            <w:lang w:val="en-US"/>
          </w:rPr>
          <m:t>=0.02868823569</m:t>
        </m:r>
      </m:oMath>
      <w:r w:rsidRPr="00D0677E">
        <w:rPr>
          <w:rFonts w:ascii="Times New Roman" w:eastAsia="Times New Roman" w:hAnsi="Times New Roman" w:cs="Times New Roman"/>
          <w:lang w:val="en-US"/>
        </w:rPr>
        <w:t>,</w:t>
      </w:r>
    </w:p>
    <w:p w14:paraId="49E25B42" w14:textId="364A8800" w:rsidR="008862C1" w:rsidRPr="00D0677E" w:rsidRDefault="00A21F75">
      <w:pPr>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but higher annual returns. In terms of skewness, daily return is less skewed than </w:t>
      </w:r>
      <w:r w:rsidR="00B04E4B" w:rsidRPr="00D0677E">
        <w:rPr>
          <w:rFonts w:ascii="Times New Roman" w:eastAsia="Times New Roman" w:hAnsi="Times New Roman" w:cs="Times New Roman"/>
          <w:lang w:val="en-US"/>
        </w:rPr>
        <w:t>monthly,</w:t>
      </w:r>
      <w:r w:rsidRPr="00D0677E">
        <w:rPr>
          <w:rFonts w:ascii="Times New Roman" w:eastAsia="Times New Roman" w:hAnsi="Times New Roman" w:cs="Times New Roman"/>
          <w:lang w:val="en-US"/>
        </w:rPr>
        <w:t xml:space="preserve"> and the daily log return is almost perfectly symmetrical. In terms of kurtosis, daily return has an extremely high kurtosis of 8, this indicates that for investors, they will experience occasional extreme returns (either </w:t>
      </w:r>
      <w:r w:rsidRPr="00D0677E">
        <w:rPr>
          <w:rFonts w:ascii="Times New Roman" w:eastAsia="Times New Roman" w:hAnsi="Times New Roman" w:cs="Times New Roman"/>
          <w:lang w:val="en-US"/>
        </w:rPr>
        <w:lastRenderedPageBreak/>
        <w:t>positive or negative), more extreme than the usual + or - three standard deviations from the mean that is predicted by the normal distribution of returns. This phenomenon is known as kurtosis risk.</w:t>
      </w:r>
    </w:p>
    <w:p w14:paraId="0BD3E120" w14:textId="77777777" w:rsidR="008862C1" w:rsidRPr="00D0677E" w:rsidRDefault="008862C1">
      <w:pPr>
        <w:jc w:val="both"/>
        <w:rPr>
          <w:rFonts w:ascii="Times New Roman" w:eastAsia="Times New Roman" w:hAnsi="Times New Roman" w:cs="Times New Roman"/>
          <w:lang w:val="en-US"/>
        </w:rPr>
      </w:pPr>
    </w:p>
    <w:p w14:paraId="5A703C8D" w14:textId="77777777" w:rsidR="008862C1" w:rsidRDefault="00A21F75" w:rsidP="00D0677E">
      <w:pPr>
        <w:pBdr>
          <w:top w:val="nil"/>
          <w:left w:val="nil"/>
          <w:bottom w:val="nil"/>
          <w:right w:val="nil"/>
          <w:between w:val="nil"/>
        </w:pBdr>
        <w:ind w:left="720"/>
        <w:rPr>
          <w:rFonts w:ascii="Times New Roman" w:eastAsia="Times New Roman" w:hAnsi="Times New Roman" w:cs="Times New Roman"/>
          <w:color w:val="434343"/>
        </w:rPr>
      </w:pPr>
      <w:r w:rsidRPr="00D0677E">
        <w:rPr>
          <w:rFonts w:ascii="Times New Roman" w:eastAsia="Times New Roman" w:hAnsi="Times New Roman" w:cs="Times New Roman"/>
          <w:b/>
          <w:lang w:val="en-US"/>
        </w:rPr>
        <w:t xml:space="preserve">Q7. Compare the statistical properties of the log holding period return time series both for monthly and daily returns. </w:t>
      </w:r>
      <w:r>
        <w:rPr>
          <w:rFonts w:ascii="Times New Roman" w:eastAsia="Times New Roman" w:hAnsi="Times New Roman" w:cs="Times New Roman"/>
          <w:b/>
        </w:rPr>
        <w:t xml:space="preserve">How do </w:t>
      </w:r>
      <w:r w:rsidRPr="00D0677E">
        <w:rPr>
          <w:rFonts w:ascii="Times New Roman" w:eastAsia="Times New Roman" w:hAnsi="Times New Roman" w:cs="Times New Roman"/>
          <w:b/>
          <w:lang w:val="en-GB"/>
        </w:rPr>
        <w:t>they</w:t>
      </w:r>
      <w:r>
        <w:rPr>
          <w:rFonts w:ascii="Times New Roman" w:eastAsia="Times New Roman" w:hAnsi="Times New Roman" w:cs="Times New Roman"/>
          <w:b/>
        </w:rPr>
        <w:t xml:space="preserve"> compare to normal distribution?</w:t>
      </w:r>
    </w:p>
    <w:p w14:paraId="235F6AA2" w14:textId="55A88617" w:rsidR="008862C1" w:rsidRDefault="008862C1">
      <w:pPr>
        <w:rPr>
          <w:rFonts w:ascii="Times New Roman" w:eastAsia="Times New Roman" w:hAnsi="Times New Roman" w:cs="Times New Roman"/>
        </w:rPr>
      </w:pPr>
    </w:p>
    <w:tbl>
      <w:tblPr>
        <w:tblStyle w:val="a"/>
        <w:tblW w:w="9000" w:type="dxa"/>
        <w:tblLayout w:type="fixed"/>
        <w:tblLook w:val="0600" w:firstRow="0" w:lastRow="0" w:firstColumn="0" w:lastColumn="0" w:noHBand="1" w:noVBand="1"/>
      </w:tblPr>
      <w:tblGrid>
        <w:gridCol w:w="5802"/>
        <w:gridCol w:w="3198"/>
      </w:tblGrid>
      <w:tr w:rsidR="00155C1A" w:rsidRPr="00D0677E" w14:paraId="641AA497" w14:textId="77777777" w:rsidTr="00B04E4B">
        <w:tc>
          <w:tcPr>
            <w:tcW w:w="5802" w:type="dxa"/>
            <w:shd w:val="clear" w:color="auto" w:fill="auto"/>
            <w:tcMar>
              <w:top w:w="100" w:type="dxa"/>
              <w:left w:w="100" w:type="dxa"/>
              <w:bottom w:w="100" w:type="dxa"/>
              <w:right w:w="100" w:type="dxa"/>
            </w:tcMar>
          </w:tcPr>
          <w:p w14:paraId="7C7F2AF9" w14:textId="07362768" w:rsidR="00155C1A" w:rsidRDefault="00155C1A" w:rsidP="00FC409F">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9275E8" wp14:editId="64C216CD">
                  <wp:extent cx="3557588" cy="284252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557588" cy="2842524"/>
                          </a:xfrm>
                          <a:prstGeom prst="rect">
                            <a:avLst/>
                          </a:prstGeom>
                          <a:ln/>
                        </pic:spPr>
                      </pic:pic>
                    </a:graphicData>
                  </a:graphic>
                </wp:inline>
              </w:drawing>
            </w:r>
          </w:p>
        </w:tc>
        <w:tc>
          <w:tcPr>
            <w:tcW w:w="3198" w:type="dxa"/>
            <w:shd w:val="clear" w:color="auto" w:fill="auto"/>
            <w:tcMar>
              <w:top w:w="100" w:type="dxa"/>
              <w:left w:w="100" w:type="dxa"/>
              <w:bottom w:w="100" w:type="dxa"/>
              <w:right w:w="100" w:type="dxa"/>
            </w:tcMar>
          </w:tcPr>
          <w:p w14:paraId="690AF30A" w14:textId="576F8E6D" w:rsidR="00155C1A" w:rsidRPr="00D0677E" w:rsidRDefault="00155C1A" w:rsidP="00D0677E">
            <w:pPr>
              <w:widowControl w:val="0"/>
              <w:pBdr>
                <w:top w:val="nil"/>
                <w:left w:val="nil"/>
                <w:bottom w:val="nil"/>
                <w:right w:val="nil"/>
                <w:between w:val="nil"/>
              </w:pBdr>
              <w:spacing w:line="240" w:lineRule="auto"/>
              <w:jc w:val="both"/>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Daily simple and log returns tend to follow a normal distribution more than the monthly simple and log returns, as is illustrated in the graph below (put in Appendix). Monthly returns especially seem to have fatter tails, meaning that we could expect more outliers than for normal distributions.  They are slightly </w:t>
            </w:r>
            <w:r w:rsidR="00B04E4B" w:rsidRPr="00D0677E">
              <w:rPr>
                <w:rFonts w:ascii="Times New Roman" w:eastAsia="Times New Roman" w:hAnsi="Times New Roman" w:cs="Times New Roman"/>
                <w:lang w:val="en-US"/>
              </w:rPr>
              <w:t>right skewed</w:t>
            </w:r>
            <w:r w:rsidRPr="00D0677E">
              <w:rPr>
                <w:rFonts w:ascii="Times New Roman" w:eastAsia="Times New Roman" w:hAnsi="Times New Roman" w:cs="Times New Roman"/>
                <w:lang w:val="en-US"/>
              </w:rPr>
              <w:t xml:space="preserve"> but are peak more with a heavy tail since they have a very high kurtosis. And at higher frequency(daily), the likelihood of departures from normality is much higher.</w:t>
            </w:r>
          </w:p>
        </w:tc>
      </w:tr>
    </w:tbl>
    <w:p w14:paraId="1E8DE391" w14:textId="77777777" w:rsidR="008862C1" w:rsidRPr="00D0677E" w:rsidRDefault="008862C1">
      <w:pPr>
        <w:rPr>
          <w:rFonts w:ascii="Times New Roman" w:eastAsia="Times New Roman" w:hAnsi="Times New Roman" w:cs="Times New Roman"/>
          <w:lang w:val="en-US"/>
        </w:rPr>
      </w:pPr>
    </w:p>
    <w:p w14:paraId="7BF5383E" w14:textId="769B78D5" w:rsidR="00EB534D" w:rsidRPr="00D0677E" w:rsidRDefault="00EB534D" w:rsidP="00D0677E">
      <w:pPr>
        <w:ind w:left="720"/>
        <w:rPr>
          <w:rFonts w:ascii="Times New Roman" w:eastAsia="Times New Roman" w:hAnsi="Times New Roman" w:cs="Times New Roman"/>
          <w:b/>
          <w:lang w:val="en-US"/>
        </w:rPr>
      </w:pPr>
      <w:r w:rsidRPr="00D0677E">
        <w:rPr>
          <w:rFonts w:ascii="Times New Roman" w:eastAsia="Times New Roman" w:hAnsi="Times New Roman" w:cs="Times New Roman"/>
          <w:b/>
          <w:lang w:val="en-US"/>
        </w:rPr>
        <w:t>Q</w:t>
      </w:r>
      <w:r w:rsidR="00D0677E">
        <w:rPr>
          <w:rFonts w:ascii="Times New Roman" w:eastAsia="Times New Roman" w:hAnsi="Times New Roman" w:cs="Times New Roman"/>
          <w:b/>
          <w:lang w:val="en-US"/>
        </w:rPr>
        <w:t>8&amp;</w:t>
      </w:r>
      <w:r w:rsidRPr="00D0677E">
        <w:rPr>
          <w:rFonts w:ascii="Times New Roman" w:eastAsia="Times New Roman" w:hAnsi="Times New Roman" w:cs="Times New Roman"/>
          <w:b/>
          <w:lang w:val="en-US"/>
        </w:rPr>
        <w:t>9. Calculate the covariance matrix for the log return series, using both the returns and returns squared. Discuss your results briefly.</w:t>
      </w:r>
    </w:p>
    <w:p w14:paraId="68DEF724" w14:textId="2F758429" w:rsidR="00EB534D" w:rsidRPr="00D0677E" w:rsidRDefault="00EB534D" w:rsidP="00D0677E">
      <w:pPr>
        <w:jc w:val="both"/>
        <w:rPr>
          <w:rFonts w:ascii="Times New Roman" w:eastAsia="Times New Roman" w:hAnsi="Times New Roman" w:cs="Times New Roman"/>
          <w:bCs/>
          <w:lang w:val="en-US"/>
        </w:rPr>
      </w:pPr>
      <w:r w:rsidRPr="00D0677E">
        <w:rPr>
          <w:rFonts w:ascii="Times New Roman" w:eastAsia="Times New Roman" w:hAnsi="Times New Roman" w:cs="Times New Roman"/>
          <w:bCs/>
          <w:lang w:val="en-US"/>
        </w:rPr>
        <w:t>We choose the following stocks</w:t>
      </w:r>
      <w:r w:rsidR="00867430" w:rsidRPr="00D0677E">
        <w:rPr>
          <w:rFonts w:ascii="Times New Roman" w:eastAsia="Times New Roman" w:hAnsi="Times New Roman" w:cs="Times New Roman"/>
          <w:bCs/>
          <w:lang w:val="en-US"/>
        </w:rPr>
        <w:t xml:space="preserve"> at </w:t>
      </w:r>
      <w:r w:rsidR="00B04E4B" w:rsidRPr="00D0677E">
        <w:rPr>
          <w:rFonts w:ascii="Times New Roman" w:eastAsia="Times New Roman" w:hAnsi="Times New Roman" w:cs="Times New Roman"/>
          <w:bCs/>
          <w:lang w:val="en-US"/>
        </w:rPr>
        <w:t>random:</w:t>
      </w:r>
      <w:r w:rsidR="00867430" w:rsidRPr="00D0677E">
        <w:rPr>
          <w:rFonts w:ascii="Times New Roman" w:eastAsia="Times New Roman" w:hAnsi="Times New Roman" w:cs="Times New Roman"/>
          <w:bCs/>
          <w:lang w:val="en-US"/>
        </w:rPr>
        <w:t xml:space="preserve"> </w:t>
      </w:r>
      <w:r w:rsidR="00B04E4B" w:rsidRPr="00D0677E">
        <w:rPr>
          <w:rFonts w:ascii="Times New Roman" w:eastAsia="Times New Roman" w:hAnsi="Times New Roman" w:cs="Times New Roman"/>
          <w:bCs/>
          <w:lang w:val="en-US"/>
        </w:rPr>
        <w:t>JPM,</w:t>
      </w:r>
      <w:r w:rsidR="00B04E4B">
        <w:rPr>
          <w:rFonts w:ascii="Times New Roman" w:eastAsia="Times New Roman" w:hAnsi="Times New Roman" w:cs="Times New Roman"/>
          <w:bCs/>
          <w:lang w:val="en-US"/>
        </w:rPr>
        <w:t xml:space="preserve"> </w:t>
      </w:r>
      <w:r w:rsidR="00867430" w:rsidRPr="00D0677E">
        <w:rPr>
          <w:rFonts w:ascii="Times New Roman" w:eastAsia="Times New Roman" w:hAnsi="Times New Roman" w:cs="Times New Roman"/>
          <w:bCs/>
          <w:lang w:val="en-US"/>
        </w:rPr>
        <w:t>XOM</w:t>
      </w:r>
      <w:r w:rsidR="00B04E4B">
        <w:rPr>
          <w:rFonts w:ascii="Times New Roman" w:eastAsia="Times New Roman" w:hAnsi="Times New Roman" w:cs="Times New Roman"/>
          <w:bCs/>
          <w:lang w:val="en-US"/>
        </w:rPr>
        <w:t xml:space="preserve">, </w:t>
      </w:r>
      <w:r w:rsidR="00867430" w:rsidRPr="00D0677E">
        <w:rPr>
          <w:rFonts w:ascii="Times New Roman" w:eastAsia="Times New Roman" w:hAnsi="Times New Roman" w:cs="Times New Roman"/>
          <w:bCs/>
          <w:lang w:val="en-US"/>
        </w:rPr>
        <w:t>INTC, and after calculating the returns (normal an</w:t>
      </w:r>
      <w:r w:rsidR="008E11F9" w:rsidRPr="00D0677E">
        <w:rPr>
          <w:rFonts w:ascii="Times New Roman" w:eastAsia="Times New Roman" w:hAnsi="Times New Roman" w:cs="Times New Roman"/>
          <w:bCs/>
          <w:lang w:val="en-US"/>
        </w:rPr>
        <w:t>d</w:t>
      </w:r>
      <w:r w:rsidR="00867430" w:rsidRPr="00D0677E">
        <w:rPr>
          <w:rFonts w:ascii="Times New Roman" w:eastAsia="Times New Roman" w:hAnsi="Times New Roman" w:cs="Times New Roman"/>
          <w:bCs/>
          <w:lang w:val="en-US"/>
        </w:rPr>
        <w:t xml:space="preserve"> log) as well as total return indices we investigate</w:t>
      </w:r>
      <w:r w:rsidR="00B04E4B">
        <w:rPr>
          <w:rFonts w:ascii="Times New Roman" w:eastAsia="Times New Roman" w:hAnsi="Times New Roman" w:cs="Times New Roman"/>
          <w:bCs/>
          <w:lang w:val="en-US"/>
        </w:rPr>
        <w:t>d</w:t>
      </w:r>
      <w:r w:rsidR="00867430" w:rsidRPr="00D0677E">
        <w:rPr>
          <w:rFonts w:ascii="Times New Roman" w:eastAsia="Times New Roman" w:hAnsi="Times New Roman" w:cs="Times New Roman"/>
          <w:bCs/>
          <w:lang w:val="en-US"/>
        </w:rPr>
        <w:t xml:space="preserve"> potential correlations. </w:t>
      </w:r>
    </w:p>
    <w:tbl>
      <w:tblPr>
        <w:tblStyle w:val="a"/>
        <w:tblW w:w="9000" w:type="dxa"/>
        <w:tblLayout w:type="fixed"/>
        <w:tblLook w:val="0600" w:firstRow="0" w:lastRow="0" w:firstColumn="0" w:lastColumn="0" w:noHBand="1" w:noVBand="1"/>
      </w:tblPr>
      <w:tblGrid>
        <w:gridCol w:w="6227"/>
        <w:gridCol w:w="2773"/>
      </w:tblGrid>
      <w:tr w:rsidR="00867430" w:rsidRPr="00D0677E" w14:paraId="7D1DFFF1" w14:textId="77777777" w:rsidTr="00D0677E">
        <w:tc>
          <w:tcPr>
            <w:tcW w:w="6227" w:type="dxa"/>
            <w:shd w:val="clear" w:color="auto" w:fill="auto"/>
            <w:tcMar>
              <w:top w:w="100" w:type="dxa"/>
              <w:left w:w="100" w:type="dxa"/>
              <w:bottom w:w="100" w:type="dxa"/>
              <w:right w:w="100" w:type="dxa"/>
            </w:tcMar>
          </w:tcPr>
          <w:p w14:paraId="132A19C2" w14:textId="04915A5E" w:rsidR="00867430" w:rsidRDefault="00E402DA" w:rsidP="00FC409F">
            <w:pPr>
              <w:widowControl w:val="0"/>
              <w:spacing w:line="240" w:lineRule="auto"/>
              <w:rPr>
                <w:rFonts w:ascii="Times New Roman" w:eastAsia="Times New Roman" w:hAnsi="Times New Roman" w:cs="Times New Roman"/>
              </w:rPr>
            </w:pPr>
            <w:r w:rsidRPr="00E402DA">
              <w:rPr>
                <w:rFonts w:ascii="Times New Roman" w:eastAsia="Times New Roman" w:hAnsi="Times New Roman" w:cs="Times New Roman"/>
                <w:noProof/>
              </w:rPr>
              <w:drawing>
                <wp:inline distT="0" distB="0" distL="0" distR="0" wp14:anchorId="57448DD5" wp14:editId="5E0D8C48">
                  <wp:extent cx="3733800" cy="77523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6081" cy="777781"/>
                          </a:xfrm>
                          <a:prstGeom prst="rect">
                            <a:avLst/>
                          </a:prstGeom>
                        </pic:spPr>
                      </pic:pic>
                    </a:graphicData>
                  </a:graphic>
                </wp:inline>
              </w:drawing>
            </w:r>
          </w:p>
        </w:tc>
        <w:tc>
          <w:tcPr>
            <w:tcW w:w="2773" w:type="dxa"/>
            <w:shd w:val="clear" w:color="auto" w:fill="auto"/>
            <w:tcMar>
              <w:top w:w="100" w:type="dxa"/>
              <w:left w:w="100" w:type="dxa"/>
              <w:bottom w:w="100" w:type="dxa"/>
              <w:right w:w="100" w:type="dxa"/>
            </w:tcMar>
          </w:tcPr>
          <w:p w14:paraId="76963FE4" w14:textId="5189BEB5" w:rsidR="00867430" w:rsidRPr="00D0677E" w:rsidRDefault="00E402DA" w:rsidP="00E402DA">
            <w:pPr>
              <w:rPr>
                <w:rFonts w:ascii="Times New Roman" w:eastAsia="Times New Roman" w:hAnsi="Times New Roman" w:cs="Times New Roman"/>
                <w:lang w:val="en-US"/>
              </w:rPr>
            </w:pPr>
            <w:r w:rsidRPr="00D0677E">
              <w:rPr>
                <w:rFonts w:ascii="Times New Roman" w:eastAsia="Times New Roman" w:hAnsi="Times New Roman" w:cs="Times New Roman"/>
                <w:lang w:val="en-US"/>
              </w:rPr>
              <w:t>For log returns we observe nothing but positive correlations, but no significantly high values</w:t>
            </w:r>
          </w:p>
        </w:tc>
      </w:tr>
      <w:tr w:rsidR="00E402DA" w:rsidRPr="00D0677E" w14:paraId="530DEA71" w14:textId="77777777" w:rsidTr="00D0677E">
        <w:tc>
          <w:tcPr>
            <w:tcW w:w="6227" w:type="dxa"/>
            <w:shd w:val="clear" w:color="auto" w:fill="auto"/>
            <w:tcMar>
              <w:top w:w="100" w:type="dxa"/>
              <w:left w:w="100" w:type="dxa"/>
              <w:bottom w:w="100" w:type="dxa"/>
              <w:right w:w="100" w:type="dxa"/>
            </w:tcMar>
          </w:tcPr>
          <w:p w14:paraId="7BA70B0F" w14:textId="202CD69B" w:rsidR="00E402DA" w:rsidRPr="00E402DA" w:rsidRDefault="00E402DA" w:rsidP="00FC409F">
            <w:pPr>
              <w:widowControl w:val="0"/>
              <w:spacing w:line="240" w:lineRule="auto"/>
              <w:rPr>
                <w:rFonts w:ascii="Times New Roman" w:eastAsia="Times New Roman" w:hAnsi="Times New Roman" w:cs="Times New Roman"/>
              </w:rPr>
            </w:pPr>
            <w:r w:rsidRPr="00E402DA">
              <w:rPr>
                <w:rFonts w:ascii="Times New Roman" w:eastAsia="Times New Roman" w:hAnsi="Times New Roman" w:cs="Times New Roman"/>
                <w:noProof/>
              </w:rPr>
              <w:drawing>
                <wp:inline distT="0" distB="0" distL="0" distR="0" wp14:anchorId="7331C794" wp14:editId="02724E20">
                  <wp:extent cx="3771900" cy="8077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0485" cy="809546"/>
                          </a:xfrm>
                          <a:prstGeom prst="rect">
                            <a:avLst/>
                          </a:prstGeom>
                        </pic:spPr>
                      </pic:pic>
                    </a:graphicData>
                  </a:graphic>
                </wp:inline>
              </w:drawing>
            </w:r>
          </w:p>
        </w:tc>
        <w:tc>
          <w:tcPr>
            <w:tcW w:w="2773" w:type="dxa"/>
            <w:shd w:val="clear" w:color="auto" w:fill="auto"/>
            <w:tcMar>
              <w:top w:w="100" w:type="dxa"/>
              <w:left w:w="100" w:type="dxa"/>
              <w:bottom w:w="100" w:type="dxa"/>
              <w:right w:w="100" w:type="dxa"/>
            </w:tcMar>
          </w:tcPr>
          <w:p w14:paraId="52604A44" w14:textId="7EB9E2EF" w:rsidR="00E402DA" w:rsidRPr="00D0677E" w:rsidRDefault="00E402DA" w:rsidP="00E402DA">
            <w:pPr>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For log </w:t>
            </w:r>
            <w:r w:rsidR="00D0677E" w:rsidRPr="00D0677E">
              <w:rPr>
                <w:rFonts w:ascii="Times New Roman" w:eastAsia="Times New Roman" w:hAnsi="Times New Roman" w:cs="Times New Roman"/>
                <w:lang w:val="en-US"/>
              </w:rPr>
              <w:t>returns squared</w:t>
            </w:r>
            <w:r w:rsidRPr="00D0677E">
              <w:rPr>
                <w:rFonts w:ascii="Times New Roman" w:eastAsia="Times New Roman" w:hAnsi="Times New Roman" w:cs="Times New Roman"/>
                <w:lang w:val="en-US"/>
              </w:rPr>
              <w:t xml:space="preserve"> we observe that the correlation falls sharply </w:t>
            </w:r>
            <w:r w:rsidR="00224756" w:rsidRPr="00D0677E">
              <w:rPr>
                <w:rFonts w:ascii="Times New Roman" w:eastAsia="Times New Roman" w:hAnsi="Times New Roman" w:cs="Times New Roman"/>
                <w:lang w:val="en-US"/>
              </w:rPr>
              <w:t xml:space="preserve">between the </w:t>
            </w:r>
            <w:r w:rsidR="00B04E4B" w:rsidRPr="00D0677E">
              <w:rPr>
                <w:rFonts w:ascii="Times New Roman" w:eastAsia="Times New Roman" w:hAnsi="Times New Roman" w:cs="Times New Roman"/>
                <w:lang w:val="en-US"/>
              </w:rPr>
              <w:t>stocks,</w:t>
            </w:r>
            <w:r w:rsidRPr="00D0677E">
              <w:rPr>
                <w:rFonts w:ascii="Times New Roman" w:eastAsia="Times New Roman" w:hAnsi="Times New Roman" w:cs="Times New Roman"/>
                <w:lang w:val="en-US"/>
              </w:rPr>
              <w:t xml:space="preserve"> but rises for their </w:t>
            </w:r>
            <w:r w:rsidR="00B04E4B" w:rsidRPr="00D0677E">
              <w:rPr>
                <w:rFonts w:ascii="Times New Roman" w:eastAsia="Times New Roman" w:hAnsi="Times New Roman" w:cs="Times New Roman"/>
                <w:lang w:val="en-US"/>
              </w:rPr>
              <w:t>relationship</w:t>
            </w:r>
            <w:r w:rsidRPr="00D0677E">
              <w:rPr>
                <w:rFonts w:ascii="Times New Roman" w:eastAsia="Times New Roman" w:hAnsi="Times New Roman" w:cs="Times New Roman"/>
                <w:lang w:val="en-US"/>
              </w:rPr>
              <w:t xml:space="preserve"> with S&amp;P</w:t>
            </w:r>
          </w:p>
        </w:tc>
      </w:tr>
    </w:tbl>
    <w:p w14:paraId="68F95DB6" w14:textId="77777777" w:rsidR="00155C1A" w:rsidRPr="00D0677E" w:rsidRDefault="00155C1A">
      <w:pPr>
        <w:rPr>
          <w:rFonts w:ascii="Times New Roman" w:eastAsia="Times New Roman" w:hAnsi="Times New Roman" w:cs="Times New Roman"/>
          <w:b/>
          <w:lang w:val="en-US"/>
        </w:rPr>
      </w:pPr>
    </w:p>
    <w:p w14:paraId="64CE02C1" w14:textId="7205F0F2" w:rsidR="00EB534D" w:rsidRPr="00D0677E" w:rsidRDefault="00EB534D" w:rsidP="00D0677E">
      <w:pPr>
        <w:ind w:left="720"/>
        <w:rPr>
          <w:rFonts w:ascii="Times New Roman" w:eastAsia="Times New Roman" w:hAnsi="Times New Roman" w:cs="Times New Roman"/>
          <w:b/>
          <w:lang w:val="en-US"/>
        </w:rPr>
      </w:pPr>
      <w:r w:rsidRPr="00D0677E">
        <w:rPr>
          <w:rFonts w:ascii="Times New Roman" w:eastAsia="Times New Roman" w:hAnsi="Times New Roman" w:cs="Times New Roman"/>
          <w:b/>
          <w:lang w:val="en-US"/>
        </w:rPr>
        <w:t>Q10. Plot the ACF (autocorrelation function) for returns, returns squared, and absolute returns. Discuss the results!</w:t>
      </w:r>
      <w:r w:rsidR="00224756" w:rsidRPr="00D0677E">
        <w:rPr>
          <w:rFonts w:ascii="Times New Roman" w:eastAsia="Times New Roman" w:hAnsi="Times New Roman" w:cs="Times New Roman"/>
          <w:b/>
          <w:lang w:val="en-US"/>
        </w:rPr>
        <w:t xml:space="preserve"> (See appendix for graphs)</w:t>
      </w:r>
    </w:p>
    <w:p w14:paraId="69AFCFF9" w14:textId="1C82FC0D" w:rsidR="00EB534D" w:rsidRPr="00D0677E" w:rsidRDefault="00224756" w:rsidP="00D0677E">
      <w:pPr>
        <w:jc w:val="both"/>
        <w:rPr>
          <w:rFonts w:ascii="Times New Roman" w:eastAsia="Times New Roman" w:hAnsi="Times New Roman" w:cs="Times New Roman"/>
          <w:bCs/>
          <w:lang w:val="en-US"/>
        </w:rPr>
      </w:pPr>
      <w:r w:rsidRPr="00D0677E">
        <w:rPr>
          <w:rFonts w:ascii="Times New Roman" w:eastAsia="Times New Roman" w:hAnsi="Times New Roman" w:cs="Times New Roman"/>
          <w:bCs/>
          <w:lang w:val="en-US"/>
        </w:rPr>
        <w:t xml:space="preserve">The graphs </w:t>
      </w:r>
      <w:r w:rsidR="00B04E4B">
        <w:rPr>
          <w:rFonts w:ascii="Times New Roman" w:eastAsia="Times New Roman" w:hAnsi="Times New Roman" w:cs="Times New Roman"/>
          <w:bCs/>
          <w:lang w:val="en-US"/>
        </w:rPr>
        <w:t>for</w:t>
      </w:r>
      <w:r w:rsidRPr="00D0677E">
        <w:rPr>
          <w:rFonts w:ascii="Times New Roman" w:eastAsia="Times New Roman" w:hAnsi="Times New Roman" w:cs="Times New Roman"/>
          <w:bCs/>
          <w:lang w:val="en-US"/>
        </w:rPr>
        <w:t xml:space="preserve"> JPM, XOM, INTC, and S&amp;P</w:t>
      </w:r>
      <w:r w:rsidR="00D0677E">
        <w:rPr>
          <w:rFonts w:ascii="Times New Roman" w:eastAsia="Times New Roman" w:hAnsi="Times New Roman" w:cs="Times New Roman"/>
          <w:bCs/>
          <w:lang w:val="en-US"/>
        </w:rPr>
        <w:t>500</w:t>
      </w:r>
      <w:r w:rsidR="00B04E4B">
        <w:rPr>
          <w:rFonts w:ascii="Times New Roman" w:eastAsia="Times New Roman" w:hAnsi="Times New Roman" w:cs="Times New Roman"/>
          <w:bCs/>
          <w:lang w:val="en-US"/>
        </w:rPr>
        <w:t xml:space="preserve"> </w:t>
      </w:r>
      <w:r w:rsidR="00B04E4B" w:rsidRPr="00D0677E">
        <w:rPr>
          <w:rFonts w:ascii="Times New Roman" w:eastAsia="Times New Roman" w:hAnsi="Times New Roman" w:cs="Times New Roman"/>
          <w:bCs/>
          <w:lang w:val="en-US"/>
        </w:rPr>
        <w:t xml:space="preserve">can be </w:t>
      </w:r>
      <w:r w:rsidR="00B04E4B">
        <w:rPr>
          <w:rFonts w:ascii="Times New Roman" w:eastAsia="Times New Roman" w:hAnsi="Times New Roman" w:cs="Times New Roman"/>
          <w:bCs/>
          <w:lang w:val="en-US"/>
        </w:rPr>
        <w:t>found in the Appendix</w:t>
      </w:r>
      <w:r w:rsidRPr="00D0677E">
        <w:rPr>
          <w:rFonts w:ascii="Times New Roman" w:eastAsia="Times New Roman" w:hAnsi="Times New Roman" w:cs="Times New Roman"/>
          <w:bCs/>
          <w:lang w:val="en-US"/>
        </w:rPr>
        <w:t xml:space="preserve">. The ACF graph tells us about the </w:t>
      </w:r>
      <w:r w:rsidR="00B04E4B" w:rsidRPr="00D0677E">
        <w:rPr>
          <w:rFonts w:ascii="Times New Roman" w:eastAsia="Times New Roman" w:hAnsi="Times New Roman" w:cs="Times New Roman"/>
          <w:bCs/>
          <w:lang w:val="en-US"/>
        </w:rPr>
        <w:t>coefficient</w:t>
      </w:r>
      <w:r w:rsidRPr="00D0677E">
        <w:rPr>
          <w:rFonts w:ascii="Times New Roman" w:eastAsia="Times New Roman" w:hAnsi="Times New Roman" w:cs="Times New Roman"/>
          <w:bCs/>
          <w:lang w:val="en-US"/>
        </w:rPr>
        <w:t xml:space="preserve"> of correlation </w:t>
      </w:r>
      <w:r w:rsidR="00D0677E" w:rsidRPr="00D0677E">
        <w:rPr>
          <w:rFonts w:ascii="Times New Roman" w:eastAsia="Times New Roman" w:hAnsi="Times New Roman" w:cs="Times New Roman"/>
          <w:bCs/>
          <w:lang w:val="en-US"/>
        </w:rPr>
        <w:t>between</w:t>
      </w:r>
      <w:r w:rsidRPr="00D0677E">
        <w:rPr>
          <w:rFonts w:ascii="Times New Roman" w:eastAsia="Times New Roman" w:hAnsi="Times New Roman" w:cs="Times New Roman"/>
          <w:bCs/>
          <w:lang w:val="en-US"/>
        </w:rPr>
        <w:t xml:space="preserve"> two values in a time </w:t>
      </w:r>
      <w:r w:rsidR="00B04E4B" w:rsidRPr="00D0677E">
        <w:rPr>
          <w:rFonts w:ascii="Times New Roman" w:eastAsia="Times New Roman" w:hAnsi="Times New Roman" w:cs="Times New Roman"/>
          <w:bCs/>
          <w:lang w:val="en-US"/>
        </w:rPr>
        <w:t>series. It</w:t>
      </w:r>
      <w:r w:rsidRPr="00D0677E">
        <w:rPr>
          <w:rFonts w:ascii="Times New Roman" w:eastAsia="Times New Roman" w:hAnsi="Times New Roman" w:cs="Times New Roman"/>
          <w:bCs/>
          <w:lang w:val="en-US"/>
        </w:rPr>
        <w:t xml:space="preserve"> helps in understanding the degree of similarity between a given time series and a lagged version of itself over successive time interval, measures the relationship between a variable's current value and its past </w:t>
      </w:r>
      <w:r w:rsidR="00B04E4B" w:rsidRPr="00D0677E">
        <w:rPr>
          <w:rFonts w:ascii="Times New Roman" w:eastAsia="Times New Roman" w:hAnsi="Times New Roman" w:cs="Times New Roman"/>
          <w:bCs/>
          <w:lang w:val="en-US"/>
        </w:rPr>
        <w:t>values. The</w:t>
      </w:r>
      <w:r w:rsidRPr="00D0677E">
        <w:rPr>
          <w:rFonts w:ascii="Times New Roman" w:eastAsia="Times New Roman" w:hAnsi="Times New Roman" w:cs="Times New Roman"/>
          <w:bCs/>
          <w:lang w:val="en-US"/>
        </w:rPr>
        <w:t xml:space="preserve"> horizontal line represent threshold, the vertical lines exceeding the horizontal line are significant. The spikes at Lag 0 are ignored. The ACF model for JPM, XOM, INTC and SPRTRN </w:t>
      </w:r>
      <w:r w:rsidR="00B04E4B" w:rsidRPr="00D0677E">
        <w:rPr>
          <w:rFonts w:ascii="Times New Roman" w:eastAsia="Times New Roman" w:hAnsi="Times New Roman" w:cs="Times New Roman"/>
          <w:bCs/>
          <w:lang w:val="en-US"/>
        </w:rPr>
        <w:t>have no</w:t>
      </w:r>
      <w:r w:rsidRPr="00D0677E">
        <w:rPr>
          <w:rFonts w:ascii="Times New Roman" w:eastAsia="Times New Roman" w:hAnsi="Times New Roman" w:cs="Times New Roman"/>
          <w:bCs/>
          <w:lang w:val="en-US"/>
        </w:rPr>
        <w:t xml:space="preserve"> major lags in the log return graph, whereas there are positive lags </w:t>
      </w:r>
      <w:r w:rsidR="00B04E4B" w:rsidRPr="00D0677E">
        <w:rPr>
          <w:rFonts w:ascii="Times New Roman" w:eastAsia="Times New Roman" w:hAnsi="Times New Roman" w:cs="Times New Roman"/>
          <w:bCs/>
          <w:lang w:val="en-US"/>
        </w:rPr>
        <w:t>in squared</w:t>
      </w:r>
      <w:r w:rsidRPr="00D0677E">
        <w:rPr>
          <w:rFonts w:ascii="Times New Roman" w:eastAsia="Times New Roman" w:hAnsi="Times New Roman" w:cs="Times New Roman"/>
          <w:bCs/>
          <w:lang w:val="en-US"/>
        </w:rPr>
        <w:t xml:space="preserve"> lag graph </w:t>
      </w:r>
      <w:r w:rsidR="00B04E4B" w:rsidRPr="00D0677E">
        <w:rPr>
          <w:rFonts w:ascii="Times New Roman" w:eastAsia="Times New Roman" w:hAnsi="Times New Roman" w:cs="Times New Roman"/>
          <w:bCs/>
          <w:lang w:val="en-US"/>
        </w:rPr>
        <w:t>and absolute</w:t>
      </w:r>
      <w:r w:rsidRPr="00D0677E">
        <w:rPr>
          <w:rFonts w:ascii="Times New Roman" w:eastAsia="Times New Roman" w:hAnsi="Times New Roman" w:cs="Times New Roman"/>
          <w:bCs/>
          <w:lang w:val="en-US"/>
        </w:rPr>
        <w:t xml:space="preserve"> log return graph.</w:t>
      </w:r>
    </w:p>
    <w:p w14:paraId="6D9A333D" w14:textId="4FAC95B5" w:rsidR="00380C1C" w:rsidRPr="00D0677E" w:rsidRDefault="00EB534D" w:rsidP="00B04E4B">
      <w:pPr>
        <w:ind w:left="720"/>
        <w:rPr>
          <w:rFonts w:ascii="Times New Roman" w:eastAsia="Times New Roman" w:hAnsi="Times New Roman" w:cs="Times New Roman"/>
          <w:b/>
          <w:lang w:val="en-US"/>
        </w:rPr>
      </w:pPr>
      <w:r w:rsidRPr="00D0677E">
        <w:rPr>
          <w:rFonts w:ascii="Times New Roman" w:eastAsia="Times New Roman" w:hAnsi="Times New Roman" w:cs="Times New Roman"/>
          <w:b/>
          <w:lang w:val="en-US"/>
        </w:rPr>
        <w:lastRenderedPageBreak/>
        <w:br/>
        <w:t>Q11. Use the three assets and make up a portfolio by assigning arbitrary portfolio weights. What does it imply if you keep the weights fixed over time?</w:t>
      </w:r>
    </w:p>
    <w:p w14:paraId="50D04C9A" w14:textId="174E6DFC" w:rsidR="00EB534D" w:rsidRPr="00D0677E" w:rsidRDefault="00224756">
      <w:pPr>
        <w:rPr>
          <w:rFonts w:ascii="Times New Roman" w:eastAsia="Times New Roman" w:hAnsi="Times New Roman" w:cs="Times New Roman"/>
          <w:bCs/>
          <w:lang w:val="en-US"/>
        </w:rPr>
      </w:pPr>
      <w:r w:rsidRPr="00D0677E">
        <w:rPr>
          <w:rFonts w:ascii="Times New Roman" w:eastAsia="Times New Roman" w:hAnsi="Times New Roman" w:cs="Times New Roman"/>
          <w:bCs/>
          <w:lang w:val="en-US"/>
        </w:rPr>
        <w:t>We create our portfolio using equal (1/3 for each) weights</w:t>
      </w:r>
      <w:r w:rsidR="008E11F9" w:rsidRPr="00D0677E">
        <w:rPr>
          <w:rFonts w:ascii="Times New Roman" w:eastAsia="Times New Roman" w:hAnsi="Times New Roman" w:cs="Times New Roman"/>
          <w:bCs/>
          <w:lang w:val="en-US"/>
        </w:rPr>
        <w:t>.</w:t>
      </w:r>
    </w:p>
    <w:p w14:paraId="060EEF64" w14:textId="7CEE3EFB" w:rsidR="00717B1F" w:rsidRPr="00D0677E" w:rsidRDefault="00717B1F">
      <w:pPr>
        <w:rPr>
          <w:rFonts w:ascii="Times New Roman" w:eastAsia="Times New Roman" w:hAnsi="Times New Roman" w:cs="Times New Roman"/>
          <w:bCs/>
          <w:lang w:val="en-US"/>
        </w:rPr>
      </w:pPr>
      <w:r w:rsidRPr="00D0677E">
        <w:rPr>
          <w:rFonts w:ascii="Times New Roman" w:eastAsia="Times New Roman" w:hAnsi="Times New Roman" w:cs="Times New Roman"/>
          <w:bCs/>
          <w:lang w:val="en-US"/>
        </w:rPr>
        <w:t xml:space="preserve">Keeping the weights fixed can lead us to being exposed to additional risk. It is vital that we </w:t>
      </w:r>
      <w:r w:rsidR="00B04E4B" w:rsidRPr="00D0677E">
        <w:rPr>
          <w:rFonts w:ascii="Times New Roman" w:eastAsia="Times New Roman" w:hAnsi="Times New Roman" w:cs="Times New Roman"/>
          <w:bCs/>
          <w:lang w:val="en-US"/>
        </w:rPr>
        <w:t>rebalance</w:t>
      </w:r>
      <w:r w:rsidR="00A45FAC" w:rsidRPr="00D0677E">
        <w:rPr>
          <w:rFonts w:ascii="Times New Roman" w:eastAsia="Times New Roman" w:hAnsi="Times New Roman" w:cs="Times New Roman"/>
          <w:bCs/>
          <w:lang w:val="en-US"/>
        </w:rPr>
        <w:t xml:space="preserve"> the portfolio weight overtime, to </w:t>
      </w:r>
      <w:r w:rsidR="00B04E4B" w:rsidRPr="00D0677E">
        <w:rPr>
          <w:rFonts w:ascii="Times New Roman" w:eastAsia="Times New Roman" w:hAnsi="Times New Roman" w:cs="Times New Roman"/>
          <w:bCs/>
          <w:lang w:val="en-US"/>
        </w:rPr>
        <w:t>account</w:t>
      </w:r>
      <w:r w:rsidR="00A45FAC" w:rsidRPr="00D0677E">
        <w:rPr>
          <w:rFonts w:ascii="Times New Roman" w:eastAsia="Times New Roman" w:hAnsi="Times New Roman" w:cs="Times New Roman"/>
          <w:bCs/>
          <w:lang w:val="en-US"/>
        </w:rPr>
        <w:t xml:space="preserve"> for differences in returns and their volatility in real time. That way we can control and minimize risk</w:t>
      </w:r>
      <w:r w:rsidR="008E11F9" w:rsidRPr="00D0677E">
        <w:rPr>
          <w:rFonts w:ascii="Times New Roman" w:eastAsia="Times New Roman" w:hAnsi="Times New Roman" w:cs="Times New Roman"/>
          <w:bCs/>
          <w:lang w:val="en-US"/>
        </w:rPr>
        <w:t>.</w:t>
      </w:r>
    </w:p>
    <w:p w14:paraId="517105AD" w14:textId="0D03FC9F" w:rsidR="008862C1" w:rsidRPr="00EB534D" w:rsidRDefault="00EB534D" w:rsidP="00B04E4B">
      <w:pPr>
        <w:ind w:left="720"/>
        <w:rPr>
          <w:rFonts w:ascii="Times New Roman" w:eastAsia="Times New Roman" w:hAnsi="Times New Roman" w:cs="Times New Roman"/>
          <w:b/>
        </w:rPr>
      </w:pPr>
      <w:r w:rsidRPr="00D0677E">
        <w:rPr>
          <w:rFonts w:ascii="Times New Roman" w:eastAsia="Times New Roman" w:hAnsi="Times New Roman" w:cs="Times New Roman"/>
          <w:b/>
          <w:lang w:val="en-US"/>
        </w:rPr>
        <w:br/>
        <w:t xml:space="preserve">Q12. Using the portfolio weights and assets from above, calculate the corresponding portfolio returns. More-over, use the portfolio returns to calculate the evolution of a $ 1 investment in the portfolio over the sample period. </w:t>
      </w:r>
      <w:r w:rsidRPr="00EB534D">
        <w:rPr>
          <w:rFonts w:ascii="Times New Roman" w:eastAsia="Times New Roman" w:hAnsi="Times New Roman" w:cs="Times New Roman"/>
          <w:b/>
        </w:rPr>
        <w:t xml:space="preserve">Plot </w:t>
      </w:r>
      <w:r w:rsidR="00323D8D">
        <w:rPr>
          <w:rFonts w:ascii="Times New Roman" w:eastAsia="Times New Roman" w:hAnsi="Times New Roman" w:cs="Times New Roman"/>
          <w:b/>
        </w:rPr>
        <w:t xml:space="preserve">and </w:t>
      </w:r>
      <w:r w:rsidR="00323D8D" w:rsidRPr="00B04E4B">
        <w:rPr>
          <w:rFonts w:ascii="Times New Roman" w:eastAsia="Times New Roman" w:hAnsi="Times New Roman" w:cs="Times New Roman"/>
          <w:b/>
          <w:lang w:val="en-GB"/>
        </w:rPr>
        <w:t>d</w:t>
      </w:r>
      <w:r w:rsidRPr="00B04E4B">
        <w:rPr>
          <w:rFonts w:ascii="Times New Roman" w:eastAsia="Times New Roman" w:hAnsi="Times New Roman" w:cs="Times New Roman"/>
          <w:b/>
          <w:lang w:val="en-GB"/>
        </w:rPr>
        <w:t>iscuss</w:t>
      </w:r>
      <w:r w:rsidRPr="00EB534D">
        <w:rPr>
          <w:rFonts w:ascii="Times New Roman" w:eastAsia="Times New Roman" w:hAnsi="Times New Roman" w:cs="Times New Roman"/>
          <w:b/>
        </w:rPr>
        <w:t xml:space="preserve"> the result.</w:t>
      </w:r>
    </w:p>
    <w:p w14:paraId="77F392AA" w14:textId="77777777" w:rsidR="008862C1" w:rsidRPr="00EB534D" w:rsidRDefault="008862C1">
      <w:pPr>
        <w:rPr>
          <w:rFonts w:ascii="Times New Roman" w:eastAsia="Times New Roman" w:hAnsi="Times New Roman" w:cs="Times New Roman"/>
          <w:b/>
        </w:rPr>
      </w:pPr>
    </w:p>
    <w:p w14:paraId="564E7546" w14:textId="1B7B0D9E" w:rsidR="008862C1" w:rsidRDefault="00323D8D">
      <w:pPr>
        <w:rPr>
          <w:rFonts w:ascii="Times New Roman" w:eastAsia="Times New Roman" w:hAnsi="Times New Roman" w:cs="Times New Roman"/>
          <w:b/>
        </w:rPr>
      </w:pPr>
      <w:r w:rsidRPr="00323D8D">
        <w:rPr>
          <w:rFonts w:ascii="Times New Roman" w:eastAsia="Times New Roman" w:hAnsi="Times New Roman" w:cs="Times New Roman"/>
          <w:b/>
          <w:noProof/>
        </w:rPr>
        <w:drawing>
          <wp:inline distT="0" distB="0" distL="0" distR="0" wp14:anchorId="5E4F6271" wp14:editId="29F0F1DA">
            <wp:extent cx="5733415" cy="3592830"/>
            <wp:effectExtent l="0" t="0" r="635" b="762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a:stretch>
                      <a:fillRect/>
                    </a:stretch>
                  </pic:blipFill>
                  <pic:spPr>
                    <a:xfrm>
                      <a:off x="0" y="0"/>
                      <a:ext cx="5733415" cy="3592830"/>
                    </a:xfrm>
                    <a:prstGeom prst="rect">
                      <a:avLst/>
                    </a:prstGeom>
                  </pic:spPr>
                </pic:pic>
              </a:graphicData>
            </a:graphic>
          </wp:inline>
        </w:drawing>
      </w:r>
    </w:p>
    <w:p w14:paraId="5AC61C92" w14:textId="77777777" w:rsidR="00323D8D" w:rsidRPr="00EB534D" w:rsidRDefault="00323D8D">
      <w:pPr>
        <w:rPr>
          <w:rFonts w:ascii="Times New Roman" w:eastAsia="Times New Roman" w:hAnsi="Times New Roman" w:cs="Times New Roman"/>
          <w:b/>
        </w:rPr>
      </w:pPr>
    </w:p>
    <w:p w14:paraId="1AF5DF77" w14:textId="755529FB" w:rsidR="008862C1" w:rsidRPr="00D0677E" w:rsidRDefault="00323D8D">
      <w:pPr>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We get a plot for the three stocks: JP Morgan, ExxonMobil, and Intel. We see through this graph the return we could have obtained if we had invested $1 in the stock. </w:t>
      </w:r>
      <w:r w:rsidR="00B04E4B" w:rsidRPr="00D0677E">
        <w:rPr>
          <w:rFonts w:ascii="Times New Roman" w:eastAsia="Times New Roman" w:hAnsi="Times New Roman" w:cs="Times New Roman"/>
          <w:lang w:val="en-US"/>
        </w:rPr>
        <w:t>The</w:t>
      </w:r>
      <w:r w:rsidRPr="00D0677E">
        <w:rPr>
          <w:rFonts w:ascii="Times New Roman" w:eastAsia="Times New Roman" w:hAnsi="Times New Roman" w:cs="Times New Roman"/>
          <w:lang w:val="en-US"/>
        </w:rPr>
        <w:t xml:space="preserve"> highest return </w:t>
      </w:r>
      <w:r w:rsidR="00155C1A" w:rsidRPr="00D0677E">
        <w:rPr>
          <w:rFonts w:ascii="Times New Roman" w:eastAsia="Times New Roman" w:hAnsi="Times New Roman" w:cs="Times New Roman"/>
          <w:lang w:val="en-US"/>
        </w:rPr>
        <w:t>o</w:t>
      </w:r>
      <w:r w:rsidRPr="00D0677E">
        <w:rPr>
          <w:rFonts w:ascii="Times New Roman" w:eastAsia="Times New Roman" w:hAnsi="Times New Roman" w:cs="Times New Roman"/>
          <w:lang w:val="en-US"/>
        </w:rPr>
        <w:t xml:space="preserve">verall is for Intel with </w:t>
      </w:r>
      <w:r w:rsidR="00B04E4B" w:rsidRPr="00D0677E">
        <w:rPr>
          <w:rFonts w:ascii="Times New Roman" w:eastAsia="Times New Roman" w:hAnsi="Times New Roman" w:cs="Times New Roman"/>
          <w:lang w:val="en-US"/>
        </w:rPr>
        <w:t>a</w:t>
      </w:r>
      <w:r w:rsidRPr="00D0677E">
        <w:rPr>
          <w:rFonts w:ascii="Times New Roman" w:eastAsia="Times New Roman" w:hAnsi="Times New Roman" w:cs="Times New Roman"/>
          <w:lang w:val="en-US"/>
        </w:rPr>
        <w:t xml:space="preserve"> sharp peak in the early 2000</w:t>
      </w:r>
      <w:r w:rsidR="00B04E4B" w:rsidRPr="00D0677E">
        <w:rPr>
          <w:rFonts w:ascii="Times New Roman" w:eastAsia="Times New Roman" w:hAnsi="Times New Roman" w:cs="Times New Roman"/>
          <w:lang w:val="en-US"/>
        </w:rPr>
        <w:t>’.</w:t>
      </w:r>
      <w:r w:rsidR="00380C1C" w:rsidRPr="00D0677E">
        <w:rPr>
          <w:rFonts w:ascii="Times New Roman" w:eastAsia="Times New Roman" w:hAnsi="Times New Roman" w:cs="Times New Roman"/>
          <w:lang w:val="en-US"/>
        </w:rPr>
        <w:t xml:space="preserve"> </w:t>
      </w:r>
      <w:r w:rsidR="00B04E4B" w:rsidRPr="00D0677E">
        <w:rPr>
          <w:rFonts w:ascii="Times New Roman" w:eastAsia="Times New Roman" w:hAnsi="Times New Roman" w:cs="Times New Roman"/>
          <w:lang w:val="en-US"/>
        </w:rPr>
        <w:t>However,</w:t>
      </w:r>
      <w:r w:rsidR="00155C1A" w:rsidRPr="00D0677E">
        <w:rPr>
          <w:rFonts w:ascii="Times New Roman" w:eastAsia="Times New Roman" w:hAnsi="Times New Roman" w:cs="Times New Roman"/>
          <w:lang w:val="en-US"/>
        </w:rPr>
        <w:t xml:space="preserve"> it is worth noting that Intel has the most volatile </w:t>
      </w:r>
      <w:r w:rsidR="00B04E4B" w:rsidRPr="00D0677E">
        <w:rPr>
          <w:rFonts w:ascii="Times New Roman" w:eastAsia="Times New Roman" w:hAnsi="Times New Roman" w:cs="Times New Roman"/>
          <w:lang w:val="en-US"/>
        </w:rPr>
        <w:t>behavior</w:t>
      </w:r>
      <w:r w:rsidRPr="00D0677E">
        <w:rPr>
          <w:rFonts w:ascii="Times New Roman" w:eastAsia="Times New Roman" w:hAnsi="Times New Roman" w:cs="Times New Roman"/>
          <w:lang w:val="en-US"/>
        </w:rPr>
        <w:t xml:space="preserve">. ExxonMobil and JP </w:t>
      </w:r>
      <w:r w:rsidR="00B04E4B" w:rsidRPr="00D0677E">
        <w:rPr>
          <w:rFonts w:ascii="Times New Roman" w:eastAsia="Times New Roman" w:hAnsi="Times New Roman" w:cs="Times New Roman"/>
          <w:lang w:val="en-US"/>
        </w:rPr>
        <w:t>Morgan</w:t>
      </w:r>
      <w:r w:rsidRPr="00D0677E">
        <w:rPr>
          <w:rFonts w:ascii="Times New Roman" w:eastAsia="Times New Roman" w:hAnsi="Times New Roman" w:cs="Times New Roman"/>
          <w:lang w:val="en-US"/>
        </w:rPr>
        <w:t xml:space="preserve"> follow with the former providing the less returns but</w:t>
      </w:r>
      <w:r w:rsidR="00155C1A" w:rsidRPr="00D0677E">
        <w:rPr>
          <w:rFonts w:ascii="Times New Roman" w:eastAsia="Times New Roman" w:hAnsi="Times New Roman" w:cs="Times New Roman"/>
          <w:lang w:val="en-US"/>
        </w:rPr>
        <w:t xml:space="preserve"> being the most</w:t>
      </w:r>
      <w:r w:rsidRPr="00D0677E">
        <w:rPr>
          <w:rFonts w:ascii="Times New Roman" w:eastAsia="Times New Roman" w:hAnsi="Times New Roman" w:cs="Times New Roman"/>
          <w:lang w:val="en-US"/>
        </w:rPr>
        <w:t xml:space="preserve"> stable. It is also interesting to see how the 2008 recession influenced our portfolio will all stock returns falling sharply</w:t>
      </w:r>
      <w:r w:rsidR="00155C1A" w:rsidRPr="00D0677E">
        <w:rPr>
          <w:rFonts w:ascii="Times New Roman" w:eastAsia="Times New Roman" w:hAnsi="Times New Roman" w:cs="Times New Roman"/>
          <w:lang w:val="en-US"/>
        </w:rPr>
        <w:t>, only to regain momentum in the following years</w:t>
      </w:r>
    </w:p>
    <w:p w14:paraId="658A9452" w14:textId="77777777" w:rsidR="008862C1" w:rsidRPr="00D0677E" w:rsidRDefault="008862C1">
      <w:pPr>
        <w:rPr>
          <w:rFonts w:ascii="Times New Roman" w:eastAsia="Times New Roman" w:hAnsi="Times New Roman" w:cs="Times New Roman"/>
          <w:lang w:val="en-US"/>
        </w:rPr>
      </w:pPr>
    </w:p>
    <w:p w14:paraId="20845142" w14:textId="56A9F1A3" w:rsidR="00155C1A" w:rsidRPr="00D0677E" w:rsidRDefault="00155C1A">
      <w:pPr>
        <w:rPr>
          <w:rFonts w:ascii="Times New Roman" w:eastAsia="Times New Roman" w:hAnsi="Times New Roman" w:cs="Times New Roman"/>
          <w:lang w:val="en-US"/>
        </w:rPr>
      </w:pPr>
    </w:p>
    <w:p w14:paraId="50A7E24A" w14:textId="53A1162F" w:rsidR="00155C1A" w:rsidRPr="00D0677E" w:rsidRDefault="00155C1A">
      <w:pPr>
        <w:rPr>
          <w:rFonts w:ascii="Times New Roman" w:eastAsia="Times New Roman" w:hAnsi="Times New Roman" w:cs="Times New Roman"/>
          <w:lang w:val="en-US"/>
        </w:rPr>
      </w:pPr>
    </w:p>
    <w:p w14:paraId="65DCF917" w14:textId="694CD666" w:rsidR="00155C1A" w:rsidRPr="00D0677E" w:rsidRDefault="00155C1A">
      <w:pPr>
        <w:rPr>
          <w:rFonts w:ascii="Times New Roman" w:eastAsia="Times New Roman" w:hAnsi="Times New Roman" w:cs="Times New Roman"/>
          <w:lang w:val="en-US"/>
        </w:rPr>
      </w:pPr>
    </w:p>
    <w:p w14:paraId="43C9E83D" w14:textId="33DF3631" w:rsidR="00155C1A" w:rsidRPr="00D0677E" w:rsidRDefault="00155C1A">
      <w:pPr>
        <w:rPr>
          <w:rFonts w:ascii="Times New Roman" w:eastAsia="Times New Roman" w:hAnsi="Times New Roman" w:cs="Times New Roman"/>
          <w:lang w:val="en-US"/>
        </w:rPr>
      </w:pPr>
    </w:p>
    <w:p w14:paraId="152EBAF6" w14:textId="3CC73BF2" w:rsidR="00155C1A" w:rsidRPr="00D0677E" w:rsidRDefault="00155C1A">
      <w:pPr>
        <w:rPr>
          <w:rFonts w:ascii="Times New Roman" w:eastAsia="Times New Roman" w:hAnsi="Times New Roman" w:cs="Times New Roman"/>
          <w:lang w:val="en-US"/>
        </w:rPr>
      </w:pPr>
    </w:p>
    <w:p w14:paraId="42537ED1" w14:textId="5AF3209D" w:rsidR="00155C1A" w:rsidRDefault="00155C1A">
      <w:pPr>
        <w:rPr>
          <w:rFonts w:ascii="Times New Roman" w:eastAsia="Times New Roman" w:hAnsi="Times New Roman" w:cs="Times New Roman"/>
          <w:lang w:val="en-US"/>
        </w:rPr>
      </w:pPr>
    </w:p>
    <w:p w14:paraId="3C370392" w14:textId="2590DE65" w:rsidR="00B04E4B" w:rsidRDefault="00B04E4B">
      <w:pPr>
        <w:rPr>
          <w:rFonts w:ascii="Times New Roman" w:eastAsia="Times New Roman" w:hAnsi="Times New Roman" w:cs="Times New Roman"/>
          <w:lang w:val="en-US"/>
        </w:rPr>
      </w:pPr>
    </w:p>
    <w:p w14:paraId="41B080D0" w14:textId="77777777" w:rsidR="00B04E4B" w:rsidRPr="00D0677E" w:rsidRDefault="00B04E4B">
      <w:pPr>
        <w:rPr>
          <w:rFonts w:ascii="Times New Roman" w:eastAsia="Times New Roman" w:hAnsi="Times New Roman" w:cs="Times New Roman"/>
          <w:lang w:val="en-US"/>
        </w:rPr>
      </w:pPr>
    </w:p>
    <w:p w14:paraId="1EB59402" w14:textId="1743D663" w:rsidR="008862C1" w:rsidRPr="00D0677E" w:rsidRDefault="00224756">
      <w:pPr>
        <w:rPr>
          <w:rFonts w:ascii="Times New Roman" w:eastAsia="Times New Roman" w:hAnsi="Times New Roman" w:cs="Times New Roman"/>
          <w:b/>
          <w:bCs/>
          <w:sz w:val="24"/>
          <w:szCs w:val="24"/>
          <w:lang w:val="en-US"/>
        </w:rPr>
      </w:pPr>
      <w:r w:rsidRPr="00D0677E">
        <w:rPr>
          <w:rFonts w:ascii="Times New Roman" w:eastAsia="Times New Roman" w:hAnsi="Times New Roman" w:cs="Times New Roman"/>
          <w:b/>
          <w:bCs/>
          <w:sz w:val="24"/>
          <w:szCs w:val="24"/>
          <w:lang w:val="en-US"/>
        </w:rPr>
        <w:lastRenderedPageBreak/>
        <w:t>Appendix</w:t>
      </w:r>
    </w:p>
    <w:p w14:paraId="525FBB0B" w14:textId="77777777" w:rsidR="00224756" w:rsidRPr="00D0677E" w:rsidRDefault="00224756">
      <w:pPr>
        <w:rPr>
          <w:rFonts w:ascii="Times New Roman" w:eastAsia="Times New Roman" w:hAnsi="Times New Roman" w:cs="Times New Roman"/>
          <w:lang w:val="en-US"/>
        </w:rPr>
      </w:pPr>
    </w:p>
    <w:p w14:paraId="3DC82841" w14:textId="2AF825FC" w:rsidR="00224756" w:rsidRPr="00D0677E" w:rsidRDefault="00224756">
      <w:pPr>
        <w:rPr>
          <w:rFonts w:ascii="Times New Roman" w:eastAsia="Times New Roman" w:hAnsi="Times New Roman" w:cs="Times New Roman"/>
          <w:lang w:val="en-US"/>
        </w:rPr>
      </w:pPr>
      <w:r w:rsidRPr="00D0677E">
        <w:rPr>
          <w:rFonts w:ascii="Times New Roman" w:eastAsia="Times New Roman" w:hAnsi="Times New Roman" w:cs="Times New Roman"/>
          <w:lang w:val="en-US"/>
        </w:rPr>
        <w:t>Q10 Graphs (ACF)</w:t>
      </w:r>
    </w:p>
    <w:p w14:paraId="0CD5F73D" w14:textId="77777777" w:rsidR="00380C1C" w:rsidRPr="00D0677E" w:rsidRDefault="00380C1C">
      <w:pPr>
        <w:rPr>
          <w:rFonts w:ascii="Times New Roman" w:eastAsia="Times New Roman" w:hAnsi="Times New Roman" w:cs="Times New Roman"/>
          <w:lang w:val="en-US"/>
        </w:rPr>
      </w:pPr>
    </w:p>
    <w:p w14:paraId="5775DD49" w14:textId="77777777" w:rsidR="00380C1C" w:rsidRPr="00D0677E" w:rsidRDefault="00380C1C">
      <w:pPr>
        <w:rPr>
          <w:noProof/>
          <w:lang w:val="en-US"/>
        </w:rPr>
      </w:pPr>
    </w:p>
    <w:p w14:paraId="7DC0A24E" w14:textId="2B6AA6C6" w:rsidR="00471C0F" w:rsidRPr="00D0677E" w:rsidRDefault="00380C1C">
      <w:pPr>
        <w:rPr>
          <w:noProof/>
          <w:lang w:val="en-US"/>
        </w:rPr>
      </w:pPr>
      <w:r>
        <w:rPr>
          <w:noProof/>
        </w:rPr>
        <w:drawing>
          <wp:inline distT="0" distB="0" distL="0" distR="0" wp14:anchorId="6DE5B772" wp14:editId="4CEFED2D">
            <wp:extent cx="2840989" cy="5364161"/>
            <wp:effectExtent l="0" t="0" r="0" b="825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11"/>
                    <a:srcRect t="12792"/>
                    <a:stretch/>
                  </pic:blipFill>
                  <pic:spPr bwMode="auto">
                    <a:xfrm>
                      <a:off x="0" y="0"/>
                      <a:ext cx="2874140" cy="5426755"/>
                    </a:xfrm>
                    <a:prstGeom prst="rect">
                      <a:avLst/>
                    </a:prstGeom>
                    <a:ln>
                      <a:noFill/>
                    </a:ln>
                    <a:extLst>
                      <a:ext uri="{53640926-AAD7-44D8-BBD7-CCE9431645EC}">
                        <a14:shadowObscured xmlns:a14="http://schemas.microsoft.com/office/drawing/2010/main"/>
                      </a:ext>
                    </a:extLst>
                  </pic:spPr>
                </pic:pic>
              </a:graphicData>
            </a:graphic>
          </wp:inline>
        </w:drawing>
      </w:r>
      <w:r w:rsidR="00471C0F" w:rsidRPr="00D0677E">
        <w:rPr>
          <w:noProof/>
          <w:lang w:val="en-US"/>
        </w:rPr>
        <w:t xml:space="preserve"> </w:t>
      </w:r>
      <w:r w:rsidR="00471C0F">
        <w:rPr>
          <w:noProof/>
        </w:rPr>
        <w:drawing>
          <wp:inline distT="0" distB="0" distL="0" distR="0" wp14:anchorId="07CA0595" wp14:editId="4021D79E">
            <wp:extent cx="2762250" cy="5369782"/>
            <wp:effectExtent l="0" t="0" r="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2"/>
                    <a:srcRect t="10212"/>
                    <a:stretch/>
                  </pic:blipFill>
                  <pic:spPr bwMode="auto">
                    <a:xfrm>
                      <a:off x="0" y="0"/>
                      <a:ext cx="2789115" cy="5422008"/>
                    </a:xfrm>
                    <a:prstGeom prst="rect">
                      <a:avLst/>
                    </a:prstGeom>
                    <a:ln>
                      <a:noFill/>
                    </a:ln>
                    <a:extLst>
                      <a:ext uri="{53640926-AAD7-44D8-BBD7-CCE9431645EC}">
                        <a14:shadowObscured xmlns:a14="http://schemas.microsoft.com/office/drawing/2010/main"/>
                      </a:ext>
                    </a:extLst>
                  </pic:spPr>
                </pic:pic>
              </a:graphicData>
            </a:graphic>
          </wp:inline>
        </w:drawing>
      </w:r>
    </w:p>
    <w:p w14:paraId="358CC216" w14:textId="385DCA51" w:rsidR="00471C0F" w:rsidRPr="00D0677E" w:rsidRDefault="00471C0F">
      <w:pPr>
        <w:rPr>
          <w:noProof/>
          <w:lang w:val="en-US"/>
        </w:rPr>
      </w:pPr>
    </w:p>
    <w:p w14:paraId="66B756DF" w14:textId="77777777" w:rsidR="00471C0F" w:rsidRPr="00D0677E" w:rsidRDefault="00471C0F">
      <w:pPr>
        <w:rPr>
          <w:noProof/>
          <w:lang w:val="en-US"/>
        </w:rPr>
      </w:pPr>
    </w:p>
    <w:p w14:paraId="50FEBE3B" w14:textId="12B1FE4C" w:rsidR="00471C0F" w:rsidRPr="00D0677E" w:rsidRDefault="00471C0F">
      <w:pPr>
        <w:rPr>
          <w:noProof/>
          <w:lang w:val="en-US"/>
        </w:rPr>
      </w:pPr>
      <w:r>
        <w:rPr>
          <w:noProof/>
        </w:rPr>
        <w:lastRenderedPageBreak/>
        <w:drawing>
          <wp:inline distT="0" distB="0" distL="0" distR="0" wp14:anchorId="662BF052" wp14:editId="0374F7C2">
            <wp:extent cx="2839359" cy="5519678"/>
            <wp:effectExtent l="0" t="0" r="0" b="508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rotWithShape="1">
                    <a:blip r:embed="rId13"/>
                    <a:srcRect t="10212"/>
                    <a:stretch/>
                  </pic:blipFill>
                  <pic:spPr bwMode="auto">
                    <a:xfrm>
                      <a:off x="0" y="0"/>
                      <a:ext cx="2858040" cy="5555993"/>
                    </a:xfrm>
                    <a:prstGeom prst="rect">
                      <a:avLst/>
                    </a:prstGeom>
                    <a:ln>
                      <a:noFill/>
                    </a:ln>
                    <a:extLst>
                      <a:ext uri="{53640926-AAD7-44D8-BBD7-CCE9431645EC}">
                        <a14:shadowObscured xmlns:a14="http://schemas.microsoft.com/office/drawing/2010/main"/>
                      </a:ext>
                    </a:extLst>
                  </pic:spPr>
                </pic:pic>
              </a:graphicData>
            </a:graphic>
          </wp:inline>
        </w:drawing>
      </w:r>
      <w:r w:rsidRPr="00D0677E">
        <w:rPr>
          <w:noProof/>
          <w:lang w:val="en-US"/>
        </w:rPr>
        <w:t xml:space="preserve"> </w:t>
      </w:r>
      <w:r>
        <w:rPr>
          <w:noProof/>
        </w:rPr>
        <w:drawing>
          <wp:inline distT="0" distB="0" distL="0" distR="0" wp14:anchorId="517558AA" wp14:editId="6A7E1BFF">
            <wp:extent cx="2847975" cy="5536427"/>
            <wp:effectExtent l="0" t="0" r="0" b="762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rotWithShape="1">
                    <a:blip r:embed="rId14"/>
                    <a:srcRect t="10212"/>
                    <a:stretch/>
                  </pic:blipFill>
                  <pic:spPr bwMode="auto">
                    <a:xfrm>
                      <a:off x="0" y="0"/>
                      <a:ext cx="2852618" cy="5545453"/>
                    </a:xfrm>
                    <a:prstGeom prst="rect">
                      <a:avLst/>
                    </a:prstGeom>
                    <a:ln>
                      <a:noFill/>
                    </a:ln>
                    <a:extLst>
                      <a:ext uri="{53640926-AAD7-44D8-BBD7-CCE9431645EC}">
                        <a14:shadowObscured xmlns:a14="http://schemas.microsoft.com/office/drawing/2010/main"/>
                      </a:ext>
                    </a:extLst>
                  </pic:spPr>
                </pic:pic>
              </a:graphicData>
            </a:graphic>
          </wp:inline>
        </w:drawing>
      </w:r>
    </w:p>
    <w:p w14:paraId="01276A5C" w14:textId="15A915B2" w:rsidR="00471C0F" w:rsidRPr="00D0677E" w:rsidRDefault="00471C0F">
      <w:pPr>
        <w:rPr>
          <w:noProof/>
          <w:lang w:val="en-US"/>
        </w:rPr>
      </w:pPr>
    </w:p>
    <w:p w14:paraId="36FBDEE1" w14:textId="02BF3C05" w:rsidR="008862C1" w:rsidRPr="00D0677E" w:rsidRDefault="008862C1">
      <w:pPr>
        <w:rPr>
          <w:rFonts w:ascii="Times New Roman" w:eastAsia="Times New Roman" w:hAnsi="Times New Roman" w:cs="Times New Roman"/>
          <w:lang w:val="en-US"/>
        </w:rPr>
      </w:pPr>
    </w:p>
    <w:p w14:paraId="77A22285" w14:textId="77777777" w:rsidR="008862C1" w:rsidRPr="00D0677E" w:rsidRDefault="008862C1">
      <w:pPr>
        <w:rPr>
          <w:rFonts w:ascii="Times New Roman" w:eastAsia="Times New Roman" w:hAnsi="Times New Roman" w:cs="Times New Roman"/>
          <w:lang w:val="en-US"/>
        </w:rPr>
      </w:pPr>
    </w:p>
    <w:p w14:paraId="22133EC8" w14:textId="77777777" w:rsidR="008862C1" w:rsidRPr="00D0677E" w:rsidRDefault="00A21F75">
      <w:pPr>
        <w:rPr>
          <w:rFonts w:ascii="Times New Roman" w:eastAsia="Times New Roman" w:hAnsi="Times New Roman" w:cs="Times New Roman"/>
          <w:b/>
          <w:bCs/>
          <w:sz w:val="24"/>
          <w:szCs w:val="24"/>
          <w:lang w:val="en-US"/>
        </w:rPr>
      </w:pPr>
      <w:r w:rsidRPr="00D0677E">
        <w:rPr>
          <w:rFonts w:ascii="Times New Roman" w:eastAsia="Times New Roman" w:hAnsi="Times New Roman" w:cs="Times New Roman"/>
          <w:b/>
          <w:bCs/>
          <w:sz w:val="24"/>
          <w:szCs w:val="24"/>
          <w:lang w:val="en-US"/>
        </w:rPr>
        <w:t>References</w:t>
      </w:r>
    </w:p>
    <w:p w14:paraId="575C38E0" w14:textId="77777777" w:rsidR="008862C1" w:rsidRPr="00D0677E" w:rsidRDefault="008862C1">
      <w:pPr>
        <w:rPr>
          <w:rFonts w:ascii="Times New Roman" w:eastAsia="Times New Roman" w:hAnsi="Times New Roman" w:cs="Times New Roman"/>
          <w:lang w:val="en-US"/>
        </w:rPr>
      </w:pPr>
    </w:p>
    <w:p w14:paraId="07FEC863" w14:textId="77777777" w:rsidR="008862C1" w:rsidRPr="00D0677E" w:rsidRDefault="00A21F75">
      <w:pPr>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Forbes.2009, August 4. </w:t>
      </w:r>
      <w:r w:rsidRPr="00D0677E">
        <w:rPr>
          <w:rFonts w:ascii="Times New Roman" w:eastAsia="Times New Roman" w:hAnsi="Times New Roman" w:cs="Times New Roman"/>
          <w:b/>
          <w:color w:val="333333"/>
          <w:lang w:val="en-US"/>
        </w:rPr>
        <w:t xml:space="preserve">Accounting Tricks Catch Up With GE. </w:t>
      </w:r>
      <w:r w:rsidRPr="00D0677E">
        <w:rPr>
          <w:rFonts w:ascii="Times New Roman" w:eastAsia="Times New Roman" w:hAnsi="Times New Roman" w:cs="Times New Roman"/>
          <w:lang w:val="en-US"/>
        </w:rPr>
        <w:t xml:space="preserve">Retrieved on 23.01.2022 from </w:t>
      </w:r>
      <w:hyperlink r:id="rId15">
        <w:r w:rsidRPr="00D0677E">
          <w:rPr>
            <w:rFonts w:ascii="Times New Roman" w:eastAsia="Times New Roman" w:hAnsi="Times New Roman" w:cs="Times New Roman"/>
            <w:color w:val="1155CC"/>
            <w:u w:val="single"/>
            <w:lang w:val="en-US"/>
          </w:rPr>
          <w:t>https://www.forbes.com/2009/08/04/ge-immelt-sec-earnings-business-beltway-ge.html?sh=5ecfd90f5047</w:t>
        </w:r>
      </w:hyperlink>
      <w:r w:rsidRPr="00D0677E">
        <w:rPr>
          <w:rFonts w:ascii="Times New Roman" w:eastAsia="Times New Roman" w:hAnsi="Times New Roman" w:cs="Times New Roman"/>
          <w:lang w:val="en-US"/>
        </w:rPr>
        <w:t xml:space="preserve"> </w:t>
      </w:r>
    </w:p>
    <w:p w14:paraId="545A3DBA" w14:textId="77777777" w:rsidR="008862C1" w:rsidRPr="00D0677E" w:rsidRDefault="008862C1">
      <w:pPr>
        <w:pBdr>
          <w:top w:val="nil"/>
          <w:left w:val="nil"/>
          <w:bottom w:val="nil"/>
          <w:right w:val="nil"/>
          <w:between w:val="nil"/>
        </w:pBdr>
        <w:rPr>
          <w:rFonts w:ascii="Times New Roman" w:eastAsia="Times New Roman" w:hAnsi="Times New Roman" w:cs="Times New Roman"/>
          <w:lang w:val="en-US"/>
        </w:rPr>
      </w:pPr>
    </w:p>
    <w:p w14:paraId="24FEF884" w14:textId="77777777" w:rsidR="008862C1" w:rsidRPr="00D0677E" w:rsidRDefault="00A21F75">
      <w:pPr>
        <w:pBdr>
          <w:top w:val="nil"/>
          <w:left w:val="nil"/>
          <w:bottom w:val="nil"/>
          <w:right w:val="nil"/>
          <w:between w:val="nil"/>
        </w:pBdr>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Vieira, E. S., &amp; Raposo, C. C. (2007). </w:t>
      </w:r>
      <w:r w:rsidRPr="00D0677E">
        <w:rPr>
          <w:rFonts w:ascii="Times New Roman" w:eastAsia="Times New Roman" w:hAnsi="Times New Roman" w:cs="Times New Roman"/>
          <w:i/>
          <w:lang w:val="en-US"/>
        </w:rPr>
        <w:t xml:space="preserve">Signalling with dividends? The signalling effects of dividend change announcements: new evidence from Europe. </w:t>
      </w:r>
      <w:r w:rsidRPr="00D0677E">
        <w:rPr>
          <w:rFonts w:ascii="Times New Roman" w:eastAsia="Times New Roman" w:hAnsi="Times New Roman" w:cs="Times New Roman"/>
          <w:lang w:val="en-US"/>
        </w:rPr>
        <w:t>The Signalling Effects of Dividend Change Announcements: New Evidence from Europe (January 2007)</w:t>
      </w:r>
    </w:p>
    <w:p w14:paraId="6490A1AA" w14:textId="77777777" w:rsidR="008862C1" w:rsidRPr="00D0677E" w:rsidRDefault="008862C1">
      <w:pPr>
        <w:pBdr>
          <w:top w:val="nil"/>
          <w:left w:val="nil"/>
          <w:bottom w:val="nil"/>
          <w:right w:val="nil"/>
          <w:between w:val="nil"/>
        </w:pBdr>
        <w:rPr>
          <w:rFonts w:ascii="Times New Roman" w:eastAsia="Times New Roman" w:hAnsi="Times New Roman" w:cs="Times New Roman"/>
          <w:lang w:val="en-US"/>
        </w:rPr>
      </w:pPr>
    </w:p>
    <w:p w14:paraId="1B96DC10" w14:textId="77777777" w:rsidR="008862C1" w:rsidRPr="00D0677E" w:rsidRDefault="00A21F75">
      <w:pPr>
        <w:pBdr>
          <w:top w:val="nil"/>
          <w:left w:val="nil"/>
          <w:bottom w:val="nil"/>
          <w:right w:val="nil"/>
          <w:between w:val="nil"/>
        </w:pBdr>
        <w:rPr>
          <w:rFonts w:ascii="Times New Roman" w:eastAsia="Times New Roman" w:hAnsi="Times New Roman" w:cs="Times New Roman"/>
          <w:lang w:val="en-US"/>
        </w:rPr>
      </w:pPr>
      <w:r w:rsidRPr="00D0677E">
        <w:rPr>
          <w:rFonts w:ascii="Times New Roman" w:eastAsia="Times New Roman" w:hAnsi="Times New Roman" w:cs="Times New Roman"/>
          <w:lang w:val="en-US"/>
        </w:rPr>
        <w:t xml:space="preserve">Suwanna, T. (2012). </w:t>
      </w:r>
      <w:r w:rsidRPr="00D0677E">
        <w:rPr>
          <w:rFonts w:ascii="Times New Roman" w:eastAsia="Times New Roman" w:hAnsi="Times New Roman" w:cs="Times New Roman"/>
          <w:i/>
          <w:lang w:val="en-US"/>
        </w:rPr>
        <w:t xml:space="preserve">Impacts of dividend announcement on stock return. </w:t>
      </w:r>
      <w:r w:rsidRPr="00D0677E">
        <w:rPr>
          <w:rFonts w:ascii="Times New Roman" w:eastAsia="Times New Roman" w:hAnsi="Times New Roman" w:cs="Times New Roman"/>
          <w:lang w:val="en-US"/>
        </w:rPr>
        <w:t>Procedia-Social and Behavioral Sciences, 40, 721-725.</w:t>
      </w:r>
    </w:p>
    <w:p w14:paraId="05851B79" w14:textId="77777777" w:rsidR="008862C1" w:rsidRPr="00D0677E" w:rsidRDefault="008862C1">
      <w:pPr>
        <w:pBdr>
          <w:top w:val="nil"/>
          <w:left w:val="nil"/>
          <w:bottom w:val="nil"/>
          <w:right w:val="nil"/>
          <w:between w:val="nil"/>
        </w:pBdr>
        <w:rPr>
          <w:rFonts w:ascii="Times New Roman" w:eastAsia="Times New Roman" w:hAnsi="Times New Roman" w:cs="Times New Roman"/>
          <w:lang w:val="en-US"/>
        </w:rPr>
      </w:pPr>
    </w:p>
    <w:p w14:paraId="5E7B9346" w14:textId="77777777" w:rsidR="008862C1" w:rsidRPr="00D0677E" w:rsidRDefault="00A21F75">
      <w:pPr>
        <w:pBdr>
          <w:top w:val="nil"/>
          <w:left w:val="nil"/>
          <w:bottom w:val="nil"/>
          <w:right w:val="nil"/>
          <w:between w:val="nil"/>
        </w:pBdr>
        <w:rPr>
          <w:i/>
          <w:color w:val="222222"/>
          <w:sz w:val="20"/>
          <w:szCs w:val="20"/>
          <w:highlight w:val="white"/>
          <w:lang w:val="en-US"/>
        </w:rPr>
      </w:pPr>
      <w:r w:rsidRPr="00D0677E">
        <w:rPr>
          <w:rFonts w:ascii="Times New Roman" w:eastAsia="Times New Roman" w:hAnsi="Times New Roman" w:cs="Times New Roman"/>
          <w:lang w:val="en-US"/>
        </w:rPr>
        <w:lastRenderedPageBreak/>
        <w:t xml:space="preserve">Microsoft. 2006, September 13. </w:t>
      </w:r>
      <w:r w:rsidRPr="00D0677E">
        <w:rPr>
          <w:rFonts w:ascii="Times New Roman" w:eastAsia="Times New Roman" w:hAnsi="Times New Roman" w:cs="Times New Roman"/>
          <w:i/>
          <w:lang w:val="en-US"/>
        </w:rPr>
        <w:t>Microsoft increases quarterly dividend. Stories.</w:t>
      </w:r>
      <w:r w:rsidRPr="00D0677E">
        <w:rPr>
          <w:rFonts w:ascii="Times New Roman" w:eastAsia="Times New Roman" w:hAnsi="Times New Roman" w:cs="Times New Roman"/>
          <w:lang w:val="en-US"/>
        </w:rPr>
        <w:t xml:space="preserve"> Retrieved 23.01.2022, from https://news.microsoft.com/2006/09/13/microsoft-increases-quarterly-dividend-2/ </w:t>
      </w:r>
    </w:p>
    <w:p w14:paraId="45CDC59D" w14:textId="77777777" w:rsidR="008862C1" w:rsidRPr="00D0677E" w:rsidRDefault="008862C1">
      <w:pPr>
        <w:rPr>
          <w:i/>
          <w:color w:val="222222"/>
          <w:sz w:val="20"/>
          <w:szCs w:val="20"/>
          <w:highlight w:val="white"/>
          <w:lang w:val="en-US"/>
        </w:rPr>
      </w:pPr>
    </w:p>
    <w:p w14:paraId="0222E212" w14:textId="77777777" w:rsidR="008862C1" w:rsidRPr="00D0677E" w:rsidRDefault="00A21F75">
      <w:pPr>
        <w:spacing w:before="240" w:after="240"/>
        <w:rPr>
          <w:i/>
          <w:color w:val="222222"/>
          <w:sz w:val="20"/>
          <w:szCs w:val="20"/>
          <w:highlight w:val="white"/>
          <w:lang w:val="en-US"/>
        </w:rPr>
      </w:pPr>
      <w:r w:rsidRPr="00D0677E">
        <w:rPr>
          <w:rFonts w:ascii="Times New Roman" w:eastAsia="Times New Roman" w:hAnsi="Times New Roman" w:cs="Times New Roman"/>
          <w:lang w:val="en-US"/>
        </w:rPr>
        <w:t xml:space="preserve">Corporate Finance Institute. (2022, January 14). </w:t>
      </w:r>
      <w:r w:rsidRPr="00D0677E">
        <w:rPr>
          <w:rFonts w:ascii="Times New Roman" w:eastAsia="Times New Roman" w:hAnsi="Times New Roman" w:cs="Times New Roman"/>
          <w:i/>
          <w:lang w:val="en-US"/>
        </w:rPr>
        <w:t>Positively skewed distribution</w:t>
      </w:r>
      <w:r w:rsidRPr="00D0677E">
        <w:rPr>
          <w:rFonts w:ascii="Times New Roman" w:eastAsia="Times New Roman" w:hAnsi="Times New Roman" w:cs="Times New Roman"/>
          <w:lang w:val="en-US"/>
        </w:rPr>
        <w:t xml:space="preserve">. Corporate Finance Institute. Retrieved 23.01.2022, from https://corporatefinanceinstitute.com/resources/knowledge/other/positively-skewed-distribution/ </w:t>
      </w:r>
    </w:p>
    <w:sectPr w:rsidR="008862C1" w:rsidRPr="00D0677E">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E8545" w14:textId="77777777" w:rsidR="00E64F8E" w:rsidRDefault="00E64F8E">
      <w:pPr>
        <w:spacing w:line="240" w:lineRule="auto"/>
      </w:pPr>
      <w:r>
        <w:separator/>
      </w:r>
    </w:p>
  </w:endnote>
  <w:endnote w:type="continuationSeparator" w:id="0">
    <w:p w14:paraId="515BD866" w14:textId="77777777" w:rsidR="00E64F8E" w:rsidRDefault="00E64F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1D16C" w14:textId="77777777" w:rsidR="008862C1" w:rsidRDefault="00A21F75">
    <w:pPr>
      <w:jc w:val="right"/>
      <w:rPr>
        <w:sz w:val="16"/>
        <w:szCs w:val="16"/>
      </w:rPr>
    </w:pPr>
    <w:r>
      <w:rPr>
        <w:sz w:val="16"/>
        <w:szCs w:val="16"/>
      </w:rPr>
      <w:fldChar w:fldCharType="begin"/>
    </w:r>
    <w:r>
      <w:rPr>
        <w:sz w:val="16"/>
        <w:szCs w:val="16"/>
      </w:rPr>
      <w:instrText>PAGE</w:instrText>
    </w:r>
    <w:r>
      <w:rPr>
        <w:sz w:val="16"/>
        <w:szCs w:val="16"/>
      </w:rPr>
      <w:fldChar w:fldCharType="separate"/>
    </w:r>
    <w:r w:rsidR="00EB534D">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01A5B" w14:textId="77777777" w:rsidR="00E64F8E" w:rsidRDefault="00E64F8E">
      <w:pPr>
        <w:spacing w:line="240" w:lineRule="auto"/>
      </w:pPr>
      <w:r>
        <w:separator/>
      </w:r>
    </w:p>
  </w:footnote>
  <w:footnote w:type="continuationSeparator" w:id="0">
    <w:p w14:paraId="70D48B70" w14:textId="77777777" w:rsidR="00E64F8E" w:rsidRDefault="00E64F8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2C1"/>
    <w:rsid w:val="00155C1A"/>
    <w:rsid w:val="00224756"/>
    <w:rsid w:val="00323D8D"/>
    <w:rsid w:val="00380C1C"/>
    <w:rsid w:val="00471C0F"/>
    <w:rsid w:val="00717B1F"/>
    <w:rsid w:val="00867430"/>
    <w:rsid w:val="008862C1"/>
    <w:rsid w:val="008E11F9"/>
    <w:rsid w:val="00A21F75"/>
    <w:rsid w:val="00A45FAC"/>
    <w:rsid w:val="00B04E4B"/>
    <w:rsid w:val="00B847AE"/>
    <w:rsid w:val="00D0677E"/>
    <w:rsid w:val="00E402DA"/>
    <w:rsid w:val="00E64F8E"/>
    <w:rsid w:val="00EB534D"/>
    <w:rsid w:val="00EE7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3736"/>
  <w15:docId w15:val="{A35F5DD4-C516-4E54-BB79-E963C898E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Header">
    <w:name w:val="header"/>
    <w:basedOn w:val="Normal"/>
    <w:link w:val="HeaderChar"/>
    <w:uiPriority w:val="99"/>
    <w:unhideWhenUsed/>
    <w:rsid w:val="00EB534D"/>
    <w:pPr>
      <w:tabs>
        <w:tab w:val="center" w:pos="4680"/>
        <w:tab w:val="right" w:pos="9360"/>
      </w:tabs>
      <w:spacing w:line="240" w:lineRule="auto"/>
    </w:pPr>
  </w:style>
  <w:style w:type="character" w:customStyle="1" w:styleId="HeaderChar">
    <w:name w:val="Header Char"/>
    <w:basedOn w:val="DefaultParagraphFont"/>
    <w:link w:val="Header"/>
    <w:uiPriority w:val="99"/>
    <w:rsid w:val="00EB534D"/>
  </w:style>
  <w:style w:type="paragraph" w:styleId="Footer">
    <w:name w:val="footer"/>
    <w:basedOn w:val="Normal"/>
    <w:link w:val="FooterChar"/>
    <w:uiPriority w:val="99"/>
    <w:unhideWhenUsed/>
    <w:rsid w:val="00EB534D"/>
    <w:pPr>
      <w:tabs>
        <w:tab w:val="center" w:pos="4680"/>
        <w:tab w:val="right" w:pos="9360"/>
      </w:tabs>
      <w:spacing w:line="240" w:lineRule="auto"/>
    </w:pPr>
  </w:style>
  <w:style w:type="character" w:customStyle="1" w:styleId="FooterChar">
    <w:name w:val="Footer Char"/>
    <w:basedOn w:val="DefaultParagraphFont"/>
    <w:link w:val="Footer"/>
    <w:uiPriority w:val="99"/>
    <w:rsid w:val="00EB534D"/>
  </w:style>
  <w:style w:type="character" w:customStyle="1" w:styleId="textlayer--absolute">
    <w:name w:val="textlayer--absolute"/>
    <w:basedOn w:val="DefaultParagraphFont"/>
    <w:rsid w:val="00EB5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forbes.com/2009/08/04/ge-immelt-sec-earnings-business-beltway-ge.html?sh=5ecfd90f5047"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Valeria Opre</cp:lastModifiedBy>
  <cp:revision>3</cp:revision>
  <dcterms:created xsi:type="dcterms:W3CDTF">2022-01-23T20:16:00Z</dcterms:created>
  <dcterms:modified xsi:type="dcterms:W3CDTF">2022-01-23T20:17:00Z</dcterms:modified>
</cp:coreProperties>
</file>