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336" w:lineRule="auto"/>
        <w:ind w:left="420"/>
        <w:jc w:val="center"/>
      </w:pPr>
      <w:r>
        <w:rPr>
          <w:rFonts w:ascii="微软雅黑" w:hAnsi="微软雅黑" w:eastAsia="微软雅黑"/>
          <w:b/>
          <w:color w:val="800000"/>
          <w:sz w:val="26"/>
        </w:rPr>
        <w:t>20261009 智能大数据 fxy 笔试</w:t>
      </w:r>
    </w:p>
    <w:p/>
    <w:p>
      <w:pPr>
        <w:spacing w:after="80" w:line="336" w:lineRule="auto"/>
        <w:ind w:left="420"/>
        <w:jc w:val="center"/>
      </w:pPr>
      <w:r>
        <w:rPr>
          <w:rFonts w:ascii="微软雅黑" w:hAnsi="微软雅黑" w:eastAsia="微软雅黑"/>
          <w:b/>
          <w:color w:val="1F3B63"/>
          <w:sz w:val="40"/>
        </w:rPr>
        <w:t>基于大语言模型专利文本特征的企业经济结果研究</w:t>
      </w:r>
    </w:p>
    <w:p>
      <w:pPr>
        <w:spacing w:after="80" w:line="336" w:lineRule="auto"/>
        <w:ind w:left="420"/>
        <w:jc w:val="center"/>
      </w:pPr>
      <w:r>
        <w:rPr>
          <w:rFonts w:ascii="微软雅黑" w:hAnsi="微软雅黑" w:eastAsia="微软雅黑"/>
          <w:b/>
          <w:color w:val="1F3B63"/>
          <w:sz w:val="28"/>
        </w:rPr>
        <w:t>—— 实验报告</w:t>
      </w:r>
    </w:p>
    <w:p/>
    <w:p/>
    <w:p>
      <w:pPr>
        <w:spacing w:after="80" w:line="336" w:lineRule="auto"/>
        <w:ind w:left="420"/>
        <w:jc w:val="center"/>
      </w:pPr>
      <w:r>
        <w:rPr>
          <w:rFonts w:ascii="微软雅黑" w:hAnsi="微软雅黑" w:eastAsia="微软雅黑"/>
          <w:b w:val="0"/>
          <w:sz w:val="23"/>
        </w:rPr>
        <w:t>姓名：冯馨逸</w:t>
      </w:r>
    </w:p>
    <w:p>
      <w:pPr>
        <w:spacing w:after="80" w:line="336" w:lineRule="auto"/>
        <w:ind w:left="420"/>
        <w:jc w:val="center"/>
      </w:pPr>
      <w:r>
        <w:rPr>
          <w:rFonts w:ascii="微软雅黑" w:hAnsi="微软雅黑" w:eastAsia="微软雅黑"/>
          <w:b w:val="0"/>
          <w:sz w:val="23"/>
        </w:rPr>
        <w:t>学号：1026006945</w:t>
      </w:r>
    </w:p>
    <w:p>
      <w:pPr>
        <w:spacing w:after="80" w:line="336" w:lineRule="auto"/>
        <w:ind w:left="420"/>
        <w:jc w:val="center"/>
      </w:pPr>
      <w:r>
        <w:rPr>
          <w:rFonts w:ascii="微软雅黑" w:hAnsi="微软雅黑" w:eastAsia="微软雅黑"/>
          <w:b w:val="0"/>
          <w:sz w:val="23"/>
        </w:rPr>
        <w:t>院系：武汉理工大学经济学院 数字经济与人工智能双学士 2602 班</w:t>
      </w:r>
    </w:p>
    <w:p>
      <w:pPr>
        <w:spacing w:after="80" w:line="336" w:lineRule="auto"/>
        <w:ind w:left="420"/>
        <w:jc w:val="center"/>
      </w:pPr>
      <w:r>
        <w:rPr>
          <w:rFonts w:ascii="微软雅黑" w:hAnsi="微软雅黑" w:eastAsia="微软雅黑"/>
          <w:b w:val="0"/>
          <w:sz w:val="23"/>
        </w:rPr>
        <w:t>提交日期：2026 年 10 月　日</w:t>
      </w:r>
    </w:p>
    <w:p/>
    <w:p/>
    <w:p>
      <w:pPr>
        <w:spacing w:after="80" w:line="336" w:lineRule="auto"/>
        <w:ind w:left="420"/>
        <w:jc w:val="center"/>
      </w:pPr>
      <w:r>
        <w:rPr>
          <w:rFonts w:ascii="微软雅黑" w:hAnsi="微软雅黑" w:eastAsia="微软雅黑"/>
          <w:b w:val="0"/>
          <w:color w:val="1F6B33"/>
          <w:sz w:val="19"/>
        </w:rPr>
        <w:t>说明：本报告中黑色文字为初稿，作者将逐段改写成自己的表述；红色标注处为作者本人撰写的部分。</w:t>
      </w:r>
    </w:p>
    <w:p>
      <w:r>
        <w:br w:type="page"/>
      </w:r>
    </w:p>
    <w:p>
      <w:pPr>
        <w:pStyle w:val="Heading1"/>
        <w:spacing w:before="280" w:after="120"/>
      </w:pPr>
      <w:r>
        <w:rPr>
          <w:rFonts w:ascii="微软雅黑" w:hAnsi="微软雅黑" w:eastAsia="微软雅黑"/>
          <w:color w:val="1F3B63"/>
          <w:sz w:val="30"/>
        </w:rPr>
        <w:t>摘要</w:t>
      </w:r>
    </w:p>
    <w:p>
      <w:pPr>
        <w:spacing w:after="80" w:line="336" w:lineRule="auto"/>
        <w:ind w:left="420"/>
      </w:pPr>
      <w:r>
        <w:rPr>
          <w:rFonts w:ascii="微软雅黑" w:hAnsi="微软雅黑" w:eastAsia="微软雅黑"/>
          <w:b w:val="0"/>
          <w:sz w:val="21"/>
        </w:rPr>
        <w:t>本文基于 152 家中国 A 股上市公司的 117,711 条专利数据，检验「专利文本蕴含多个相互独立的信息维度」这一假设，并进一步考察其中一个关键维度——跨领域整合度——与企业经济结果之间的关系。研究分四个部分展开：（i）用 12 个数量类专利特征在三种模型设定下考察其解释与预测能力；（ii）用大语言模型从专利文本提取技术新颖性、科学基础强度、跨领域整合度和商业化距离四个语义维度，检验其相对基准特征的增量解释力与正交信息；（iii）逐个检验各维度的相对重要性；（iiii）在控制企业、年份、行业×年份、地区×年份四类固定效应的条件下，用聚类稳健标准误与双重机器学习识别跨领域整合度对企业结果的影响。</w:t>
      </w:r>
    </w:p>
    <w:p>
      <w:pPr>
        <w:spacing w:after="80" w:line="336" w:lineRule="auto"/>
        <w:ind w:left="420"/>
      </w:pPr>
      <w:r>
        <w:rPr>
          <w:rFonts w:ascii="微软雅黑" w:hAnsi="微软雅黑" w:eastAsia="微软雅黑"/>
          <w:b w:val="0"/>
          <w:sz w:val="21"/>
        </w:rPr>
        <w:t>主要发现：（1）数量类特征在跨公司维度上几乎不具备解释力（R² 接近 0 或为负），但在公司内部可解释约 18% 的总资产净利润率波动，且线性模型优于非线性模型；（2）语义特征中 45%–65% 的变异无法被数量特征解释，确实捕捉到正交信息，但增量解释力有限（约 +0.01）；（3）四个维度中跨领域整合度的贡献排名第一；（4）跨领域整合度与主营业务收入增长率显著负相关（-4.14，p&lt;0.05），该结果在双重机器学习的两种学习器下高度一致，而对融资约束与盈利能力无显著影响。</w:t>
      </w:r>
    </w:p>
    <w:p>
      <w:pPr>
        <w:spacing w:after="80" w:line="336" w:lineRule="auto"/>
        <w:ind w:left="420"/>
      </w:pPr>
      <w:r>
        <w:rPr>
          <w:rFonts w:ascii="微软雅黑" w:hAnsi="微软雅黑" w:eastAsia="微软雅黑"/>
          <w:b/>
          <w:sz w:val="21"/>
        </w:rPr>
        <w:t>关键词：专利文本特征；大语言模型；跨领域整合度；双重机器学习；固定效应</w:t>
      </w:r>
    </w:p>
    <w:p>
      <w:r>
        <w:br w:type="page"/>
      </w:r>
    </w:p>
    <w:p>
      <w:pPr>
        <w:pStyle w:val="Heading1"/>
        <w:spacing w:before="280" w:after="120"/>
      </w:pPr>
      <w:r>
        <w:rPr>
          <w:rFonts w:ascii="微软雅黑" w:hAnsi="微软雅黑" w:eastAsia="微软雅黑"/>
          <w:color w:val="1F3B63"/>
          <w:sz w:val="30"/>
        </w:rPr>
        <w:t>一、引言与研究设计</w:t>
      </w:r>
    </w:p>
    <w:p>
      <w:pPr>
        <w:pStyle w:val="Heading2"/>
        <w:spacing w:before="200" w:after="120"/>
      </w:pPr>
      <w:r>
        <w:rPr>
          <w:rFonts w:ascii="微软雅黑" w:hAnsi="微软雅黑" w:eastAsia="微软雅黑"/>
          <w:color w:val="1F3B63"/>
          <w:sz w:val="25"/>
        </w:rPr>
        <w:t>1.1　研究问题</w:t>
      </w:r>
    </w:p>
    <w:p>
      <w:pPr>
        <w:spacing w:after="80" w:line="336" w:lineRule="auto"/>
        <w:ind w:left="420"/>
      </w:pPr>
      <w:r>
        <w:rPr>
          <w:rFonts w:ascii="微软雅黑" w:hAnsi="微软雅黑" w:eastAsia="微软雅黑"/>
          <w:b w:val="0"/>
          <w:sz w:val="21"/>
        </w:rPr>
        <w:t>专利文本中蕴含着丰富但难以结构化的技术信息。这些信息是否包含多个相互独立的维度？如果是，哪个维度最能反映企业的经营结果？本文以中国 A 股上市公司的专利数据为样本回答这两个问题。</w:t>
      </w:r>
    </w:p>
    <w:p>
      <w:pPr>
        <w:pStyle w:val="Heading2"/>
        <w:spacing w:before="200" w:after="120"/>
      </w:pPr>
      <w:r>
        <w:rPr>
          <w:rFonts w:ascii="微软雅黑" w:hAnsi="微软雅黑" w:eastAsia="微软雅黑"/>
          <w:color w:val="1F3B63"/>
          <w:sz w:val="25"/>
        </w:rPr>
        <w:t>1.2　研究设计</w:t>
      </w:r>
    </w:p>
    <w:p>
      <w:pPr>
        <w:spacing w:after="80" w:line="336" w:lineRule="auto"/>
        <w:ind w:left="420"/>
      </w:pPr>
      <w:r>
        <w:rPr>
          <w:rFonts w:ascii="微软雅黑" w:hAnsi="微软雅黑" w:eastAsia="微软雅黑"/>
          <w:b w:val="0"/>
          <w:sz w:val="21"/>
        </w:rPr>
        <w:t>题目将研究拆为四个部分，四者构成「找线索 → 下判断」的递进关系：（i）和（ii）分别考察数量类与语义类专利特征的解释与预测能力；（iii）比较各语义维度的相对重要性，为（iiii）选定核心解释变量提供依据；（iiii）则对选出的核心维度做严格的计量识别。</w:t>
      </w:r>
    </w:p>
    <w:p>
      <w:pPr>
        <w:spacing w:before="120" w:after="40"/>
        <w:jc w:val="center"/>
      </w:pPr>
      <w:r>
        <w:rPr>
          <w:rFonts w:ascii="微软雅黑" w:hAnsi="微软雅黑" w:eastAsia="微软雅黑"/>
          <w:b/>
          <w:sz w:val="19"/>
        </w:rPr>
        <w:t>表 1　研究设计的四个部分</w:t>
      </w:r>
    </w:p>
    <w:tbl>
      <w:tblPr>
        <w:tblStyle w:val="TableGrid"/>
        <w:tblW w:type="auto" w:w="0"/>
        <w:jc w:val="center"/>
        <w:tblLook w:firstColumn="1" w:firstRow="1" w:lastColumn="0" w:lastRow="0" w:noHBand="0" w:noVBand="1" w:val="04A0"/>
      </w:tblPr>
      <w:tblGrid>
        <w:gridCol w:w="3213"/>
        <w:gridCol w:w="3213"/>
        <w:gridCol w:w="3213"/>
      </w:tblGrid>
      <w:tr>
        <w:tc>
          <w:tcPr>
            <w:tcW w:type="dxa" w:w="907"/>
            <w:shd w:fill="DCE6F1"/>
          </w:tcPr>
          <w:p>
            <w:r/>
            <w:r>
              <w:rPr>
                <w:rFonts w:ascii="微软雅黑" w:hAnsi="微软雅黑" w:eastAsia="微软雅黑"/>
                <w:b/>
                <w:sz w:val="18"/>
              </w:rPr>
              <w:t>部分</w:t>
            </w:r>
          </w:p>
        </w:tc>
        <w:tc>
          <w:tcPr>
            <w:tcW w:type="dxa" w:w="6350"/>
            <w:shd w:fill="DCE6F1"/>
          </w:tcPr>
          <w:p>
            <w:r/>
            <w:r>
              <w:rPr>
                <w:rFonts w:ascii="微软雅黑" w:hAnsi="微软雅黑" w:eastAsia="微软雅黑"/>
                <w:b/>
                <w:sz w:val="18"/>
              </w:rPr>
              <w:t>要回答的问题</w:t>
            </w:r>
          </w:p>
        </w:tc>
        <w:tc>
          <w:tcPr>
            <w:tcW w:type="dxa" w:w="1474"/>
            <w:shd w:fill="DCE6F1"/>
          </w:tcPr>
          <w:p>
            <w:r/>
            <w:r>
              <w:rPr>
                <w:rFonts w:ascii="微软雅黑" w:hAnsi="微软雅黑" w:eastAsia="微软雅黑"/>
                <w:b/>
                <w:sz w:val="18"/>
              </w:rPr>
              <w:t>对应章节</w:t>
            </w:r>
          </w:p>
        </w:tc>
      </w:tr>
      <w:tr>
        <w:tc>
          <w:tcPr>
            <w:tcW w:type="dxa" w:w="907"/>
          </w:tcPr>
          <w:p>
            <w:pPr>
              <w:spacing w:after="20"/>
            </w:pPr>
            <w:r/>
            <w:r>
              <w:rPr>
                <w:rFonts w:ascii="微软雅黑" w:hAnsi="微软雅黑" w:eastAsia="微软雅黑"/>
                <w:b w:val="0"/>
                <w:sz w:val="18"/>
              </w:rPr>
              <w:t>（i）</w:t>
            </w:r>
          </w:p>
        </w:tc>
        <w:tc>
          <w:tcPr>
            <w:tcW w:type="dxa" w:w="6350"/>
          </w:tcPr>
          <w:p>
            <w:pPr>
              <w:spacing w:after="20"/>
            </w:pPr>
            <w:r/>
            <w:r>
              <w:rPr>
                <w:rFonts w:ascii="微软雅黑" w:hAnsi="微软雅黑" w:eastAsia="微软雅黑"/>
                <w:b w:val="0"/>
                <w:sz w:val="18"/>
              </w:rPr>
              <w:t>数量类专利特征对经济结果有没有差异化解释与预测能力？关系是线性还是非线性？</w:t>
            </w:r>
          </w:p>
        </w:tc>
        <w:tc>
          <w:tcPr>
            <w:tcW w:type="dxa" w:w="1474"/>
          </w:tcPr>
          <w:p>
            <w:pPr>
              <w:spacing w:after="20"/>
            </w:pPr>
            <w:r/>
            <w:r>
              <w:rPr>
                <w:rFonts w:ascii="微软雅黑" w:hAnsi="微软雅黑" w:eastAsia="微软雅黑"/>
                <w:b w:val="0"/>
                <w:sz w:val="18"/>
              </w:rPr>
              <w:t>3.1 / 4.1</w:t>
            </w:r>
          </w:p>
        </w:tc>
      </w:tr>
      <w:tr>
        <w:tc>
          <w:tcPr>
            <w:tcW w:type="dxa" w:w="907"/>
          </w:tcPr>
          <w:p>
            <w:pPr>
              <w:spacing w:after="20"/>
            </w:pPr>
            <w:r/>
            <w:r>
              <w:rPr>
                <w:rFonts w:ascii="微软雅黑" w:hAnsi="微软雅黑" w:eastAsia="微软雅黑"/>
                <w:b w:val="0"/>
                <w:sz w:val="18"/>
              </w:rPr>
              <w:t>（ii）</w:t>
            </w:r>
          </w:p>
        </w:tc>
        <w:tc>
          <w:tcPr>
            <w:tcW w:type="dxa" w:w="6350"/>
          </w:tcPr>
          <w:p>
            <w:pPr>
              <w:spacing w:after="20"/>
            </w:pPr>
            <w:r/>
            <w:r>
              <w:rPr>
                <w:rFonts w:ascii="微软雅黑" w:hAnsi="微软雅黑" w:eastAsia="微软雅黑"/>
                <w:b w:val="0"/>
                <w:sz w:val="18"/>
              </w:rPr>
              <w:t>大语言模型提取的语义特征有没有增量解释力？含不含正交信息？</w:t>
            </w:r>
          </w:p>
        </w:tc>
        <w:tc>
          <w:tcPr>
            <w:tcW w:type="dxa" w:w="1474"/>
          </w:tcPr>
          <w:p>
            <w:pPr>
              <w:spacing w:after="20"/>
            </w:pPr>
            <w:r/>
            <w:r>
              <w:rPr>
                <w:rFonts w:ascii="微软雅黑" w:hAnsi="微软雅黑" w:eastAsia="微软雅黑"/>
                <w:b w:val="0"/>
                <w:sz w:val="18"/>
              </w:rPr>
              <w:t>3.2 / 4.2</w:t>
            </w:r>
          </w:p>
        </w:tc>
      </w:tr>
      <w:tr>
        <w:tc>
          <w:tcPr>
            <w:tcW w:type="dxa" w:w="907"/>
          </w:tcPr>
          <w:p>
            <w:pPr>
              <w:spacing w:after="20"/>
            </w:pPr>
            <w:r/>
            <w:r>
              <w:rPr>
                <w:rFonts w:ascii="微软雅黑" w:hAnsi="微软雅黑" w:eastAsia="微软雅黑"/>
                <w:b w:val="0"/>
                <w:sz w:val="18"/>
              </w:rPr>
              <w:t>（iii）</w:t>
            </w:r>
          </w:p>
        </w:tc>
        <w:tc>
          <w:tcPr>
            <w:tcW w:type="dxa" w:w="6350"/>
          </w:tcPr>
          <w:p>
            <w:pPr>
              <w:spacing w:after="20"/>
            </w:pPr>
            <w:r/>
            <w:r>
              <w:rPr>
                <w:rFonts w:ascii="微软雅黑" w:hAnsi="微软雅黑" w:eastAsia="微软雅黑"/>
                <w:b w:val="0"/>
                <w:sz w:val="18"/>
              </w:rPr>
              <w:t>四个语义维度里哪个最重要？</w:t>
            </w:r>
          </w:p>
        </w:tc>
        <w:tc>
          <w:tcPr>
            <w:tcW w:type="dxa" w:w="1474"/>
          </w:tcPr>
          <w:p>
            <w:pPr>
              <w:spacing w:after="20"/>
            </w:pPr>
            <w:r/>
            <w:r>
              <w:rPr>
                <w:rFonts w:ascii="微软雅黑" w:hAnsi="微软雅黑" w:eastAsia="微软雅黑"/>
                <w:b w:val="0"/>
                <w:sz w:val="18"/>
              </w:rPr>
              <w:t>3.3 / 4.3</w:t>
            </w:r>
          </w:p>
        </w:tc>
      </w:tr>
      <w:tr>
        <w:tc>
          <w:tcPr>
            <w:tcW w:type="dxa" w:w="907"/>
          </w:tcPr>
          <w:p>
            <w:pPr>
              <w:spacing w:after="20"/>
            </w:pPr>
            <w:r/>
            <w:r>
              <w:rPr>
                <w:rFonts w:ascii="微软雅黑" w:hAnsi="微软雅黑" w:eastAsia="微软雅黑"/>
                <w:b w:val="0"/>
                <w:sz w:val="18"/>
              </w:rPr>
              <w:t>（iiii）</w:t>
            </w:r>
          </w:p>
        </w:tc>
        <w:tc>
          <w:tcPr>
            <w:tcW w:type="dxa" w:w="6350"/>
          </w:tcPr>
          <w:p>
            <w:pPr>
              <w:spacing w:after="20"/>
            </w:pPr>
            <w:r/>
            <w:r>
              <w:rPr>
                <w:rFonts w:ascii="微软雅黑" w:hAnsi="微软雅黑" w:eastAsia="微软雅黑"/>
                <w:b w:val="0"/>
                <w:sz w:val="18"/>
              </w:rPr>
              <w:t>跨领域整合度与企业经济结果之间是什么关系？</w:t>
            </w:r>
          </w:p>
        </w:tc>
        <w:tc>
          <w:tcPr>
            <w:tcW w:type="dxa" w:w="1474"/>
          </w:tcPr>
          <w:p>
            <w:pPr>
              <w:spacing w:after="20"/>
            </w:pPr>
            <w:r/>
            <w:r>
              <w:rPr>
                <w:rFonts w:ascii="微软雅黑" w:hAnsi="微软雅黑" w:eastAsia="微软雅黑"/>
                <w:b w:val="0"/>
                <w:sz w:val="18"/>
              </w:rPr>
              <w:t>3.4 / 4.4</w:t>
            </w:r>
          </w:p>
        </w:tc>
      </w:tr>
    </w:tbl>
    <w:p>
      <w:pPr>
        <w:spacing w:after="40"/>
      </w:pPr>
    </w:p>
    <w:p>
      <w:r>
        <w:br w:type="page"/>
      </w:r>
    </w:p>
    <w:p>
      <w:pPr>
        <w:pStyle w:val="Heading1"/>
        <w:spacing w:before="280" w:after="120"/>
      </w:pPr>
      <w:r>
        <w:rPr>
          <w:rFonts w:ascii="微软雅黑" w:hAnsi="微软雅黑" w:eastAsia="微软雅黑"/>
          <w:color w:val="1F3B63"/>
          <w:sz w:val="30"/>
        </w:rPr>
        <w:t>二、数据</w:t>
      </w:r>
    </w:p>
    <w:p>
      <w:pPr>
        <w:pStyle w:val="Heading2"/>
        <w:spacing w:before="200" w:after="120"/>
      </w:pPr>
      <w:r>
        <w:rPr>
          <w:rFonts w:ascii="微软雅黑" w:hAnsi="微软雅黑" w:eastAsia="微软雅黑"/>
          <w:color w:val="1F3B63"/>
          <w:sz w:val="25"/>
        </w:rPr>
        <w:t>2.1　数据来源</w:t>
      </w:r>
    </w:p>
    <w:p>
      <w:pPr>
        <w:spacing w:before="120" w:after="40"/>
        <w:jc w:val="center"/>
      </w:pPr>
      <w:r>
        <w:rPr>
          <w:rFonts w:ascii="微软雅黑" w:hAnsi="微软雅黑" w:eastAsia="微软雅黑"/>
          <w:b/>
          <w:sz w:val="19"/>
        </w:rPr>
        <w:t>表 2　数据来源与规模</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DCE6F1"/>
          </w:tcPr>
          <w:p>
            <w:r/>
            <w:r>
              <w:rPr>
                <w:rFonts w:ascii="微软雅黑" w:hAnsi="微软雅黑" w:eastAsia="微软雅黑"/>
                <w:b/>
                <w:sz w:val="18"/>
              </w:rPr>
              <w:t>数据</w:t>
            </w:r>
          </w:p>
        </w:tc>
        <w:tc>
          <w:tcPr>
            <w:tcW w:type="dxa" w:w="4649"/>
            <w:shd w:fill="DCE6F1"/>
          </w:tcPr>
          <w:p>
            <w:r/>
            <w:r>
              <w:rPr>
                <w:rFonts w:ascii="微软雅黑" w:hAnsi="微软雅黑" w:eastAsia="微软雅黑"/>
                <w:b/>
                <w:sz w:val="18"/>
              </w:rPr>
              <w:t>来源</w:t>
            </w:r>
          </w:p>
        </w:tc>
        <w:tc>
          <w:tcPr>
            <w:tcW w:type="dxa" w:w="2381"/>
            <w:shd w:fill="DCE6F1"/>
          </w:tcPr>
          <w:p>
            <w:r/>
            <w:r>
              <w:rPr>
                <w:rFonts w:ascii="微软雅黑" w:hAnsi="微软雅黑" w:eastAsia="微软雅黑"/>
                <w:b/>
                <w:sz w:val="18"/>
              </w:rPr>
              <w:t>规模</w:t>
            </w:r>
          </w:p>
        </w:tc>
      </w:tr>
      <w:tr>
        <w:tc>
          <w:tcPr>
            <w:tcW w:type="dxa" w:w="1701"/>
          </w:tcPr>
          <w:p>
            <w:pPr>
              <w:spacing w:after="20"/>
            </w:pPr>
            <w:r/>
            <w:r>
              <w:rPr>
                <w:rFonts w:ascii="微软雅黑" w:hAnsi="微软雅黑" w:eastAsia="微软雅黑"/>
                <w:b w:val="0"/>
                <w:sz w:val="18"/>
              </w:rPr>
              <w:t>专利数据</w:t>
            </w:r>
          </w:p>
        </w:tc>
        <w:tc>
          <w:tcPr>
            <w:tcW w:type="dxa" w:w="4649"/>
          </w:tcPr>
          <w:p>
            <w:pPr>
              <w:spacing w:after="20"/>
            </w:pPr>
            <w:r/>
            <w:r>
              <w:rPr>
                <w:rFonts w:ascii="微软雅黑" w:hAnsi="微软雅黑" w:eastAsia="微软雅黑"/>
                <w:b w:val="0"/>
                <w:sz w:val="18"/>
              </w:rPr>
              <w:t>题目提供的 152 个 Excel 文件（每家公司一个）</w:t>
            </w:r>
          </w:p>
        </w:tc>
        <w:tc>
          <w:tcPr>
            <w:tcW w:type="dxa" w:w="2381"/>
          </w:tcPr>
          <w:p>
            <w:pPr>
              <w:spacing w:after="20"/>
            </w:pPr>
            <w:r/>
            <w:r>
              <w:rPr>
                <w:rFonts w:ascii="微软雅黑" w:hAnsi="微软雅黑" w:eastAsia="微软雅黑"/>
                <w:b w:val="0"/>
                <w:sz w:val="18"/>
              </w:rPr>
              <w:t>117,711 条专利</w:t>
            </w:r>
          </w:p>
        </w:tc>
      </w:tr>
      <w:tr>
        <w:tc>
          <w:tcPr>
            <w:tcW w:type="dxa" w:w="1701"/>
          </w:tcPr>
          <w:p>
            <w:pPr>
              <w:spacing w:after="20"/>
            </w:pPr>
            <w:r/>
            <w:r>
              <w:rPr>
                <w:rFonts w:ascii="微软雅黑" w:hAnsi="微软雅黑" w:eastAsia="微软雅黑"/>
                <w:b w:val="0"/>
                <w:sz w:val="18"/>
              </w:rPr>
              <w:t>公司财务数据</w:t>
            </w:r>
          </w:p>
        </w:tc>
        <w:tc>
          <w:tcPr>
            <w:tcW w:type="dxa" w:w="4649"/>
          </w:tcPr>
          <w:p>
            <w:pPr>
              <w:spacing w:after="20"/>
            </w:pPr>
            <w:r/>
            <w:r>
              <w:rPr>
                <w:rFonts w:ascii="微软雅黑" w:hAnsi="微软雅黑" w:eastAsia="微软雅黑"/>
                <w:b w:val="0"/>
                <w:sz w:val="18"/>
              </w:rPr>
              <w:t>akshare 财经数据接口（东方财富 / 巨潮资讯）</w:t>
            </w:r>
          </w:p>
        </w:tc>
        <w:tc>
          <w:tcPr>
            <w:tcW w:type="dxa" w:w="2381"/>
          </w:tcPr>
          <w:p>
            <w:pPr>
              <w:spacing w:after="20"/>
            </w:pPr>
            <w:r/>
            <w:r>
              <w:rPr>
                <w:rFonts w:ascii="微软雅黑" w:hAnsi="微软雅黑" w:eastAsia="微软雅黑"/>
                <w:b w:val="0"/>
                <w:sz w:val="18"/>
              </w:rPr>
              <w:t>144 家 × 86 个变量，2015–2025</w:t>
            </w:r>
          </w:p>
        </w:tc>
      </w:tr>
      <w:tr>
        <w:tc>
          <w:tcPr>
            <w:tcW w:type="dxa" w:w="1701"/>
          </w:tcPr>
          <w:p>
            <w:pPr>
              <w:spacing w:after="20"/>
            </w:pPr>
            <w:r/>
            <w:r>
              <w:rPr>
                <w:rFonts w:ascii="微软雅黑" w:hAnsi="微软雅黑" w:eastAsia="微软雅黑"/>
                <w:b w:val="0"/>
                <w:sz w:val="18"/>
              </w:rPr>
              <w:t>行业与地区</w:t>
            </w:r>
          </w:p>
        </w:tc>
        <w:tc>
          <w:tcPr>
            <w:tcW w:type="dxa" w:w="4649"/>
          </w:tcPr>
          <w:p>
            <w:pPr>
              <w:spacing w:after="20"/>
            </w:pPr>
            <w:r/>
            <w:r>
              <w:rPr>
                <w:rFonts w:ascii="微软雅黑" w:hAnsi="微软雅黑" w:eastAsia="微软雅黑"/>
                <w:b w:val="0"/>
                <w:sz w:val="18"/>
              </w:rPr>
              <w:t>巨潮资讯公司概况接口（stock_profile_cninfo）</w:t>
            </w:r>
          </w:p>
        </w:tc>
        <w:tc>
          <w:tcPr>
            <w:tcW w:type="dxa" w:w="2381"/>
          </w:tcPr>
          <w:p>
            <w:pPr>
              <w:spacing w:after="20"/>
            </w:pPr>
            <w:r/>
            <w:r>
              <w:rPr>
                <w:rFonts w:ascii="微软雅黑" w:hAnsi="微软雅黑" w:eastAsia="微软雅黑"/>
                <w:b w:val="0"/>
                <w:sz w:val="18"/>
              </w:rPr>
              <w:t>143 家公司</w:t>
            </w:r>
          </w:p>
        </w:tc>
      </w:tr>
      <w:tr>
        <w:tc>
          <w:tcPr>
            <w:tcW w:type="dxa" w:w="1701"/>
          </w:tcPr>
          <w:p>
            <w:pPr>
              <w:spacing w:after="20"/>
            </w:pPr>
            <w:r/>
            <w:r>
              <w:rPr>
                <w:rFonts w:ascii="微软雅黑" w:hAnsi="微软雅黑" w:eastAsia="微软雅黑"/>
                <w:b w:val="0"/>
                <w:sz w:val="18"/>
              </w:rPr>
              <w:t>企业成立日期</w:t>
            </w:r>
          </w:p>
        </w:tc>
        <w:tc>
          <w:tcPr>
            <w:tcW w:type="dxa" w:w="4649"/>
          </w:tcPr>
          <w:p>
            <w:pPr>
              <w:spacing w:after="20"/>
            </w:pPr>
            <w:r/>
            <w:r>
              <w:rPr>
                <w:rFonts w:ascii="微软雅黑" w:hAnsi="微软雅黑" w:eastAsia="微软雅黑"/>
                <w:b w:val="0"/>
                <w:sz w:val="18"/>
              </w:rPr>
              <w:t>同上</w:t>
            </w:r>
          </w:p>
        </w:tc>
        <w:tc>
          <w:tcPr>
            <w:tcW w:type="dxa" w:w="2381"/>
          </w:tcPr>
          <w:p>
            <w:pPr>
              <w:spacing w:after="20"/>
            </w:pPr>
            <w:r/>
            <w:r>
              <w:rPr>
                <w:rFonts w:ascii="微软雅黑" w:hAnsi="微软雅黑" w:eastAsia="微软雅黑"/>
                <w:b w:val="0"/>
                <w:sz w:val="18"/>
              </w:rPr>
              <w:t>143 家公司</w:t>
            </w:r>
          </w:p>
        </w:tc>
      </w:tr>
    </w:tbl>
    <w:p>
      <w:pPr>
        <w:spacing w:after="40"/>
      </w:pPr>
    </w:p>
    <w:p>
      <w:pPr>
        <w:pStyle w:val="Heading2"/>
        <w:spacing w:before="200" w:after="120"/>
      </w:pPr>
      <w:r>
        <w:rPr>
          <w:rFonts w:ascii="微软雅黑" w:hAnsi="微软雅黑" w:eastAsia="微软雅黑"/>
          <w:color w:val="1F3B63"/>
          <w:sz w:val="25"/>
        </w:rPr>
        <w:t>2.2　数据处理流程</w:t>
      </w:r>
    </w:p>
    <w:p>
      <w:pPr>
        <w:spacing w:after="80" w:line="336" w:lineRule="auto"/>
        <w:ind w:left="420"/>
      </w:pPr>
      <w:r>
        <w:rPr>
          <w:rFonts w:ascii="微软雅黑" w:hAnsi="微软雅黑" w:eastAsia="微软雅黑"/>
          <w:b w:val="0"/>
          <w:sz w:val="21"/>
        </w:rPr>
        <w:t>数据处理依次经过六步：① 从 152 个 Excel 中提取每家公司对应的股票代码；② 用 A 股官方代码表逐条校验；③ 抓取企业财务数据；④ 检查各变量的年份覆盖率，筛选可用的结果变量；⑤ 将专利明细聚合到「公司—年份」层面的 12 个特征；⑥ 与财务数据合并生成主数据集。</w:t>
      </w:r>
    </w:p>
    <w:p>
      <w:pPr>
        <w:pStyle w:val="Heading2"/>
        <w:spacing w:before="200" w:after="120"/>
      </w:pPr>
      <w:r>
        <w:rPr>
          <w:rFonts w:ascii="微软雅黑" w:hAnsi="微软雅黑" w:eastAsia="微软雅黑"/>
          <w:color w:val="1F3B63"/>
          <w:sz w:val="25"/>
        </w:rPr>
        <w:t>2.3　数据质量校验</w:t>
      </w:r>
    </w:p>
    <w:p>
      <w:pPr>
        <w:spacing w:after="80" w:line="336" w:lineRule="auto"/>
        <w:ind w:left="420"/>
      </w:pPr>
      <w:r>
        <w:rPr>
          <w:rFonts w:ascii="微软雅黑" w:hAnsi="微软雅黑" w:eastAsia="微软雅黑"/>
          <w:b w:val="0"/>
          <w:sz w:val="21"/>
        </w:rPr>
        <w:t>数据处理过程中发现并处理了三个问题，记录如下。</w:t>
      </w:r>
    </w:p>
    <w:p>
      <w:pPr>
        <w:spacing w:before="120" w:after="40"/>
        <w:jc w:val="center"/>
      </w:pPr>
      <w:r>
        <w:rPr>
          <w:rFonts w:ascii="微软雅黑" w:hAnsi="微软雅黑" w:eastAsia="微软雅黑"/>
          <w:b/>
          <w:sz w:val="19"/>
        </w:rPr>
        <w:t>表 3　数据质量校验的三个发现</w:t>
      </w:r>
    </w:p>
    <w:tbl>
      <w:tblPr>
        <w:tblStyle w:val="TableGrid"/>
        <w:tblW w:type="auto" w:w="0"/>
        <w:jc w:val="center"/>
        <w:tblLook w:firstColumn="1" w:firstRow="1" w:lastColumn="0" w:lastRow="0" w:noHBand="0" w:noVBand="1" w:val="04A0"/>
      </w:tblPr>
      <w:tblGrid>
        <w:gridCol w:w="3213"/>
        <w:gridCol w:w="3213"/>
        <w:gridCol w:w="3213"/>
      </w:tblGrid>
      <w:tr>
        <w:tc>
          <w:tcPr>
            <w:tcW w:type="dxa" w:w="510"/>
            <w:shd w:fill="DCE6F1"/>
          </w:tcPr>
          <w:p>
            <w:r/>
            <w:r>
              <w:rPr>
                <w:rFonts w:ascii="微软雅黑" w:hAnsi="微软雅黑" w:eastAsia="微软雅黑"/>
                <w:b/>
                <w:sz w:val="18"/>
              </w:rPr>
              <w:t>#</w:t>
            </w:r>
          </w:p>
        </w:tc>
        <w:tc>
          <w:tcPr>
            <w:tcW w:type="dxa" w:w="5216"/>
            <w:shd w:fill="DCE6F1"/>
          </w:tcPr>
          <w:p>
            <w:r/>
            <w:r>
              <w:rPr>
                <w:rFonts w:ascii="微软雅黑" w:hAnsi="微软雅黑" w:eastAsia="微软雅黑"/>
                <w:b/>
                <w:sz w:val="18"/>
              </w:rPr>
              <w:t>发现的问题</w:t>
            </w:r>
          </w:p>
        </w:tc>
        <w:tc>
          <w:tcPr>
            <w:tcW w:type="dxa" w:w="3005"/>
            <w:shd w:fill="DCE6F1"/>
          </w:tcPr>
          <w:p>
            <w:r/>
            <w:r>
              <w:rPr>
                <w:rFonts w:ascii="微软雅黑" w:hAnsi="微软雅黑" w:eastAsia="微软雅黑"/>
                <w:b/>
                <w:sz w:val="18"/>
              </w:rPr>
              <w:t>处理方式</w:t>
            </w:r>
          </w:p>
        </w:tc>
      </w:tr>
      <w:tr>
        <w:tc>
          <w:tcPr>
            <w:tcW w:type="dxa" w:w="510"/>
          </w:tcPr>
          <w:p>
            <w:pPr>
              <w:spacing w:after="20"/>
            </w:pPr>
            <w:r/>
            <w:r>
              <w:rPr>
                <w:rFonts w:ascii="微软雅黑" w:hAnsi="微软雅黑" w:eastAsia="微软雅黑"/>
                <w:b w:val="0"/>
                <w:sz w:val="18"/>
              </w:rPr>
              <w:t>1</w:t>
            </w:r>
          </w:p>
        </w:tc>
        <w:tc>
          <w:tcPr>
            <w:tcW w:type="dxa" w:w="5216"/>
          </w:tcPr>
          <w:p>
            <w:pPr>
              <w:spacing w:after="20"/>
            </w:pPr>
            <w:r/>
            <w:r>
              <w:rPr>
                <w:rFonts w:ascii="微软雅黑" w:hAnsi="微软雅黑" w:eastAsia="微软雅黑"/>
                <w:b w:val="0"/>
                <w:sz w:val="18"/>
              </w:rPr>
              <w:t>股票代码提取有误：大富科技被误提取为 300127，与成都银河磁体重复；东富龙的文件内容与文件名不符（实为华中数控的专利）；包头天和磁材代码为空</w:t>
            </w:r>
          </w:p>
        </w:tc>
        <w:tc>
          <w:tcPr>
            <w:tcW w:type="dxa" w:w="3005"/>
          </w:tcPr>
          <w:p>
            <w:pPr>
              <w:spacing w:after="20"/>
            </w:pPr>
            <w:r/>
            <w:r>
              <w:rPr>
                <w:rFonts w:ascii="微软雅黑" w:hAnsi="微软雅黑" w:eastAsia="微软雅黑"/>
                <w:b w:val="0"/>
                <w:sz w:val="18"/>
              </w:rPr>
              <w:t>修正大富科技为 300134；剔除东富龙与包头天和磁材</w:t>
            </w:r>
          </w:p>
        </w:tc>
      </w:tr>
      <w:tr>
        <w:tc>
          <w:tcPr>
            <w:tcW w:type="dxa" w:w="510"/>
          </w:tcPr>
          <w:p>
            <w:pPr>
              <w:spacing w:after="20"/>
            </w:pPr>
            <w:r/>
            <w:r>
              <w:rPr>
                <w:rFonts w:ascii="微软雅黑" w:hAnsi="微软雅黑" w:eastAsia="微软雅黑"/>
                <w:b w:val="0"/>
                <w:sz w:val="18"/>
              </w:rPr>
              <w:t>2</w:t>
            </w:r>
          </w:p>
        </w:tc>
        <w:tc>
          <w:tcPr>
            <w:tcW w:type="dxa" w:w="5216"/>
          </w:tcPr>
          <w:p>
            <w:pPr>
              <w:spacing w:after="20"/>
            </w:pPr>
            <w:r/>
            <w:r>
              <w:rPr>
                <w:rFonts w:ascii="微软雅黑" w:hAnsi="微软雅黑" w:eastAsia="微软雅黑"/>
                <w:b w:val="0"/>
                <w:sz w:val="18"/>
              </w:rPr>
              <w:t>首次合并仅得到 249 个观测，样本异常塌缩。排查两轮后定位到「销售毛利率」这一变量 2019 年后完全缺失（覆盖率仅 19.8%）</w:t>
            </w:r>
          </w:p>
        </w:tc>
        <w:tc>
          <w:tcPr>
            <w:tcW w:type="dxa" w:w="3005"/>
          </w:tcPr>
          <w:p>
            <w:pPr>
              <w:spacing w:after="20"/>
            </w:pPr>
            <w:r/>
            <w:r>
              <w:rPr>
                <w:rFonts w:ascii="微软雅黑" w:hAnsi="微软雅黑" w:eastAsia="微软雅黑"/>
                <w:b w:val="0"/>
                <w:sz w:val="18"/>
              </w:rPr>
              <w:t>更换为覆盖率 99.9% 的「资产负债率」，样本恢复至 1,270 个观测</w:t>
            </w:r>
          </w:p>
        </w:tc>
      </w:tr>
      <w:tr>
        <w:tc>
          <w:tcPr>
            <w:tcW w:type="dxa" w:w="510"/>
          </w:tcPr>
          <w:p>
            <w:pPr>
              <w:spacing w:after="20"/>
            </w:pPr>
            <w:r/>
            <w:r>
              <w:rPr>
                <w:rFonts w:ascii="微软雅黑" w:hAnsi="微软雅黑" w:eastAsia="微软雅黑"/>
                <w:b w:val="0"/>
                <w:sz w:val="18"/>
              </w:rPr>
              <w:t>3</w:t>
            </w:r>
          </w:p>
        </w:tc>
        <w:tc>
          <w:tcPr>
            <w:tcW w:type="dxa" w:w="5216"/>
          </w:tcPr>
          <w:p>
            <w:pPr>
              <w:spacing w:after="20"/>
            </w:pPr>
            <w:r/>
            <w:r>
              <w:rPr>
                <w:rFonts w:ascii="微软雅黑" w:hAnsi="微软雅黑" w:eastAsia="微软雅黑"/>
                <w:b w:val="0"/>
                <w:sz w:val="18"/>
              </w:rPr>
              <w:t>北交所 / 新三板股票（839708 等 6 家）不在 akshare 覆盖范围内</w:t>
            </w:r>
          </w:p>
        </w:tc>
        <w:tc>
          <w:tcPr>
            <w:tcW w:type="dxa" w:w="3005"/>
          </w:tcPr>
          <w:p>
            <w:pPr>
              <w:spacing w:after="20"/>
            </w:pPr>
            <w:r/>
            <w:r>
              <w:rPr>
                <w:rFonts w:ascii="微软雅黑" w:hAnsi="微软雅黑" w:eastAsia="微软雅黑"/>
                <w:b w:val="0"/>
                <w:sz w:val="18"/>
              </w:rPr>
              <w:t>从 150 家中剔除，最终得到 144 家可用公司</w:t>
            </w:r>
          </w:p>
        </w:tc>
      </w:tr>
    </w:tbl>
    <w:p>
      <w:pPr>
        <w:spacing w:after="40"/>
      </w:pPr>
    </w:p>
    <w:p>
      <w:pPr>
        <w:pStyle w:val="Heading2"/>
        <w:spacing w:before="200" w:after="120"/>
      </w:pPr>
      <w:r>
        <w:rPr>
          <w:rFonts w:ascii="微软雅黑" w:hAnsi="微软雅黑" w:eastAsia="微软雅黑"/>
          <w:color w:val="1F3B63"/>
          <w:sz w:val="25"/>
        </w:rPr>
        <w:t>2.4　语义特征提取</w:t>
      </w:r>
    </w:p>
    <w:p>
      <w:pPr>
        <w:spacing w:after="80" w:line="336" w:lineRule="auto"/>
        <w:ind w:left="420"/>
      </w:pPr>
      <w:r>
        <w:rPr>
          <w:rFonts w:ascii="微软雅黑" w:hAnsi="微软雅黑" w:eastAsia="微软雅黑"/>
          <w:b w:val="0"/>
          <w:sz w:val="21"/>
        </w:rPr>
        <w:t>语义特征由智谱 GLM-4-Flash 大语言模型对每条专利的标题与摘要逐条评分得到。提示词经过四轮迭代：v1 采用抽象锚点，结果显示 85% 的样本被打为 3 分，缺乏区分度；v2 增加示例但未见改善；v3 改为 1–10 分制并加入专利类型线索，取值种类从 3 种提升至 8 种；v4 修正「商业化距离」维度的定义错误后定稿。最终对 12,166 条专利完成打分。各版本提示词全文见附件 A。</w:t>
      </w:r>
    </w:p>
    <w:p>
      <w:pPr>
        <w:pStyle w:val="Heading2"/>
        <w:spacing w:before="200" w:after="120"/>
      </w:pPr>
      <w:r>
        <w:rPr>
          <w:rFonts w:ascii="微软雅黑" w:hAnsi="微软雅黑" w:eastAsia="微软雅黑"/>
          <w:color w:val="1F3B63"/>
          <w:sz w:val="25"/>
        </w:rPr>
        <w:t>2.5　最终样本</w:t>
      </w:r>
    </w:p>
    <w:p>
      <w:pPr>
        <w:spacing w:before="120" w:after="40"/>
        <w:jc w:val="center"/>
      </w:pPr>
      <w:r>
        <w:rPr>
          <w:rFonts w:ascii="微软雅黑" w:hAnsi="微软雅黑" w:eastAsia="微软雅黑"/>
          <w:b/>
          <w:sz w:val="19"/>
        </w:rPr>
        <w:t>表 4　样本口径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288"/>
            <w:shd w:fill="DCE6F1"/>
          </w:tcPr>
          <w:p>
            <w:r/>
            <w:r>
              <w:rPr>
                <w:rFonts w:ascii="微软雅黑" w:hAnsi="微软雅黑" w:eastAsia="微软雅黑"/>
                <w:b/>
                <w:sz w:val="18"/>
              </w:rPr>
              <w:t>口径</w:t>
            </w:r>
          </w:p>
        </w:tc>
        <w:tc>
          <w:tcPr>
            <w:tcW w:type="dxa" w:w="1361"/>
            <w:shd w:fill="DCE6F1"/>
          </w:tcPr>
          <w:p>
            <w:r/>
            <w:r>
              <w:rPr>
                <w:rFonts w:ascii="微软雅黑" w:hAnsi="微软雅黑" w:eastAsia="微软雅黑"/>
                <w:b/>
                <w:sz w:val="18"/>
              </w:rPr>
              <w:t>公司数</w:t>
            </w:r>
          </w:p>
        </w:tc>
        <w:tc>
          <w:tcPr>
            <w:tcW w:type="dxa" w:w="1361"/>
            <w:shd w:fill="DCE6F1"/>
          </w:tcPr>
          <w:p>
            <w:r/>
            <w:r>
              <w:rPr>
                <w:rFonts w:ascii="微软雅黑" w:hAnsi="微软雅黑" w:eastAsia="微软雅黑"/>
                <w:b/>
                <w:sz w:val="18"/>
              </w:rPr>
              <w:t>观测数</w:t>
            </w:r>
          </w:p>
        </w:tc>
        <w:tc>
          <w:tcPr>
            <w:tcW w:type="dxa" w:w="2721"/>
            <w:shd w:fill="DCE6F1"/>
          </w:tcPr>
          <w:p>
            <w:r/>
            <w:r>
              <w:rPr>
                <w:rFonts w:ascii="微软雅黑" w:hAnsi="微软雅黑" w:eastAsia="微软雅黑"/>
                <w:b/>
                <w:sz w:val="18"/>
              </w:rPr>
              <w:t>年份范围</w:t>
            </w:r>
          </w:p>
        </w:tc>
      </w:tr>
      <w:tr>
        <w:tc>
          <w:tcPr>
            <w:tcW w:type="dxa" w:w="3288"/>
          </w:tcPr>
          <w:p>
            <w:pPr>
              <w:spacing w:after="20"/>
            </w:pPr>
            <w:r/>
            <w:r>
              <w:rPr>
                <w:rFonts w:ascii="微软雅黑" w:hAnsi="微软雅黑" w:eastAsia="微软雅黑"/>
                <w:b w:val="0"/>
                <w:sz w:val="18"/>
              </w:rPr>
              <w:t>原始专利文件</w:t>
            </w:r>
          </w:p>
        </w:tc>
        <w:tc>
          <w:tcPr>
            <w:tcW w:type="dxa" w:w="1361"/>
          </w:tcPr>
          <w:p>
            <w:pPr>
              <w:spacing w:after="20"/>
            </w:pPr>
            <w:r/>
            <w:r>
              <w:rPr>
                <w:rFonts w:ascii="微软雅黑" w:hAnsi="微软雅黑" w:eastAsia="微软雅黑"/>
                <w:b w:val="0"/>
                <w:sz w:val="18"/>
              </w:rPr>
              <w:t>152</w:t>
            </w:r>
          </w:p>
        </w:tc>
        <w:tc>
          <w:tcPr>
            <w:tcW w:type="dxa" w:w="1361"/>
          </w:tcPr>
          <w:p>
            <w:pPr>
              <w:spacing w:after="20"/>
            </w:pPr>
            <w:r/>
            <w:r>
              <w:rPr>
                <w:rFonts w:ascii="微软雅黑" w:hAnsi="微软雅黑" w:eastAsia="微软雅黑"/>
                <w:b w:val="0"/>
                <w:sz w:val="18"/>
              </w:rPr>
              <w:t>—</w:t>
            </w:r>
          </w:p>
        </w:tc>
        <w:tc>
          <w:tcPr>
            <w:tcW w:type="dxa" w:w="2721"/>
          </w:tcPr>
          <w:p>
            <w:pPr>
              <w:spacing w:after="20"/>
            </w:pPr>
            <w:r/>
            <w:r>
              <w:rPr>
                <w:rFonts w:ascii="微软雅黑" w:hAnsi="微软雅黑" w:eastAsia="微软雅黑"/>
                <w:b w:val="0"/>
                <w:sz w:val="18"/>
              </w:rPr>
              <w:t>—</w:t>
            </w:r>
          </w:p>
        </w:tc>
      </w:tr>
      <w:tr>
        <w:tc>
          <w:tcPr>
            <w:tcW w:type="dxa" w:w="3288"/>
          </w:tcPr>
          <w:p>
            <w:pPr>
              <w:spacing w:after="20"/>
            </w:pPr>
            <w:r/>
            <w:r>
              <w:rPr>
                <w:rFonts w:ascii="微软雅黑" w:hAnsi="微软雅黑" w:eastAsia="微软雅黑"/>
                <w:b w:val="0"/>
                <w:sz w:val="18"/>
              </w:rPr>
              <w:t>代码校验与剔除后</w:t>
            </w:r>
          </w:p>
        </w:tc>
        <w:tc>
          <w:tcPr>
            <w:tcW w:type="dxa" w:w="1361"/>
          </w:tcPr>
          <w:p>
            <w:pPr>
              <w:spacing w:after="20"/>
            </w:pPr>
            <w:r/>
            <w:r>
              <w:rPr>
                <w:rFonts w:ascii="微软雅黑" w:hAnsi="微软雅黑" w:eastAsia="微软雅黑"/>
                <w:b w:val="0"/>
                <w:sz w:val="18"/>
              </w:rPr>
              <w:t>144</w:t>
            </w:r>
          </w:p>
        </w:tc>
        <w:tc>
          <w:tcPr>
            <w:tcW w:type="dxa" w:w="1361"/>
          </w:tcPr>
          <w:p>
            <w:pPr>
              <w:spacing w:after="20"/>
            </w:pPr>
            <w:r/>
            <w:r>
              <w:rPr>
                <w:rFonts w:ascii="微软雅黑" w:hAnsi="微软雅黑" w:eastAsia="微软雅黑"/>
                <w:b w:val="0"/>
                <w:sz w:val="18"/>
              </w:rPr>
              <w:t>—</w:t>
            </w:r>
          </w:p>
        </w:tc>
        <w:tc>
          <w:tcPr>
            <w:tcW w:type="dxa" w:w="2721"/>
          </w:tcPr>
          <w:p>
            <w:pPr>
              <w:spacing w:after="20"/>
            </w:pPr>
            <w:r/>
            <w:r>
              <w:rPr>
                <w:rFonts w:ascii="微软雅黑" w:hAnsi="微软雅黑" w:eastAsia="微软雅黑"/>
                <w:b w:val="0"/>
                <w:sz w:val="18"/>
              </w:rPr>
              <w:t>—</w:t>
            </w:r>
          </w:p>
        </w:tc>
      </w:tr>
      <w:tr>
        <w:tc>
          <w:tcPr>
            <w:tcW w:type="dxa" w:w="3288"/>
          </w:tcPr>
          <w:p>
            <w:pPr>
              <w:spacing w:after="20"/>
            </w:pPr>
            <w:r/>
            <w:r>
              <w:rPr>
                <w:rFonts w:ascii="微软雅黑" w:hAnsi="微软雅黑" w:eastAsia="微软雅黑"/>
                <w:b w:val="0"/>
                <w:sz w:val="18"/>
              </w:rPr>
              <w:t>主数据集（（i）–（iii））</w:t>
            </w:r>
          </w:p>
        </w:tc>
        <w:tc>
          <w:tcPr>
            <w:tcW w:type="dxa" w:w="1361"/>
          </w:tcPr>
          <w:p>
            <w:pPr>
              <w:spacing w:after="20"/>
            </w:pPr>
            <w:r/>
            <w:r>
              <w:rPr>
                <w:rFonts w:ascii="微软雅黑" w:hAnsi="微软雅黑" w:eastAsia="微软雅黑"/>
                <w:b w:val="0"/>
                <w:sz w:val="18"/>
              </w:rPr>
              <w:t>143</w:t>
            </w:r>
          </w:p>
        </w:tc>
        <w:tc>
          <w:tcPr>
            <w:tcW w:type="dxa" w:w="1361"/>
          </w:tcPr>
          <w:p>
            <w:pPr>
              <w:spacing w:after="20"/>
            </w:pPr>
            <w:r/>
            <w:r>
              <w:rPr>
                <w:rFonts w:ascii="微软雅黑" w:hAnsi="微软雅黑" w:eastAsia="微软雅黑"/>
                <w:b w:val="0"/>
                <w:sz w:val="18"/>
              </w:rPr>
              <w:t>1,270</w:t>
            </w:r>
          </w:p>
        </w:tc>
        <w:tc>
          <w:tcPr>
            <w:tcW w:type="dxa" w:w="2721"/>
          </w:tcPr>
          <w:p>
            <w:pPr>
              <w:spacing w:after="20"/>
            </w:pPr>
            <w:r/>
            <w:r>
              <w:rPr>
                <w:rFonts w:ascii="微软雅黑" w:hAnsi="微软雅黑" w:eastAsia="微软雅黑"/>
                <w:b w:val="0"/>
                <w:sz w:val="18"/>
              </w:rPr>
              <w:t>2015–2025</w:t>
            </w:r>
          </w:p>
        </w:tc>
      </w:tr>
      <w:tr>
        <w:tc>
          <w:tcPr>
            <w:tcW w:type="dxa" w:w="3288"/>
          </w:tcPr>
          <w:p>
            <w:pPr>
              <w:spacing w:after="20"/>
            </w:pPr>
            <w:r/>
            <w:r>
              <w:rPr>
                <w:rFonts w:ascii="微软雅黑" w:hAnsi="微软雅黑" w:eastAsia="微软雅黑"/>
                <w:b w:val="0"/>
                <w:sz w:val="18"/>
              </w:rPr>
              <w:t>（iiii）回归样本（含 SA 指数）</w:t>
            </w:r>
          </w:p>
        </w:tc>
        <w:tc>
          <w:tcPr>
            <w:tcW w:type="dxa" w:w="1361"/>
          </w:tcPr>
          <w:p>
            <w:pPr>
              <w:spacing w:after="20"/>
            </w:pPr>
            <w:r/>
            <w:r>
              <w:rPr>
                <w:rFonts w:ascii="微软雅黑" w:hAnsi="微软雅黑" w:eastAsia="微软雅黑"/>
                <w:b w:val="0"/>
                <w:sz w:val="18"/>
              </w:rPr>
              <w:t>142</w:t>
            </w:r>
          </w:p>
        </w:tc>
        <w:tc>
          <w:tcPr>
            <w:tcW w:type="dxa" w:w="1361"/>
          </w:tcPr>
          <w:p>
            <w:pPr>
              <w:spacing w:after="20"/>
            </w:pPr>
            <w:r/>
            <w:r>
              <w:rPr>
                <w:rFonts w:ascii="微软雅黑" w:hAnsi="微软雅黑" w:eastAsia="微软雅黑"/>
                <w:b w:val="0"/>
                <w:sz w:val="18"/>
              </w:rPr>
              <w:t>1,259</w:t>
            </w:r>
          </w:p>
        </w:tc>
        <w:tc>
          <w:tcPr>
            <w:tcW w:type="dxa" w:w="2721"/>
          </w:tcPr>
          <w:p>
            <w:pPr>
              <w:spacing w:after="20"/>
            </w:pPr>
            <w:r/>
            <w:r>
              <w:rPr>
                <w:rFonts w:ascii="微软雅黑" w:hAnsi="微软雅黑" w:eastAsia="微软雅黑"/>
                <w:b w:val="0"/>
                <w:sz w:val="18"/>
              </w:rPr>
              <w:t>2015–2025</w:t>
            </w:r>
          </w:p>
        </w:tc>
      </w:tr>
    </w:tbl>
    <w:p>
      <w:pPr>
        <w:spacing w:after="40"/>
      </w:pPr>
    </w:p>
    <w:p>
      <w:pPr>
        <w:spacing w:after="80" w:line="336" w:lineRule="auto"/>
        <w:ind w:left="420"/>
      </w:pPr>
      <w:r>
        <w:rPr>
          <w:rFonts w:ascii="微软雅黑" w:hAnsi="微软雅黑" w:eastAsia="微软雅黑"/>
          <w:b w:val="0"/>
          <w:sz w:val="19"/>
        </w:rPr>
        <w:t>注：（i）–（iii）部分样本为 1,270 个观测；由于 SA 指数需要企业成立日期，有 1 家公司缺失该信息，故（iiii）部分回归样本为 1,259 个观测。</w:t>
      </w:r>
    </w:p>
    <w:p>
      <w:r>
        <w:br w:type="page"/>
      </w:r>
    </w:p>
    <w:p>
      <w:pPr>
        <w:pStyle w:val="Heading1"/>
        <w:spacing w:before="280" w:after="120"/>
      </w:pPr>
      <w:r>
        <w:rPr>
          <w:rFonts w:ascii="微软雅黑" w:hAnsi="微软雅黑" w:eastAsia="微软雅黑"/>
          <w:color w:val="1F3B63"/>
          <w:sz w:val="30"/>
        </w:rPr>
        <w:t>三、方法论</w:t>
      </w:r>
    </w:p>
    <w:p>
      <w:pPr>
        <w:pStyle w:val="Heading2"/>
        <w:spacing w:before="200" w:after="120"/>
      </w:pPr>
      <w:r>
        <w:rPr>
          <w:rFonts w:ascii="微软雅黑" w:hAnsi="微软雅黑" w:eastAsia="微软雅黑"/>
          <w:color w:val="1F3B63"/>
          <w:sz w:val="25"/>
        </w:rPr>
        <w:t>3.1　（i）基准特征的差异化解释与预测能力</w:t>
      </w:r>
    </w:p>
    <w:p>
      <w:pPr>
        <w:spacing w:after="80" w:line="336" w:lineRule="auto"/>
        <w:ind w:left="420"/>
      </w:pPr>
      <w:r>
        <w:rPr>
          <w:rFonts w:ascii="微软雅黑" w:hAnsi="微软雅黑" w:eastAsia="微软雅黑"/>
          <w:b w:val="0"/>
          <w:sz w:val="21"/>
        </w:rPr>
        <w:t>我们从专利明细中构造了 12 个数量类特征，覆盖题目列举的 7 类中的 6 类：专利数量（ln专利数）、权利要求数、引用次数、发明人数量、专利家族规模、IPC 分类，以及从数据中补充的平均首权字数、平均合享价值度、平均技术先进性、平均技术稳定性、平均保护范围、平均文献页数。</w:t>
      </w:r>
    </w:p>
    <w:p>
      <w:pPr>
        <w:spacing w:after="80" w:line="336" w:lineRule="auto"/>
        <w:ind w:left="420"/>
      </w:pPr>
      <w:r>
        <w:rPr>
          <w:rFonts w:ascii="微软雅黑" w:hAnsi="微软雅黑" w:eastAsia="微软雅黑"/>
          <w:b w:val="0"/>
          <w:sz w:val="21"/>
        </w:rPr>
        <w:t>模型方面，线性模型采用普通最小二乘（LinearRegression），非线性模型采用随机森林（300 棵树），两者在完全相同的训练 / 测试集上比较。为回答「差异化解释」的问题，设置三种模型设定：① 原始数据；② 年度去均值；③ 公司内去均值（等价于企业固定效应）。由于同一公司有 11 年数据，为避免信息泄漏，训练集与测试集按公司分组划分（GroupShuffleSplit，8:2）。</w:t>
      </w:r>
    </w:p>
    <w:p>
      <w:pPr>
        <w:pStyle w:val="Heading2"/>
        <w:spacing w:before="200" w:after="120"/>
      </w:pPr>
      <w:r>
        <w:rPr>
          <w:rFonts w:ascii="微软雅黑" w:hAnsi="微软雅黑" w:eastAsia="微软雅黑"/>
          <w:color w:val="1F3B63"/>
          <w:sz w:val="25"/>
        </w:rPr>
        <w:t>3.2　（ii）语义特征的增量解释力与正交信息</w:t>
      </w:r>
    </w:p>
    <w:p>
      <w:pPr>
        <w:spacing w:after="80" w:line="336" w:lineRule="auto"/>
        <w:ind w:left="420"/>
      </w:pPr>
      <w:r>
        <w:rPr>
          <w:rFonts w:ascii="微软雅黑" w:hAnsi="微软雅黑" w:eastAsia="微软雅黑"/>
          <w:b w:val="0"/>
          <w:sz w:val="21"/>
        </w:rPr>
        <w:t>从题目给出的 8 个候选维度中选定 4 个：技术新颖性、科学基础强度、跨领域整合度、商业化距离。选择标准是与基准数量特征的重叠最小——因为（ii）要验证的正是「与基准特征正交的信息」。据此放弃了「权利要求广度」（基准已有权利要求数）与「合作网络属性」（基准已有发明人数）。</w:t>
      </w:r>
    </w:p>
    <w:p>
      <w:pPr>
        <w:spacing w:after="80" w:line="336" w:lineRule="auto"/>
        <w:ind w:left="420"/>
      </w:pPr>
      <w:r>
        <w:rPr>
          <w:rFonts w:ascii="微软雅黑" w:hAnsi="微软雅黑" w:eastAsia="微软雅黑"/>
          <w:b w:val="0"/>
          <w:sz w:val="21"/>
        </w:rPr>
        <w:t>增量解释力的检验设置三组特征：A＝仅 12 个数量特征；B＝数量特征＋4 个语义特征；C＝仅 4 个语义特征。三组使用完全相同的模型（RidgeCV，正则化强度由交叉验证确定）与交叉验证方案（5 折、按公司分组），以 B−A 作为语义特征带来的增量。</w:t>
      </w:r>
    </w:p>
    <w:p>
      <w:pPr>
        <w:spacing w:after="80" w:line="336" w:lineRule="auto"/>
        <w:ind w:left="420"/>
      </w:pPr>
      <w:r>
        <w:rPr>
          <w:rFonts w:ascii="微软雅黑" w:hAnsi="微软雅黑" w:eastAsia="微软雅黑"/>
          <w:b w:val="0"/>
          <w:sz w:val="21"/>
        </w:rPr>
        <w:t>正交信息的检验采用正交化方法（等价于残差回归）：以 12 个数量特征回归每一个语义特征，以 1−R² 衡量其正交信息占比。</w:t>
      </w:r>
    </w:p>
    <w:p>
      <w:pPr>
        <w:pStyle w:val="Heading2"/>
        <w:spacing w:before="200" w:after="120"/>
      </w:pPr>
      <w:r>
        <w:rPr>
          <w:rFonts w:ascii="微软雅黑" w:hAnsi="微软雅黑" w:eastAsia="微软雅黑"/>
          <w:color w:val="1F3B63"/>
          <w:sz w:val="25"/>
        </w:rPr>
        <w:t>3.3　（iii）各维度的相对重要性</w:t>
      </w:r>
    </w:p>
    <w:p>
      <w:pPr>
        <w:spacing w:after="80" w:line="336" w:lineRule="auto"/>
        <w:ind w:left="420"/>
      </w:pPr>
      <w:r>
        <w:rPr>
          <w:rFonts w:ascii="微软雅黑" w:hAnsi="微软雅黑" w:eastAsia="微软雅黑"/>
          <w:b w:val="0"/>
          <w:sz w:val="21"/>
        </w:rPr>
        <w:t>将 4 个语义维度逐个加入基准特征（一次只加一个，其余三个不加），比较每个维度单独带来的增量，以识别贡献最大的维度。模型与交叉验证方案与 3.2 节完全一致，保证四组之间唯一的差别就是加入了哪一个维度。</w:t>
      </w:r>
    </w:p>
    <w:p>
      <w:pPr>
        <w:pStyle w:val="Heading2"/>
        <w:spacing w:before="200" w:after="120"/>
      </w:pPr>
      <w:r>
        <w:rPr>
          <w:rFonts w:ascii="微软雅黑" w:hAnsi="微软雅黑" w:eastAsia="微软雅黑"/>
          <w:color w:val="1F3B63"/>
          <w:sz w:val="25"/>
        </w:rPr>
        <w:t>3.4　（iiii）计量识别策略</w:t>
      </w:r>
    </w:p>
    <w:p>
      <w:pPr>
        <w:spacing w:after="80" w:line="336" w:lineRule="auto"/>
        <w:ind w:left="420"/>
      </w:pPr>
      <w:r>
        <w:rPr>
          <w:rFonts w:ascii="微软雅黑" w:hAnsi="微软雅黑" w:eastAsia="微软雅黑"/>
          <w:b w:val="0"/>
          <w:sz w:val="21"/>
        </w:rPr>
        <w:t>核心解释变量 x 选用跨领域整合度，依据是 3.3 节的结果（它在三个结果变量上的增量排名均为第一）。被解释变量 y 共四个：SA 指数（融资约束，主）、资产负债率（杠杆）、总资产净利润率（盈利）、主营业务收入增长率（成长）。其中 SA 指数按 Hadlock &amp; Pierce（2010）的方法构造：SA = -0.737×Size + 0.043×Size² - 0.040×Age，其中 Size = ln(总资产 / 百万元)，Age 为企业成立年数。</w:t>
      </w:r>
    </w:p>
    <w:p>
      <w:pPr>
        <w:spacing w:after="80" w:line="336" w:lineRule="auto"/>
        <w:ind w:left="420"/>
      </w:pPr>
      <w:r>
        <w:rPr>
          <w:rFonts w:ascii="微软雅黑" w:hAnsi="微软雅黑" w:eastAsia="微软雅黑"/>
          <w:b/>
          <w:sz w:val="21"/>
        </w:rPr>
        <w:t>基准回归方程设定为：</w:t>
      </w:r>
    </w:p>
    <w:p>
      <w:pPr>
        <w:spacing w:after="80" w:line="336" w:lineRule="auto"/>
        <w:ind w:left="680"/>
      </w:pPr>
      <w:r>
        <w:rPr>
          <w:rFonts w:ascii="微软雅黑" w:hAnsi="微软雅黑" w:eastAsia="微软雅黑"/>
          <w:b/>
          <w:sz w:val="21"/>
        </w:rPr>
        <w:t>y = θ × 跨领域整合度 + 控制变量 + 企业FE + 年份FE + 行业×年份FE + 地区×年份FE + 误差</w:t>
      </w:r>
    </w:p>
    <w:p>
      <w:pPr>
        <w:spacing w:after="80" w:line="336" w:lineRule="auto"/>
        <w:ind w:left="420"/>
      </w:pPr>
      <w:r>
        <w:rPr>
          <w:rFonts w:ascii="微软雅黑" w:hAnsi="微软雅黑" w:eastAsia="微软雅黑"/>
          <w:b w:val="0"/>
          <w:sz w:val="21"/>
        </w:rPr>
        <w:t>控制变量为 12 个数量类专利特征。四类固定效应中，行业×年份与地区×年份的作用是吸收行业与地区层面的时变冲击。标准误在企业层面聚类，并另外检验了行业、地区两种聚类层级的稳健性。</w:t>
      </w:r>
    </w:p>
    <w:p>
      <w:pPr>
        <w:spacing w:after="80" w:line="336" w:lineRule="auto"/>
        <w:ind w:left="420"/>
      </w:pPr>
      <w:r>
        <w:rPr>
          <w:rFonts w:ascii="微软雅黑" w:hAnsi="微软雅黑" w:eastAsia="微软雅黑"/>
          <w:b w:val="0"/>
          <w:sz w:val="21"/>
        </w:rPr>
        <w:t>识别策略采用双重机器学习（DML）。DML 的做法是：先用机器学习分别拟合 E[y|Z] 与 E[x|Z]（Z 为全部控制变量与固定效应），再对两个残差进行回归，所得系数 θ 对模型误设更稳健。我们使用 5 折交叉拟合，并分别以随机森林与 LASSO 作为学习器互相验证。为避免 DML 与基准回归的固定效应设定不一致，我们先用交替投影法将全部变量对四类固定效应偏回归，再对残差执行 DML。</w:t>
      </w:r>
    </w:p>
    <w:p>
      <w:r>
        <w:br w:type="page"/>
      </w:r>
    </w:p>
    <w:p>
      <w:pPr>
        <w:pStyle w:val="Heading1"/>
        <w:spacing w:before="280" w:after="120"/>
      </w:pPr>
      <w:r>
        <w:rPr>
          <w:rFonts w:ascii="微软雅黑" w:hAnsi="微软雅黑" w:eastAsia="微软雅黑"/>
          <w:color w:val="1F3B63"/>
          <w:sz w:val="30"/>
        </w:rPr>
        <w:t>四、实验结果</w:t>
      </w:r>
    </w:p>
    <w:p>
      <w:pPr>
        <w:pStyle w:val="Heading2"/>
        <w:spacing w:before="200" w:after="120"/>
      </w:pPr>
      <w:r>
        <w:rPr>
          <w:rFonts w:ascii="微软雅黑" w:hAnsi="微软雅黑" w:eastAsia="微软雅黑"/>
          <w:color w:val="1F3B63"/>
          <w:sz w:val="25"/>
        </w:rPr>
        <w:t>4.1　（i）数量类特征的差异化解释与预测能力</w:t>
      </w:r>
    </w:p>
    <w:p>
      <w:pPr>
        <w:spacing w:before="120" w:after="40"/>
        <w:jc w:val="center"/>
      </w:pPr>
      <w:r>
        <w:rPr>
          <w:rFonts w:ascii="微软雅黑" w:hAnsi="微软雅黑" w:eastAsia="微软雅黑"/>
          <w:b/>
          <w:sz w:val="19"/>
        </w:rPr>
        <w:t>表 5　三种设定下的模型表现（R²）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fill="DCE6F1"/>
          </w:tcPr>
          <w:p>
            <w:r/>
            <w:r>
              <w:rPr>
                <w:rFonts w:ascii="微软雅黑" w:hAnsi="微软雅黑" w:eastAsia="微软雅黑"/>
                <w:b/>
                <w:sz w:val="18"/>
              </w:rPr>
              <w:t>设定</w:t>
            </w:r>
          </w:p>
        </w:tc>
        <w:tc>
          <w:tcPr>
            <w:tcW w:type="dxa" w:w="2608"/>
            <w:shd w:fill="DCE6F1"/>
          </w:tcPr>
          <w:p>
            <w:r/>
            <w:r>
              <w:rPr>
                <w:rFonts w:ascii="微软雅黑" w:hAnsi="微软雅黑" w:eastAsia="微软雅黑"/>
                <w:b/>
                <w:sz w:val="18"/>
              </w:rPr>
              <w:t>线性模型</w:t>
            </w:r>
          </w:p>
        </w:tc>
        <w:tc>
          <w:tcPr>
            <w:tcW w:type="dxa" w:w="1928"/>
            <w:shd w:fill="DCE6F1"/>
          </w:tcPr>
          <w:p>
            <w:r/>
            <w:r>
              <w:rPr>
                <w:rFonts w:ascii="微软雅黑" w:hAnsi="微软雅黑" w:eastAsia="微软雅黑"/>
                <w:b/>
                <w:sz w:val="18"/>
              </w:rPr>
              <w:t>随机森林</w:t>
            </w:r>
          </w:p>
        </w:tc>
        <w:tc>
          <w:tcPr>
            <w:tcW w:type="dxa" w:w="2608"/>
            <w:shd w:fill="DCE6F1"/>
          </w:tcPr>
          <w:p>
            <w:r/>
            <w:r>
              <w:rPr>
                <w:rFonts w:ascii="微软雅黑" w:hAnsi="微软雅黑" w:eastAsia="微软雅黑"/>
                <w:b/>
                <w:sz w:val="18"/>
              </w:rPr>
              <w:t>说明</w:t>
            </w:r>
          </w:p>
        </w:tc>
      </w:tr>
      <w:tr>
        <w:tc>
          <w:tcPr>
            <w:tcW w:type="dxa" w:w="1701"/>
          </w:tcPr>
          <w:p>
            <w:pPr>
              <w:spacing w:after="20"/>
            </w:pPr>
            <w:r/>
            <w:r>
              <w:rPr>
                <w:rFonts w:ascii="微软雅黑" w:hAnsi="微软雅黑" w:eastAsia="微软雅黑"/>
                <w:b w:val="0"/>
                <w:sz w:val="18"/>
              </w:rPr>
              <w:t>① 原始</w:t>
            </w:r>
          </w:p>
        </w:tc>
        <w:tc>
          <w:tcPr>
            <w:tcW w:type="dxa" w:w="2608"/>
          </w:tcPr>
          <w:p>
            <w:pPr>
              <w:spacing w:after="20"/>
            </w:pPr>
            <w:r/>
            <w:r>
              <w:rPr>
                <w:rFonts w:ascii="微软雅黑" w:hAnsi="微软雅黑" w:eastAsia="微软雅黑"/>
                <w:b w:val="0"/>
                <w:sz w:val="18"/>
              </w:rPr>
              <w:t>-0.051 / 0.026 / 0.039</w:t>
            </w:r>
          </w:p>
        </w:tc>
        <w:tc>
          <w:tcPr>
            <w:tcW w:type="dxa" w:w="1928"/>
          </w:tcPr>
          <w:p>
            <w:pPr>
              <w:spacing w:after="20"/>
            </w:pPr>
            <w:r/>
            <w:r>
              <w:rPr>
                <w:rFonts w:ascii="微软雅黑" w:hAnsi="微软雅黑" w:eastAsia="微软雅黑"/>
                <w:b w:val="0"/>
                <w:sz w:val="18"/>
              </w:rPr>
              <w:t>低于线性</w:t>
            </w:r>
          </w:p>
        </w:tc>
        <w:tc>
          <w:tcPr>
            <w:tcW w:type="dxa" w:w="2608"/>
          </w:tcPr>
          <w:p>
            <w:pPr>
              <w:spacing w:after="20"/>
            </w:pPr>
            <w:r/>
            <w:r>
              <w:rPr>
                <w:rFonts w:ascii="微软雅黑" w:hAnsi="微软雅黑" w:eastAsia="微软雅黑"/>
                <w:b w:val="0"/>
                <w:sz w:val="18"/>
              </w:rPr>
              <w:t>跨公司维度几乎无解释力</w:t>
            </w:r>
          </w:p>
        </w:tc>
      </w:tr>
      <w:tr>
        <w:tc>
          <w:tcPr>
            <w:tcW w:type="dxa" w:w="1701"/>
          </w:tcPr>
          <w:p>
            <w:pPr>
              <w:spacing w:after="20"/>
            </w:pPr>
            <w:r/>
            <w:r>
              <w:rPr>
                <w:rFonts w:ascii="微软雅黑" w:hAnsi="微软雅黑" w:eastAsia="微软雅黑"/>
                <w:b w:val="0"/>
                <w:sz w:val="18"/>
              </w:rPr>
              <w:t>② 年度去均值</w:t>
            </w:r>
          </w:p>
        </w:tc>
        <w:tc>
          <w:tcPr>
            <w:tcW w:type="dxa" w:w="2608"/>
          </w:tcPr>
          <w:p>
            <w:pPr>
              <w:spacing w:after="20"/>
            </w:pPr>
            <w:r/>
            <w:r>
              <w:rPr>
                <w:rFonts w:ascii="微软雅黑" w:hAnsi="微软雅黑" w:eastAsia="微软雅黑"/>
                <w:b w:val="0"/>
                <w:sz w:val="18"/>
              </w:rPr>
              <w:t>-0.165 / — / —</w:t>
            </w:r>
          </w:p>
        </w:tc>
        <w:tc>
          <w:tcPr>
            <w:tcW w:type="dxa" w:w="1928"/>
          </w:tcPr>
          <w:p>
            <w:pPr>
              <w:spacing w:after="20"/>
            </w:pPr>
            <w:r/>
            <w:r>
              <w:rPr>
                <w:rFonts w:ascii="微软雅黑" w:hAnsi="微软雅黑" w:eastAsia="微软雅黑"/>
                <w:b w:val="0"/>
                <w:sz w:val="18"/>
              </w:rPr>
              <w:t>—</w:t>
            </w:r>
          </w:p>
        </w:tc>
        <w:tc>
          <w:tcPr>
            <w:tcW w:type="dxa" w:w="2608"/>
          </w:tcPr>
          <w:p>
            <w:pPr>
              <w:spacing w:after="20"/>
            </w:pPr>
            <w:r/>
            <w:r>
              <w:rPr>
                <w:rFonts w:ascii="微软雅黑" w:hAnsi="微软雅黑" w:eastAsia="微软雅黑"/>
                <w:b w:val="0"/>
                <w:sz w:val="18"/>
              </w:rPr>
              <w:t>剔除年度冲击后仍差</w:t>
            </w:r>
          </w:p>
        </w:tc>
      </w:tr>
      <w:tr>
        <w:tc>
          <w:tcPr>
            <w:tcW w:type="dxa" w:w="1701"/>
          </w:tcPr>
          <w:p>
            <w:pPr>
              <w:spacing w:after="20"/>
            </w:pPr>
            <w:r/>
            <w:r>
              <w:rPr>
                <w:rFonts w:ascii="微软雅黑" w:hAnsi="微软雅黑" w:eastAsia="微软雅黑"/>
                <w:b w:val="0"/>
                <w:sz w:val="18"/>
              </w:rPr>
              <w:t>③ 公司内去均值</w:t>
            </w:r>
          </w:p>
        </w:tc>
        <w:tc>
          <w:tcPr>
            <w:tcW w:type="dxa" w:w="2608"/>
          </w:tcPr>
          <w:p>
            <w:pPr>
              <w:spacing w:after="20"/>
            </w:pPr>
            <w:r/>
            <w:r>
              <w:rPr>
                <w:rFonts w:ascii="微软雅黑" w:hAnsi="微软雅黑" w:eastAsia="微软雅黑"/>
                <w:b w:val="0"/>
                <w:sz w:val="18"/>
              </w:rPr>
              <w:t>0.180 / 0.058 / 0.065</w:t>
            </w:r>
          </w:p>
        </w:tc>
        <w:tc>
          <w:tcPr>
            <w:tcW w:type="dxa" w:w="1928"/>
          </w:tcPr>
          <w:p>
            <w:pPr>
              <w:spacing w:after="20"/>
            </w:pPr>
            <w:r/>
            <w:r>
              <w:rPr>
                <w:rFonts w:ascii="微软雅黑" w:hAnsi="微软雅黑" w:eastAsia="微软雅黑"/>
                <w:b w:val="0"/>
                <w:sz w:val="18"/>
              </w:rPr>
              <w:t>0.149（ROA）</w:t>
            </w:r>
          </w:p>
        </w:tc>
        <w:tc>
          <w:tcPr>
            <w:tcW w:type="dxa" w:w="2608"/>
          </w:tcPr>
          <w:p>
            <w:pPr>
              <w:spacing w:after="20"/>
            </w:pPr>
            <w:r/>
            <w:r>
              <w:rPr>
                <w:rFonts w:ascii="微软雅黑" w:hAnsi="微软雅黑" w:eastAsia="微软雅黑"/>
                <w:b w:val="0"/>
                <w:sz w:val="18"/>
              </w:rPr>
              <w:t>公司内可解释约 18%</w:t>
            </w:r>
          </w:p>
        </w:tc>
      </w:tr>
    </w:tbl>
    <w:p>
      <w:pPr>
        <w:spacing w:after="40"/>
      </w:pPr>
    </w:p>
    <w:p>
      <w:pPr>
        <w:spacing w:after="80" w:line="336" w:lineRule="auto"/>
        <w:ind w:left="420"/>
      </w:pPr>
      <w:r>
        <w:rPr>
          <w:rFonts w:ascii="微软雅黑" w:hAnsi="微软雅黑" w:eastAsia="微软雅黑"/>
          <w:b w:val="0"/>
          <w:sz w:val="21"/>
        </w:rPr>
        <w:t>注：三个数字依次对应总资产净利润率 / 主营业务收入增长率 / 资产负债率。</w:t>
      </w:r>
    </w:p>
    <w:p>
      <w:pPr>
        <w:spacing w:after="80" w:line="336" w:lineRule="auto"/>
        <w:ind w:left="420"/>
      </w:pPr>
      <w:r>
        <w:rPr>
          <w:rFonts w:ascii="微软雅黑" w:hAnsi="微软雅黑" w:eastAsia="微软雅黑"/>
          <w:b w:val="0"/>
          <w:sz w:val="21"/>
        </w:rPr>
        <w:t>三个结论：① 跨公司维度上，12 个数量特征几乎不具备解释力（R² 接近 0 甚至为负）；② 公司内维度上，特征可解释约 18% 的总资产净利润率年度波动；③ 在 9 组比较中线性模型胜出 8 组，说明专利特征与企业结果之间主要是线性关系，随机森林在 1,270 个观测的样本量下出现过拟合。</w:t>
      </w:r>
    </w:p>
    <w:p>
      <w:pPr>
        <w:pStyle w:val="Heading2"/>
        <w:spacing w:before="200" w:after="120"/>
      </w:pPr>
      <w:r>
        <w:rPr>
          <w:rFonts w:ascii="微软雅黑" w:hAnsi="微软雅黑" w:eastAsia="微软雅黑"/>
          <w:color w:val="1F3B63"/>
          <w:sz w:val="25"/>
        </w:rPr>
        <w:t>4.2　（ii）语义特征的增量解释力与正交信息</w:t>
      </w:r>
    </w:p>
    <w:p>
      <w:pPr>
        <w:spacing w:before="120" w:after="40"/>
        <w:jc w:val="center"/>
      </w:pPr>
      <w:r>
        <w:rPr>
          <w:rFonts w:ascii="微软雅黑" w:hAnsi="微软雅黑" w:eastAsia="微软雅黑"/>
          <w:b/>
          <w:sz w:val="19"/>
        </w:rPr>
        <w:t>表 6　语义特征的增量解释力</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247"/>
            <w:shd w:fill="DCE6F1"/>
          </w:tcPr>
          <w:p>
            <w:r/>
            <w:r>
              <w:rPr>
                <w:rFonts w:ascii="微软雅黑" w:hAnsi="微软雅黑" w:eastAsia="微软雅黑"/>
                <w:b/>
                <w:sz w:val="18"/>
              </w:rPr>
              <w:t>设定</w:t>
            </w:r>
          </w:p>
        </w:tc>
        <w:tc>
          <w:tcPr>
            <w:tcW w:type="dxa" w:w="2381"/>
            <w:shd w:fill="DCE6F1"/>
          </w:tcPr>
          <w:p>
            <w:r/>
            <w:r>
              <w:rPr>
                <w:rFonts w:ascii="微软雅黑" w:hAnsi="微软雅黑" w:eastAsia="微软雅黑"/>
                <w:b/>
                <w:sz w:val="18"/>
              </w:rPr>
              <w:t>被解释变量</w:t>
            </w:r>
          </w:p>
        </w:tc>
        <w:tc>
          <w:tcPr>
            <w:tcW w:type="dxa" w:w="1474"/>
            <w:shd w:fill="DCE6F1"/>
          </w:tcPr>
          <w:p>
            <w:r/>
            <w:r>
              <w:rPr>
                <w:rFonts w:ascii="微软雅黑" w:hAnsi="微软雅黑" w:eastAsia="微软雅黑"/>
                <w:b/>
                <w:sz w:val="18"/>
              </w:rPr>
              <w:t>A 仅数量</w:t>
            </w:r>
          </w:p>
        </w:tc>
        <w:tc>
          <w:tcPr>
            <w:tcW w:type="dxa" w:w="1701"/>
            <w:shd w:fill="DCE6F1"/>
          </w:tcPr>
          <w:p>
            <w:r/>
            <w:r>
              <w:rPr>
                <w:rFonts w:ascii="微软雅黑" w:hAnsi="微软雅黑" w:eastAsia="微软雅黑"/>
                <w:b/>
                <w:sz w:val="18"/>
              </w:rPr>
              <w:t>B 数量+语义</w:t>
            </w:r>
          </w:p>
        </w:tc>
        <w:tc>
          <w:tcPr>
            <w:tcW w:type="dxa" w:w="1701"/>
            <w:shd w:fill="DCE6F1"/>
          </w:tcPr>
          <w:p>
            <w:r/>
            <w:r>
              <w:rPr>
                <w:rFonts w:ascii="微软雅黑" w:hAnsi="微软雅黑" w:eastAsia="微软雅黑"/>
                <w:b/>
                <w:sz w:val="18"/>
              </w:rPr>
              <w:t>增量(B−A)</w:t>
            </w:r>
          </w:p>
        </w:tc>
      </w:tr>
      <w:tr>
        <w:tc>
          <w:tcPr>
            <w:tcW w:type="dxa" w:w="1247"/>
          </w:tcPr>
          <w:p>
            <w:pPr>
              <w:spacing w:after="20"/>
            </w:pPr>
            <w:r/>
            <w:r>
              <w:rPr>
                <w:rFonts w:ascii="微软雅黑" w:hAnsi="微软雅黑" w:eastAsia="微软雅黑"/>
                <w:b w:val="0"/>
                <w:sz w:val="18"/>
              </w:rPr>
              <w:t>① 原始</w:t>
            </w:r>
          </w:p>
        </w:tc>
        <w:tc>
          <w:tcPr>
            <w:tcW w:type="dxa" w:w="2381"/>
          </w:tcPr>
          <w:p>
            <w:pPr>
              <w:spacing w:after="20"/>
            </w:pPr>
            <w:r/>
            <w:r>
              <w:rPr>
                <w:rFonts w:ascii="微软雅黑" w:hAnsi="微软雅黑" w:eastAsia="微软雅黑"/>
                <w:b w:val="0"/>
                <w:sz w:val="18"/>
              </w:rPr>
              <w:t>总资产净利润率</w:t>
            </w:r>
          </w:p>
        </w:tc>
        <w:tc>
          <w:tcPr>
            <w:tcW w:type="dxa" w:w="1474"/>
          </w:tcPr>
          <w:p>
            <w:pPr>
              <w:spacing w:after="20"/>
            </w:pPr>
            <w:r/>
            <w:r>
              <w:rPr>
                <w:rFonts w:ascii="微软雅黑" w:hAnsi="微软雅黑" w:eastAsia="微软雅黑"/>
                <w:b w:val="0"/>
                <w:sz w:val="18"/>
              </w:rPr>
              <w:t>0.0145</w:t>
            </w:r>
          </w:p>
        </w:tc>
        <w:tc>
          <w:tcPr>
            <w:tcW w:type="dxa" w:w="1701"/>
          </w:tcPr>
          <w:p>
            <w:pPr>
              <w:spacing w:after="20"/>
            </w:pPr>
            <w:r/>
            <w:r>
              <w:rPr>
                <w:rFonts w:ascii="微软雅黑" w:hAnsi="微软雅黑" w:eastAsia="微软雅黑"/>
                <w:b w:val="0"/>
                <w:sz w:val="18"/>
              </w:rPr>
              <w:t>0.0249</w:t>
            </w:r>
          </w:p>
        </w:tc>
        <w:tc>
          <w:tcPr>
            <w:tcW w:type="dxa" w:w="1701"/>
          </w:tcPr>
          <w:p>
            <w:pPr>
              <w:spacing w:after="20"/>
            </w:pPr>
            <w:r/>
            <w:r>
              <w:rPr>
                <w:rFonts w:ascii="微软雅黑" w:hAnsi="微软雅黑" w:eastAsia="微软雅黑"/>
                <w:b w:val="0"/>
                <w:sz w:val="18"/>
              </w:rPr>
              <w:t>+0.0104</w:t>
            </w:r>
          </w:p>
        </w:tc>
      </w:tr>
      <w:tr>
        <w:tc>
          <w:tcPr>
            <w:tcW w:type="dxa" w:w="1247"/>
          </w:tcPr>
          <w:p>
            <w:pPr>
              <w:spacing w:after="20"/>
            </w:pPr>
            <w:r/>
            <w:r>
              <w:rPr>
                <w:rFonts w:ascii="微软雅黑" w:hAnsi="微软雅黑" w:eastAsia="微软雅黑"/>
                <w:b w:val="0"/>
                <w:sz w:val="18"/>
              </w:rPr>
              <w:t>① 原始</w:t>
            </w:r>
          </w:p>
        </w:tc>
        <w:tc>
          <w:tcPr>
            <w:tcW w:type="dxa" w:w="2381"/>
          </w:tcPr>
          <w:p>
            <w:pPr>
              <w:spacing w:after="20"/>
            </w:pPr>
            <w:r/>
            <w:r>
              <w:rPr>
                <w:rFonts w:ascii="微软雅黑" w:hAnsi="微软雅黑" w:eastAsia="微软雅黑"/>
                <w:b w:val="0"/>
                <w:sz w:val="18"/>
              </w:rPr>
              <w:t>主营业务收入增长率</w:t>
            </w:r>
          </w:p>
        </w:tc>
        <w:tc>
          <w:tcPr>
            <w:tcW w:type="dxa" w:w="1474"/>
          </w:tcPr>
          <w:p>
            <w:pPr>
              <w:spacing w:after="20"/>
            </w:pPr>
            <w:r/>
            <w:r>
              <w:rPr>
                <w:rFonts w:ascii="微软雅黑" w:hAnsi="微软雅黑" w:eastAsia="微软雅黑"/>
                <w:b w:val="0"/>
                <w:sz w:val="18"/>
              </w:rPr>
              <w:t>0.0232</w:t>
            </w:r>
          </w:p>
        </w:tc>
        <w:tc>
          <w:tcPr>
            <w:tcW w:type="dxa" w:w="1701"/>
          </w:tcPr>
          <w:p>
            <w:pPr>
              <w:spacing w:after="20"/>
            </w:pPr>
            <w:r/>
            <w:r>
              <w:rPr>
                <w:rFonts w:ascii="微软雅黑" w:hAnsi="微软雅黑" w:eastAsia="微软雅黑"/>
                <w:b w:val="0"/>
                <w:sz w:val="18"/>
              </w:rPr>
              <w:t>0.0259</w:t>
            </w:r>
          </w:p>
        </w:tc>
        <w:tc>
          <w:tcPr>
            <w:tcW w:type="dxa" w:w="1701"/>
          </w:tcPr>
          <w:p>
            <w:pPr>
              <w:spacing w:after="20"/>
            </w:pPr>
            <w:r/>
            <w:r>
              <w:rPr>
                <w:rFonts w:ascii="微软雅黑" w:hAnsi="微软雅黑" w:eastAsia="微软雅黑"/>
                <w:b w:val="0"/>
                <w:sz w:val="18"/>
              </w:rPr>
              <w:t>+0.0027</w:t>
            </w:r>
          </w:p>
        </w:tc>
      </w:tr>
      <w:tr>
        <w:tc>
          <w:tcPr>
            <w:tcW w:type="dxa" w:w="1247"/>
          </w:tcPr>
          <w:p>
            <w:pPr>
              <w:spacing w:after="20"/>
            </w:pPr>
            <w:r/>
            <w:r>
              <w:rPr>
                <w:rFonts w:ascii="微软雅黑" w:hAnsi="微软雅黑" w:eastAsia="微软雅黑"/>
                <w:b w:val="0"/>
                <w:sz w:val="18"/>
              </w:rPr>
              <w:t>③ 公司内</w:t>
            </w:r>
          </w:p>
        </w:tc>
        <w:tc>
          <w:tcPr>
            <w:tcW w:type="dxa" w:w="2381"/>
          </w:tcPr>
          <w:p>
            <w:pPr>
              <w:spacing w:after="20"/>
            </w:pPr>
            <w:r/>
            <w:r>
              <w:rPr>
                <w:rFonts w:ascii="微软雅黑" w:hAnsi="微软雅黑" w:eastAsia="微软雅黑"/>
                <w:b w:val="0"/>
                <w:sz w:val="18"/>
              </w:rPr>
              <w:t>总资产净利润率</w:t>
            </w:r>
          </w:p>
        </w:tc>
        <w:tc>
          <w:tcPr>
            <w:tcW w:type="dxa" w:w="1474"/>
          </w:tcPr>
          <w:p>
            <w:pPr>
              <w:spacing w:after="20"/>
            </w:pPr>
            <w:r/>
            <w:r>
              <w:rPr>
                <w:rFonts w:ascii="微软雅黑" w:hAnsi="微软雅黑" w:eastAsia="微软雅黑"/>
                <w:b w:val="0"/>
                <w:sz w:val="18"/>
              </w:rPr>
              <w:t>0.0976</w:t>
            </w:r>
          </w:p>
        </w:tc>
        <w:tc>
          <w:tcPr>
            <w:tcW w:type="dxa" w:w="1701"/>
          </w:tcPr>
          <w:p>
            <w:pPr>
              <w:spacing w:after="20"/>
            </w:pPr>
            <w:r/>
            <w:r>
              <w:rPr>
                <w:rFonts w:ascii="微软雅黑" w:hAnsi="微软雅黑" w:eastAsia="微软雅黑"/>
                <w:b w:val="0"/>
                <w:sz w:val="18"/>
              </w:rPr>
              <w:t>0.1096</w:t>
            </w:r>
          </w:p>
        </w:tc>
        <w:tc>
          <w:tcPr>
            <w:tcW w:type="dxa" w:w="1701"/>
          </w:tcPr>
          <w:p>
            <w:pPr>
              <w:spacing w:after="20"/>
            </w:pPr>
            <w:r/>
            <w:r>
              <w:rPr>
                <w:rFonts w:ascii="微软雅黑" w:hAnsi="微软雅黑" w:eastAsia="微软雅黑"/>
                <w:b w:val="0"/>
                <w:sz w:val="18"/>
              </w:rPr>
              <w:t>+0.0120</w:t>
            </w:r>
          </w:p>
        </w:tc>
      </w:tr>
      <w:tr>
        <w:tc>
          <w:tcPr>
            <w:tcW w:type="dxa" w:w="1247"/>
          </w:tcPr>
          <w:p>
            <w:pPr>
              <w:spacing w:after="20"/>
            </w:pPr>
            <w:r/>
            <w:r>
              <w:rPr>
                <w:rFonts w:ascii="微软雅黑" w:hAnsi="微软雅黑" w:eastAsia="微软雅黑"/>
                <w:b w:val="0"/>
                <w:sz w:val="18"/>
              </w:rPr>
              <w:t>③ 公司内</w:t>
            </w:r>
          </w:p>
        </w:tc>
        <w:tc>
          <w:tcPr>
            <w:tcW w:type="dxa" w:w="2381"/>
          </w:tcPr>
          <w:p>
            <w:pPr>
              <w:spacing w:after="20"/>
            </w:pPr>
            <w:r/>
            <w:r>
              <w:rPr>
                <w:rFonts w:ascii="微软雅黑" w:hAnsi="微软雅黑" w:eastAsia="微软雅黑"/>
                <w:b w:val="0"/>
                <w:sz w:val="18"/>
              </w:rPr>
              <w:t>主营业务收入增长率</w:t>
            </w:r>
          </w:p>
        </w:tc>
        <w:tc>
          <w:tcPr>
            <w:tcW w:type="dxa" w:w="1474"/>
          </w:tcPr>
          <w:p>
            <w:pPr>
              <w:spacing w:after="20"/>
            </w:pPr>
            <w:r/>
            <w:r>
              <w:rPr>
                <w:rFonts w:ascii="微软雅黑" w:hAnsi="微软雅黑" w:eastAsia="微软雅黑"/>
                <w:b w:val="0"/>
                <w:sz w:val="18"/>
              </w:rPr>
              <w:t>0.0385</w:t>
            </w:r>
          </w:p>
        </w:tc>
        <w:tc>
          <w:tcPr>
            <w:tcW w:type="dxa" w:w="1701"/>
          </w:tcPr>
          <w:p>
            <w:pPr>
              <w:spacing w:after="20"/>
            </w:pPr>
            <w:r/>
            <w:r>
              <w:rPr>
                <w:rFonts w:ascii="微软雅黑" w:hAnsi="微软雅黑" w:eastAsia="微软雅黑"/>
                <w:b w:val="0"/>
                <w:sz w:val="18"/>
              </w:rPr>
              <w:t>0.0383</w:t>
            </w:r>
          </w:p>
        </w:tc>
        <w:tc>
          <w:tcPr>
            <w:tcW w:type="dxa" w:w="1701"/>
          </w:tcPr>
          <w:p>
            <w:pPr>
              <w:spacing w:after="20"/>
            </w:pPr>
            <w:r/>
            <w:r>
              <w:rPr>
                <w:rFonts w:ascii="微软雅黑" w:hAnsi="微软雅黑" w:eastAsia="微软雅黑"/>
                <w:b w:val="0"/>
                <w:sz w:val="18"/>
              </w:rPr>
              <w:t>-0.0002</w:t>
            </w:r>
          </w:p>
        </w:tc>
      </w:tr>
    </w:tbl>
    <w:p>
      <w:pPr>
        <w:spacing w:after="40"/>
      </w:pPr>
    </w:p>
    <w:p>
      <w:pPr>
        <w:spacing w:after="80" w:line="336" w:lineRule="auto"/>
        <w:ind w:left="420"/>
      </w:pPr>
      <w:r>
        <w:rPr>
          <w:rFonts w:ascii="微软雅黑" w:hAnsi="微软雅黑" w:eastAsia="微软雅黑"/>
          <w:b w:val="0"/>
          <w:sz w:val="21"/>
        </w:rPr>
        <w:t>增量方向为正，但幅度很小（0.1–1.2 个百分点）。这说明语义特征确实携带了新信息，但对企业财务结果的预测能力提升有限。</w:t>
      </w:r>
    </w:p>
    <w:p>
      <w:pPr>
        <w:spacing w:before="120" w:after="40"/>
        <w:jc w:val="center"/>
      </w:pPr>
      <w:r>
        <w:rPr>
          <w:rFonts w:ascii="微软雅黑" w:hAnsi="微软雅黑" w:eastAsia="微软雅黑"/>
          <w:b/>
          <w:sz w:val="19"/>
        </w:rPr>
        <w:t>表 7　语义特征的正交信息占比</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fill="DCE6F1"/>
          </w:tcPr>
          <w:p>
            <w:r/>
            <w:r>
              <w:rPr>
                <w:rFonts w:ascii="微软雅黑" w:hAnsi="微软雅黑" w:eastAsia="微软雅黑"/>
                <w:b/>
                <w:sz w:val="18"/>
              </w:rPr>
              <w:t>语义维度</w:t>
            </w:r>
          </w:p>
        </w:tc>
        <w:tc>
          <w:tcPr>
            <w:tcW w:type="dxa" w:w="2608"/>
            <w:shd w:fill="DCE6F1"/>
          </w:tcPr>
          <w:p>
            <w:r/>
            <w:r>
              <w:rPr>
                <w:rFonts w:ascii="微软雅黑" w:hAnsi="微软雅黑" w:eastAsia="微软雅黑"/>
                <w:b/>
                <w:sz w:val="18"/>
              </w:rPr>
              <w:t>被数量特征解释的 R²</w:t>
            </w:r>
          </w:p>
        </w:tc>
        <w:tc>
          <w:tcPr>
            <w:tcW w:type="dxa" w:w="2608"/>
            <w:shd w:fill="DCE6F1"/>
          </w:tcPr>
          <w:p>
            <w:r/>
            <w:r>
              <w:rPr>
                <w:rFonts w:ascii="微软雅黑" w:hAnsi="微软雅黑" w:eastAsia="微软雅黑"/>
                <w:b/>
                <w:sz w:val="18"/>
              </w:rPr>
              <w:t>正交部分（1−R²）</w:t>
            </w:r>
          </w:p>
        </w:tc>
      </w:tr>
      <w:tr>
        <w:tc>
          <w:tcPr>
            <w:tcW w:type="dxa" w:w="2494"/>
          </w:tcPr>
          <w:p>
            <w:pPr>
              <w:spacing w:after="20"/>
            </w:pPr>
            <w:r/>
            <w:r>
              <w:rPr>
                <w:rFonts w:ascii="微软雅黑" w:hAnsi="微软雅黑" w:eastAsia="微软雅黑"/>
                <w:b w:val="0"/>
                <w:sz w:val="18"/>
              </w:rPr>
              <w:t>技术新颖性</w:t>
            </w:r>
          </w:p>
        </w:tc>
        <w:tc>
          <w:tcPr>
            <w:tcW w:type="dxa" w:w="2608"/>
          </w:tcPr>
          <w:p>
            <w:pPr>
              <w:spacing w:after="20"/>
            </w:pPr>
            <w:r/>
            <w:r>
              <w:rPr>
                <w:rFonts w:ascii="微软雅黑" w:hAnsi="微软雅黑" w:eastAsia="微软雅黑"/>
                <w:b w:val="0"/>
                <w:sz w:val="18"/>
              </w:rPr>
              <w:t>0.554</w:t>
            </w:r>
          </w:p>
        </w:tc>
        <w:tc>
          <w:tcPr>
            <w:tcW w:type="dxa" w:w="2608"/>
          </w:tcPr>
          <w:p>
            <w:pPr>
              <w:spacing w:after="20"/>
            </w:pPr>
            <w:r/>
            <w:r>
              <w:rPr>
                <w:rFonts w:ascii="微软雅黑" w:hAnsi="微软雅黑" w:eastAsia="微软雅黑"/>
                <w:b w:val="0"/>
                <w:sz w:val="18"/>
              </w:rPr>
              <w:t>0.446</w:t>
            </w:r>
          </w:p>
        </w:tc>
      </w:tr>
      <w:tr>
        <w:tc>
          <w:tcPr>
            <w:tcW w:type="dxa" w:w="2494"/>
          </w:tcPr>
          <w:p>
            <w:pPr>
              <w:spacing w:after="20"/>
            </w:pPr>
            <w:r/>
            <w:r>
              <w:rPr>
                <w:rFonts w:ascii="微软雅黑" w:hAnsi="微软雅黑" w:eastAsia="微软雅黑"/>
                <w:b w:val="0"/>
                <w:sz w:val="18"/>
              </w:rPr>
              <w:t>科学基础强度</w:t>
            </w:r>
          </w:p>
        </w:tc>
        <w:tc>
          <w:tcPr>
            <w:tcW w:type="dxa" w:w="2608"/>
          </w:tcPr>
          <w:p>
            <w:pPr>
              <w:spacing w:after="20"/>
            </w:pPr>
            <w:r/>
            <w:r>
              <w:rPr>
                <w:rFonts w:ascii="微软雅黑" w:hAnsi="微软雅黑" w:eastAsia="微软雅黑"/>
                <w:b w:val="0"/>
                <w:sz w:val="18"/>
              </w:rPr>
              <w:t>0.449</w:t>
            </w:r>
          </w:p>
        </w:tc>
        <w:tc>
          <w:tcPr>
            <w:tcW w:type="dxa" w:w="2608"/>
          </w:tcPr>
          <w:p>
            <w:pPr>
              <w:spacing w:after="20"/>
            </w:pPr>
            <w:r/>
            <w:r>
              <w:rPr>
                <w:rFonts w:ascii="微软雅黑" w:hAnsi="微软雅黑" w:eastAsia="微软雅黑"/>
                <w:b w:val="0"/>
                <w:sz w:val="18"/>
              </w:rPr>
              <w:t>0.551</w:t>
            </w:r>
          </w:p>
        </w:tc>
      </w:tr>
      <w:tr>
        <w:tc>
          <w:tcPr>
            <w:tcW w:type="dxa" w:w="2494"/>
          </w:tcPr>
          <w:p>
            <w:pPr>
              <w:spacing w:after="20"/>
            </w:pPr>
            <w:r/>
            <w:r>
              <w:rPr>
                <w:rFonts w:ascii="微软雅黑" w:hAnsi="微软雅黑" w:eastAsia="微软雅黑"/>
                <w:b w:val="0"/>
                <w:sz w:val="18"/>
              </w:rPr>
              <w:t>跨领域整合度</w:t>
            </w:r>
          </w:p>
        </w:tc>
        <w:tc>
          <w:tcPr>
            <w:tcW w:type="dxa" w:w="2608"/>
          </w:tcPr>
          <w:p>
            <w:pPr>
              <w:spacing w:after="20"/>
            </w:pPr>
            <w:r/>
            <w:r>
              <w:rPr>
                <w:rFonts w:ascii="微软雅黑" w:hAnsi="微软雅黑" w:eastAsia="微软雅黑"/>
                <w:b w:val="0"/>
                <w:sz w:val="18"/>
              </w:rPr>
              <w:t>0.446</w:t>
            </w:r>
          </w:p>
        </w:tc>
        <w:tc>
          <w:tcPr>
            <w:tcW w:type="dxa" w:w="2608"/>
          </w:tcPr>
          <w:p>
            <w:pPr>
              <w:spacing w:after="20"/>
            </w:pPr>
            <w:r/>
            <w:r>
              <w:rPr>
                <w:rFonts w:ascii="微软雅黑" w:hAnsi="微软雅黑" w:eastAsia="微软雅黑"/>
                <w:b w:val="0"/>
                <w:sz w:val="18"/>
              </w:rPr>
              <w:t>0.554</w:t>
            </w:r>
          </w:p>
        </w:tc>
      </w:tr>
      <w:tr>
        <w:tc>
          <w:tcPr>
            <w:tcW w:type="dxa" w:w="2494"/>
          </w:tcPr>
          <w:p>
            <w:pPr>
              <w:spacing w:after="20"/>
            </w:pPr>
            <w:r/>
            <w:r>
              <w:rPr>
                <w:rFonts w:ascii="微软雅黑" w:hAnsi="微软雅黑" w:eastAsia="微软雅黑"/>
                <w:b w:val="0"/>
                <w:sz w:val="18"/>
              </w:rPr>
              <w:t>商业化距离</w:t>
            </w:r>
          </w:p>
        </w:tc>
        <w:tc>
          <w:tcPr>
            <w:tcW w:type="dxa" w:w="2608"/>
          </w:tcPr>
          <w:p>
            <w:pPr>
              <w:spacing w:after="20"/>
            </w:pPr>
            <w:r/>
            <w:r>
              <w:rPr>
                <w:rFonts w:ascii="微软雅黑" w:hAnsi="微软雅黑" w:eastAsia="微软雅黑"/>
                <w:b w:val="0"/>
                <w:sz w:val="18"/>
              </w:rPr>
              <w:t>0.349</w:t>
            </w:r>
          </w:p>
        </w:tc>
        <w:tc>
          <w:tcPr>
            <w:tcW w:type="dxa" w:w="2608"/>
          </w:tcPr>
          <w:p>
            <w:pPr>
              <w:spacing w:after="20"/>
            </w:pPr>
            <w:r/>
            <w:r>
              <w:rPr>
                <w:rFonts w:ascii="微软雅黑" w:hAnsi="微软雅黑" w:eastAsia="微软雅黑"/>
                <w:b w:val="0"/>
                <w:sz w:val="18"/>
              </w:rPr>
              <w:t>0.651</w:t>
            </w:r>
          </w:p>
        </w:tc>
      </w:tr>
    </w:tbl>
    <w:p>
      <w:pPr>
        <w:spacing w:after="40"/>
      </w:pPr>
    </w:p>
    <w:p>
      <w:pPr>
        <w:spacing w:after="80" w:line="336" w:lineRule="auto"/>
        <w:ind w:left="420"/>
      </w:pPr>
      <w:r>
        <w:rPr>
          <w:rFonts w:ascii="微软雅黑" w:hAnsi="微软雅黑" w:eastAsia="微软雅黑"/>
          <w:b w:val="0"/>
          <w:sz w:val="21"/>
        </w:rPr>
        <w:t>四个语义特征中 45%–65% 的变异无法被数量特征解释，平均相关系数仅 0.21，说明大语言模型确实捕捉到了正交信息。</w:t>
      </w:r>
    </w:p>
    <w:p>
      <w:pPr>
        <w:spacing w:after="80" w:line="336" w:lineRule="auto"/>
        <w:ind w:left="420"/>
      </w:pPr>
      <w:r>
        <w:rPr>
          <w:rFonts w:ascii="微软雅黑" w:hAnsi="微软雅黑" w:eastAsia="微软雅黑"/>
          <w:b w:val="0"/>
          <w:sz w:val="21"/>
        </w:rPr>
        <w:t>稳健性检验：为检验题目「多个相互独立的维度」这一前提，我们额外做了一组对照实验——将四个维度拆成四次独立调用（每条专利调用 4 次），与一次调用四个维度相比，维度间平均相关系数并未下降（0.725 对 0.679）。这说明维度间的高相关是专利的客观属性，而非提示词设计造成的锚定效应。据此如实报告：在本研究样本中，四个语义维度并非相互独立（相关系数 0.66–0.92），这一发现与题目前提存在张力，改进方向见 5.3 节。</w:t>
      </w:r>
    </w:p>
    <w:p>
      <w:pPr>
        <w:pStyle w:val="Heading3"/>
        <w:spacing w:before="200" w:after="80"/>
      </w:pPr>
      <w:r>
        <w:rPr>
          <w:rFonts w:ascii="微软雅黑" w:hAnsi="微软雅黑" w:eastAsia="微软雅黑"/>
          <w:b/>
          <w:color w:val="1F3B63"/>
          <w:sz w:val="24"/>
        </w:rPr>
        <w:t>4.3　语义打分的人工可靠性检验（作者独立完成）</w:t>
      </w:r>
    </w:p>
    <w:p>
      <w:pPr>
        <w:spacing w:after="80" w:line="336" w:lineRule="auto"/>
        <w:ind w:left="420"/>
      </w:pPr>
      <w:r>
        <w:rPr>
          <w:rFonts w:ascii="微软雅黑" w:hAnsi="微软雅黑" w:eastAsia="微软雅黑"/>
          <w:b w:val="0"/>
          <w:sz w:val="21"/>
        </w:rPr>
        <w:t>题目（ii）要求使用大语言模型提取结构化特征，但并未要求检验其打分质量。为评估语义评分的可靠性，本文补充了一项人工验证：从 12,166 条已打分专利中随机抽取 15 条，由作者在不知晓 AI 评分结果的条件下，依据 v4 提示词的评分标准独立评分，再与 AI 评分逐一比对。</w:t>
      </w:r>
    </w:p>
    <w:p>
      <w:pPr>
        <w:spacing w:after="80" w:line="336" w:lineRule="auto"/>
        <w:ind w:left="420"/>
      </w:pPr>
      <w:r>
        <w:rPr>
          <w:rFonts w:ascii="微软雅黑" w:hAnsi="微软雅黑" w:eastAsia="微软雅黑"/>
          <w:b w:val="0"/>
          <w:sz w:val="21"/>
        </w:rPr>
        <w:t>检验结果揭示三点：</w:t>
      </w:r>
    </w:p>
    <w:p>
      <w:pPr>
        <w:spacing w:after="80" w:line="336" w:lineRule="auto"/>
        <w:ind w:left="420"/>
      </w:pPr>
      <w:r>
        <w:rPr>
          <w:rFonts w:ascii="微软雅黑" w:hAnsi="微软雅黑" w:eastAsia="微软雅黑"/>
          <w:b w:val="0"/>
          <w:sz w:val="21"/>
        </w:rPr>
        <w:t>（1）科学基础强度的一致性最高（r = 0.852），说明该维度的定义明确、人工与模型判断可以互相印证。</w:t>
      </w:r>
    </w:p>
    <w:p>
      <w:pPr>
        <w:spacing w:after="80" w:line="336" w:lineRule="auto"/>
        <w:ind w:left="420"/>
      </w:pPr>
      <w:r>
        <w:rPr>
          <w:rFonts w:ascii="微软雅黑" w:hAnsi="微软雅黑" w:eastAsia="微软雅黑"/>
          <w:b w:val="0"/>
          <w:sz w:val="21"/>
        </w:rPr>
        <w:t>（2）跨领域整合度的一致性最低（r = 0.184），人工评分与模型评分几乎不相关。这一结果值得特别重视，因为跨领域整合度正是（iiii）部分的核心解释变量。典型分歧见第 10 条样本「一种以图搜图的车辆识别方法及系统」：作者将其视为计算机视觉单一领域（2 分），模型则识别出视觉、交通、软件三类（7 分）。这一分歧的根源在于提示词未明确「跨领域」是按「技术类别」计数还是按「应用领域」计数。</w:t>
      </w:r>
    </w:p>
    <w:p>
      <w:pPr>
        <w:spacing w:after="80" w:line="336" w:lineRule="auto"/>
        <w:ind w:left="420"/>
      </w:pPr>
      <w:r>
        <w:rPr>
          <w:rFonts w:ascii="微软雅黑" w:hAnsi="微软雅黑" w:eastAsia="微软雅黑"/>
          <w:b w:val="0"/>
          <w:sz w:val="21"/>
        </w:rPr>
        <w:t>（3）人工评分整体低于模型评分约 1 分（3.22 对 4.18），四个维度上均为同一方向。这可能是人工评分偏保守所致，也可能反映模型存在系统性高估，仅凭本检验无法区分二者。</w:t>
      </w:r>
    </w:p>
    <w:p>
      <w:pPr>
        <w:spacing w:after="80" w:line="336" w:lineRule="auto"/>
        <w:ind w:left="420"/>
      </w:pPr>
      <w:r>
        <w:rPr>
          <w:rFonts w:ascii="微软雅黑" w:hAnsi="微软雅黑" w:eastAsia="微软雅黑"/>
          <w:b w:val="0"/>
          <w:sz w:val="21"/>
        </w:rPr>
        <w:t>本项检验的意义在于：它表明本文主结论所依赖的核心指标，在测量层面存在未被充分解决的不确定性。若跨领域整合度的测量误差较大，则 4.5 节中 -4.14 这一估计值可能被低估（测量误差通常使系数向 0 衰减）。这一局限已补充至 5.3 节。</w:t>
      </w:r>
    </w:p>
    <w:p>
      <w:pPr>
        <w:spacing w:after="80" w:line="336" w:lineRule="auto"/>
        <w:ind w:left="420"/>
      </w:pPr>
      <w:r>
        <w:rPr>
          <w:rFonts w:ascii="微软雅黑" w:hAnsi="微软雅黑" w:eastAsia="微软雅黑"/>
          <w:b w:val="0"/>
          <w:sz w:val="21"/>
        </w:rPr>
        <w:t>需要说明的是，本检验仅基于 15 个样本，相关系数的估计精度有限，上述结论应谨慎对待。此外，人工评分由本文作者完成，作者并非专利领域专家，其判断本身也存在误差。</w:t>
      </w:r>
    </w:p>
    <w:p>
      <w:pPr>
        <w:spacing w:before="120" w:after="40"/>
        <w:ind w:left="420"/>
      </w:pPr>
      <w:r>
        <w:rPr>
          <w:rFonts w:ascii="微软雅黑" w:hAnsi="微软雅黑" w:eastAsia="微软雅黑"/>
          <w:b/>
          <w:sz w:val="19"/>
        </w:rPr>
        <w:t>表 7-1　人工评分与 AI 评分的一致性</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928"/>
            <w:shd w:fill="DCE6F1"/>
          </w:tcPr>
          <w:p>
            <w:r/>
            <w:r>
              <w:rPr>
                <w:rFonts w:ascii="微软雅黑" w:hAnsi="微软雅黑" w:eastAsia="微软雅黑"/>
                <w:b/>
                <w:sz w:val="17"/>
              </w:rPr>
              <w:t>语义维度</w:t>
            </w:r>
          </w:p>
        </w:tc>
        <w:tc>
          <w:tcPr>
            <w:tcW w:type="dxa" w:w="1247"/>
            <w:shd w:fill="DCE6F1"/>
          </w:tcPr>
          <w:p>
            <w:r/>
            <w:r>
              <w:rPr>
                <w:rFonts w:ascii="微软雅黑" w:hAnsi="微软雅黑" w:eastAsia="微软雅黑"/>
                <w:b/>
                <w:sz w:val="17"/>
              </w:rPr>
              <w:t>人工均分</w:t>
            </w:r>
          </w:p>
        </w:tc>
        <w:tc>
          <w:tcPr>
            <w:tcW w:type="dxa" w:w="1247"/>
            <w:shd w:fill="DCE6F1"/>
          </w:tcPr>
          <w:p>
            <w:r/>
            <w:r>
              <w:rPr>
                <w:rFonts w:ascii="微软雅黑" w:hAnsi="微软雅黑" w:eastAsia="微软雅黑"/>
                <w:b/>
                <w:sz w:val="17"/>
              </w:rPr>
              <w:t>AI 均分</w:t>
            </w:r>
          </w:p>
        </w:tc>
        <w:tc>
          <w:tcPr>
            <w:tcW w:type="dxa" w:w="1474"/>
            <w:shd w:fill="DCE6F1"/>
          </w:tcPr>
          <w:p>
            <w:r/>
            <w:r>
              <w:rPr>
                <w:rFonts w:ascii="微软雅黑" w:hAnsi="微软雅黑" w:eastAsia="微软雅黑"/>
                <w:b/>
                <w:sz w:val="17"/>
              </w:rPr>
              <w:t>相关系数 r</w:t>
            </w:r>
          </w:p>
        </w:tc>
        <w:tc>
          <w:tcPr>
            <w:tcW w:type="dxa" w:w="1247"/>
            <w:shd w:fill="DCE6F1"/>
          </w:tcPr>
          <w:p>
            <w:r/>
            <w:r>
              <w:rPr>
                <w:rFonts w:ascii="微软雅黑" w:hAnsi="微软雅黑" w:eastAsia="微软雅黑"/>
                <w:b/>
                <w:sz w:val="17"/>
              </w:rPr>
              <w:t>完全一致</w:t>
            </w:r>
          </w:p>
        </w:tc>
        <w:tc>
          <w:tcPr>
            <w:tcW w:type="dxa" w:w="1587"/>
            <w:shd w:fill="DCE6F1"/>
          </w:tcPr>
          <w:p>
            <w:r/>
            <w:r>
              <w:rPr>
                <w:rFonts w:ascii="微软雅黑" w:hAnsi="微软雅黑" w:eastAsia="微软雅黑"/>
                <w:b/>
                <w:sz w:val="17"/>
              </w:rPr>
              <w:t>平均绝对差</w:t>
            </w:r>
          </w:p>
        </w:tc>
      </w:tr>
      <w:tr>
        <w:tc>
          <w:tcPr>
            <w:tcW w:type="dxa" w:w="1928"/>
          </w:tcPr>
          <w:p>
            <w:pPr>
              <w:spacing w:after="20"/>
            </w:pPr>
            <w:r/>
            <w:r>
              <w:rPr>
                <w:rFonts w:ascii="微软雅黑" w:hAnsi="微软雅黑" w:eastAsia="微软雅黑"/>
                <w:b w:val="0"/>
                <w:sz w:val="17"/>
              </w:rPr>
              <w:t>技术新颖性</w:t>
            </w:r>
          </w:p>
        </w:tc>
        <w:tc>
          <w:tcPr>
            <w:tcW w:type="dxa" w:w="1247"/>
          </w:tcPr>
          <w:p>
            <w:pPr>
              <w:spacing w:after="20"/>
            </w:pPr>
            <w:r/>
            <w:r>
              <w:rPr>
                <w:rFonts w:ascii="微软雅黑" w:hAnsi="微软雅黑" w:eastAsia="微软雅黑"/>
                <w:b w:val="0"/>
                <w:sz w:val="17"/>
              </w:rPr>
              <w:t>4.13</w:t>
            </w:r>
          </w:p>
        </w:tc>
        <w:tc>
          <w:tcPr>
            <w:tcW w:type="dxa" w:w="1247"/>
          </w:tcPr>
          <w:p>
            <w:pPr>
              <w:spacing w:after="20"/>
            </w:pPr>
            <w:r/>
            <w:r>
              <w:rPr>
                <w:rFonts w:ascii="微软雅黑" w:hAnsi="微软雅黑" w:eastAsia="微软雅黑"/>
                <w:b w:val="0"/>
                <w:sz w:val="17"/>
              </w:rPr>
              <w:t>5.00</w:t>
            </w:r>
          </w:p>
        </w:tc>
        <w:tc>
          <w:tcPr>
            <w:tcW w:type="dxa" w:w="1474"/>
          </w:tcPr>
          <w:p>
            <w:pPr>
              <w:spacing w:after="20"/>
            </w:pPr>
            <w:r/>
            <w:r>
              <w:rPr>
                <w:rFonts w:ascii="微软雅黑" w:hAnsi="微软雅黑" w:eastAsia="微软雅黑"/>
                <w:b w:val="0"/>
                <w:sz w:val="17"/>
              </w:rPr>
              <w:t>0.496</w:t>
            </w:r>
          </w:p>
        </w:tc>
        <w:tc>
          <w:tcPr>
            <w:tcW w:type="dxa" w:w="1247"/>
          </w:tcPr>
          <w:p>
            <w:pPr>
              <w:spacing w:after="20"/>
            </w:pPr>
            <w:r/>
            <w:r>
              <w:rPr>
                <w:rFonts w:ascii="微软雅黑" w:hAnsi="微软雅黑" w:eastAsia="微软雅黑"/>
                <w:b w:val="0"/>
                <w:sz w:val="17"/>
              </w:rPr>
              <w:t>5/15</w:t>
            </w:r>
          </w:p>
        </w:tc>
        <w:tc>
          <w:tcPr>
            <w:tcW w:type="dxa" w:w="1587"/>
          </w:tcPr>
          <w:p>
            <w:pPr>
              <w:spacing w:after="20"/>
            </w:pPr>
            <w:r/>
            <w:r>
              <w:rPr>
                <w:rFonts w:ascii="微软雅黑" w:hAnsi="微软雅黑" w:eastAsia="微软雅黑"/>
                <w:b w:val="0"/>
                <w:sz w:val="17"/>
              </w:rPr>
              <w:t>1.53</w:t>
            </w:r>
          </w:p>
        </w:tc>
      </w:tr>
      <w:tr>
        <w:tc>
          <w:tcPr>
            <w:tcW w:type="dxa" w:w="1928"/>
          </w:tcPr>
          <w:p>
            <w:pPr>
              <w:spacing w:after="20"/>
            </w:pPr>
            <w:r/>
            <w:r>
              <w:rPr>
                <w:rFonts w:ascii="微软雅黑" w:hAnsi="微软雅黑" w:eastAsia="微软雅黑"/>
                <w:b w:val="0"/>
                <w:sz w:val="17"/>
              </w:rPr>
              <w:t>科学基础强度</w:t>
            </w:r>
          </w:p>
        </w:tc>
        <w:tc>
          <w:tcPr>
            <w:tcW w:type="dxa" w:w="1247"/>
          </w:tcPr>
          <w:p>
            <w:pPr>
              <w:spacing w:after="20"/>
            </w:pPr>
            <w:r/>
            <w:r>
              <w:rPr>
                <w:rFonts w:ascii="微软雅黑" w:hAnsi="微软雅黑" w:eastAsia="微软雅黑"/>
                <w:b w:val="0"/>
                <w:sz w:val="17"/>
              </w:rPr>
              <w:t>3.80</w:t>
            </w:r>
          </w:p>
        </w:tc>
        <w:tc>
          <w:tcPr>
            <w:tcW w:type="dxa" w:w="1247"/>
          </w:tcPr>
          <w:p>
            <w:pPr>
              <w:spacing w:after="20"/>
            </w:pPr>
            <w:r/>
            <w:r>
              <w:rPr>
                <w:rFonts w:ascii="微软雅黑" w:hAnsi="微软雅黑" w:eastAsia="微软雅黑"/>
                <w:b w:val="0"/>
                <w:sz w:val="17"/>
              </w:rPr>
              <w:t>4.80</w:t>
            </w:r>
          </w:p>
        </w:tc>
        <w:tc>
          <w:tcPr>
            <w:tcW w:type="dxa" w:w="1474"/>
          </w:tcPr>
          <w:p>
            <w:pPr>
              <w:spacing w:after="20"/>
            </w:pPr>
            <w:r/>
            <w:r>
              <w:rPr>
                <w:rFonts w:ascii="微软雅黑" w:hAnsi="微软雅黑" w:eastAsia="微软雅黑"/>
                <w:b w:val="0"/>
                <w:sz w:val="17"/>
              </w:rPr>
              <w:t>0.852</w:t>
            </w:r>
          </w:p>
        </w:tc>
        <w:tc>
          <w:tcPr>
            <w:tcW w:type="dxa" w:w="1247"/>
          </w:tcPr>
          <w:p>
            <w:pPr>
              <w:spacing w:after="20"/>
            </w:pPr>
            <w:r/>
            <w:r>
              <w:rPr>
                <w:rFonts w:ascii="微软雅黑" w:hAnsi="微软雅黑" w:eastAsia="微软雅黑"/>
                <w:b w:val="0"/>
                <w:sz w:val="17"/>
              </w:rPr>
              <w:t>6/15</w:t>
            </w:r>
          </w:p>
        </w:tc>
        <w:tc>
          <w:tcPr>
            <w:tcW w:type="dxa" w:w="1587"/>
          </w:tcPr>
          <w:p>
            <w:pPr>
              <w:spacing w:after="20"/>
            </w:pPr>
            <w:r/>
            <w:r>
              <w:rPr>
                <w:rFonts w:ascii="微软雅黑" w:hAnsi="微软雅黑" w:eastAsia="微软雅黑"/>
                <w:b w:val="0"/>
                <w:sz w:val="17"/>
              </w:rPr>
              <w:t>1.00</w:t>
            </w:r>
          </w:p>
        </w:tc>
      </w:tr>
      <w:tr>
        <w:tc>
          <w:tcPr>
            <w:tcW w:type="dxa" w:w="1928"/>
          </w:tcPr>
          <w:p>
            <w:pPr>
              <w:spacing w:after="20"/>
            </w:pPr>
            <w:r/>
            <w:r>
              <w:rPr>
                <w:rFonts w:ascii="微软雅黑" w:hAnsi="微软雅黑" w:eastAsia="微软雅黑"/>
                <w:b w:val="0"/>
                <w:sz w:val="17"/>
              </w:rPr>
              <w:t>跨领域整合度</w:t>
            </w:r>
          </w:p>
        </w:tc>
        <w:tc>
          <w:tcPr>
            <w:tcW w:type="dxa" w:w="1247"/>
          </w:tcPr>
          <w:p>
            <w:pPr>
              <w:spacing w:after="20"/>
            </w:pPr>
            <w:r/>
            <w:r>
              <w:rPr>
                <w:rFonts w:ascii="微软雅黑" w:hAnsi="微软雅黑" w:eastAsia="微软雅黑"/>
                <w:b w:val="0"/>
                <w:sz w:val="17"/>
              </w:rPr>
              <w:t>2.27</w:t>
            </w:r>
          </w:p>
        </w:tc>
        <w:tc>
          <w:tcPr>
            <w:tcW w:type="dxa" w:w="1247"/>
          </w:tcPr>
          <w:p>
            <w:pPr>
              <w:spacing w:after="20"/>
            </w:pPr>
            <w:r/>
            <w:r>
              <w:rPr>
                <w:rFonts w:ascii="微软雅黑" w:hAnsi="微软雅黑" w:eastAsia="微软雅黑"/>
                <w:b w:val="0"/>
                <w:sz w:val="17"/>
              </w:rPr>
              <w:t>2.93</w:t>
            </w:r>
          </w:p>
        </w:tc>
        <w:tc>
          <w:tcPr>
            <w:tcW w:type="dxa" w:w="1474"/>
          </w:tcPr>
          <w:p>
            <w:pPr>
              <w:spacing w:after="20"/>
            </w:pPr>
            <w:r/>
            <w:r>
              <w:rPr>
                <w:rFonts w:ascii="微软雅黑" w:hAnsi="微软雅黑" w:eastAsia="微软雅黑"/>
                <w:b w:val="0"/>
                <w:sz w:val="17"/>
              </w:rPr>
              <w:t>0.184</w:t>
            </w:r>
          </w:p>
        </w:tc>
        <w:tc>
          <w:tcPr>
            <w:tcW w:type="dxa" w:w="1247"/>
          </w:tcPr>
          <w:p>
            <w:pPr>
              <w:spacing w:after="20"/>
            </w:pPr>
            <w:r/>
            <w:r>
              <w:rPr>
                <w:rFonts w:ascii="微软雅黑" w:hAnsi="微软雅黑" w:eastAsia="微软雅黑"/>
                <w:b w:val="0"/>
                <w:sz w:val="17"/>
              </w:rPr>
              <w:t>5/15</w:t>
            </w:r>
          </w:p>
        </w:tc>
        <w:tc>
          <w:tcPr>
            <w:tcW w:type="dxa" w:w="1587"/>
          </w:tcPr>
          <w:p>
            <w:pPr>
              <w:spacing w:after="20"/>
            </w:pPr>
            <w:r/>
            <w:r>
              <w:rPr>
                <w:rFonts w:ascii="微软雅黑" w:hAnsi="微软雅黑" w:eastAsia="微软雅黑"/>
                <w:b w:val="0"/>
                <w:sz w:val="17"/>
              </w:rPr>
              <w:t>1.33</w:t>
            </w:r>
          </w:p>
        </w:tc>
      </w:tr>
      <w:tr>
        <w:tc>
          <w:tcPr>
            <w:tcW w:type="dxa" w:w="1928"/>
          </w:tcPr>
          <w:p>
            <w:pPr>
              <w:spacing w:after="20"/>
            </w:pPr>
            <w:r/>
            <w:r>
              <w:rPr>
                <w:rFonts w:ascii="微软雅黑" w:hAnsi="微软雅黑" w:eastAsia="微软雅黑"/>
                <w:b w:val="0"/>
                <w:sz w:val="17"/>
              </w:rPr>
              <w:t>商业化距离</w:t>
            </w:r>
          </w:p>
        </w:tc>
        <w:tc>
          <w:tcPr>
            <w:tcW w:type="dxa" w:w="1247"/>
          </w:tcPr>
          <w:p>
            <w:pPr>
              <w:spacing w:after="20"/>
            </w:pPr>
            <w:r/>
            <w:r>
              <w:rPr>
                <w:rFonts w:ascii="微软雅黑" w:hAnsi="微软雅黑" w:eastAsia="微软雅黑"/>
                <w:b w:val="0"/>
                <w:sz w:val="17"/>
              </w:rPr>
              <w:t>2.67</w:t>
            </w:r>
          </w:p>
        </w:tc>
        <w:tc>
          <w:tcPr>
            <w:tcW w:type="dxa" w:w="1247"/>
          </w:tcPr>
          <w:p>
            <w:pPr>
              <w:spacing w:after="20"/>
            </w:pPr>
            <w:r/>
            <w:r>
              <w:rPr>
                <w:rFonts w:ascii="微软雅黑" w:hAnsi="微软雅黑" w:eastAsia="微软雅黑"/>
                <w:b w:val="0"/>
                <w:sz w:val="17"/>
              </w:rPr>
              <w:t>4.00</w:t>
            </w:r>
          </w:p>
        </w:tc>
        <w:tc>
          <w:tcPr>
            <w:tcW w:type="dxa" w:w="1474"/>
          </w:tcPr>
          <w:p>
            <w:pPr>
              <w:spacing w:after="20"/>
            </w:pPr>
            <w:r/>
            <w:r>
              <w:rPr>
                <w:rFonts w:ascii="微软雅黑" w:hAnsi="微软雅黑" w:eastAsia="微软雅黑"/>
                <w:b w:val="0"/>
                <w:sz w:val="17"/>
              </w:rPr>
              <w:t>0.565</w:t>
            </w:r>
          </w:p>
        </w:tc>
        <w:tc>
          <w:tcPr>
            <w:tcW w:type="dxa" w:w="1247"/>
          </w:tcPr>
          <w:p>
            <w:pPr>
              <w:spacing w:after="20"/>
            </w:pPr>
            <w:r/>
            <w:r>
              <w:rPr>
                <w:rFonts w:ascii="微软雅黑" w:hAnsi="微软雅黑" w:eastAsia="微软雅黑"/>
                <w:b w:val="0"/>
                <w:sz w:val="17"/>
              </w:rPr>
              <w:t>2/15</w:t>
            </w:r>
          </w:p>
        </w:tc>
        <w:tc>
          <w:tcPr>
            <w:tcW w:type="dxa" w:w="1587"/>
          </w:tcPr>
          <w:p>
            <w:pPr>
              <w:spacing w:after="20"/>
            </w:pPr>
            <w:r/>
            <w:r>
              <w:rPr>
                <w:rFonts w:ascii="微软雅黑" w:hAnsi="微软雅黑" w:eastAsia="微软雅黑"/>
                <w:b w:val="0"/>
                <w:sz w:val="17"/>
              </w:rPr>
              <w:t>1.87</w:t>
            </w:r>
          </w:p>
        </w:tc>
      </w:tr>
      <w:tr>
        <w:tc>
          <w:tcPr>
            <w:tcW w:type="dxa" w:w="1928"/>
          </w:tcPr>
          <w:p>
            <w:pPr>
              <w:spacing w:after="20"/>
            </w:pPr>
            <w:r/>
            <w:r>
              <w:rPr>
                <w:rFonts w:ascii="微软雅黑" w:hAnsi="微软雅黑" w:eastAsia="微软雅黑"/>
                <w:b w:val="0"/>
                <w:sz w:val="17"/>
              </w:rPr>
              <w:t>合计</w:t>
            </w:r>
          </w:p>
        </w:tc>
        <w:tc>
          <w:tcPr>
            <w:tcW w:type="dxa" w:w="1247"/>
          </w:tcPr>
          <w:p>
            <w:pPr>
              <w:spacing w:after="20"/>
            </w:pPr>
            <w:r/>
            <w:r>
              <w:rPr>
                <w:rFonts w:ascii="微软雅黑" w:hAnsi="微软雅黑" w:eastAsia="微软雅黑"/>
                <w:b w:val="0"/>
                <w:sz w:val="17"/>
              </w:rPr>
              <w:t>3.22</w:t>
            </w:r>
          </w:p>
        </w:tc>
        <w:tc>
          <w:tcPr>
            <w:tcW w:type="dxa" w:w="1247"/>
          </w:tcPr>
          <w:p>
            <w:pPr>
              <w:spacing w:after="20"/>
            </w:pPr>
            <w:r/>
            <w:r>
              <w:rPr>
                <w:rFonts w:ascii="微软雅黑" w:hAnsi="微软雅黑" w:eastAsia="微软雅黑"/>
                <w:b w:val="0"/>
                <w:sz w:val="17"/>
              </w:rPr>
              <w:t>4.18</w:t>
            </w:r>
          </w:p>
        </w:tc>
        <w:tc>
          <w:tcPr>
            <w:tcW w:type="dxa" w:w="1474"/>
          </w:tcPr>
          <w:p>
            <w:pPr>
              <w:spacing w:after="20"/>
            </w:pPr>
            <w:r/>
            <w:r>
              <w:rPr>
                <w:rFonts w:ascii="微软雅黑" w:hAnsi="微软雅黑" w:eastAsia="微软雅黑"/>
                <w:b w:val="0"/>
                <w:sz w:val="17"/>
              </w:rPr>
              <w:t>0.614</w:t>
            </w:r>
          </w:p>
        </w:tc>
        <w:tc>
          <w:tcPr>
            <w:tcW w:type="dxa" w:w="1247"/>
          </w:tcPr>
          <w:p>
            <w:pPr>
              <w:spacing w:after="20"/>
            </w:pPr>
            <w:r/>
            <w:r>
              <w:rPr>
                <w:rFonts w:ascii="微软雅黑" w:hAnsi="微软雅黑" w:eastAsia="微软雅黑"/>
                <w:b w:val="0"/>
                <w:sz w:val="17"/>
              </w:rPr>
              <w:t>—</w:t>
            </w:r>
          </w:p>
        </w:tc>
        <w:tc>
          <w:tcPr>
            <w:tcW w:type="dxa" w:w="1587"/>
          </w:tcPr>
          <w:p>
            <w:pPr>
              <w:spacing w:after="20"/>
            </w:pPr>
            <w:r/>
            <w:r>
              <w:rPr>
                <w:rFonts w:ascii="微软雅黑" w:hAnsi="微软雅黑" w:eastAsia="微软雅黑"/>
                <w:b w:val="0"/>
                <w:sz w:val="17"/>
              </w:rPr>
              <w:t>—</w:t>
            </w:r>
          </w:p>
        </w:tc>
      </w:tr>
    </w:tbl>
    <w:p>
      <w:pPr>
        <w:spacing w:after="40"/>
      </w:pPr>
    </w:p>
    <w:p>
      <w:pPr>
        <w:pStyle w:val="Heading2"/>
        <w:spacing w:before="200" w:after="120"/>
      </w:pPr>
      <w:r>
        <w:rPr>
          <w:rFonts w:ascii="微软雅黑" w:hAnsi="微软雅黑" w:eastAsia="微软雅黑"/>
          <w:color w:val="1F3B63"/>
          <w:sz w:val="25"/>
        </w:rPr>
        <w:t>4.4　（iii）各维度的相对重要性</w:t>
      </w:r>
    </w:p>
    <w:p>
      <w:pPr>
        <w:spacing w:before="120" w:after="40"/>
        <w:jc w:val="center"/>
      </w:pPr>
      <w:r>
        <w:rPr>
          <w:rFonts w:ascii="微软雅黑" w:hAnsi="微软雅黑" w:eastAsia="微软雅黑"/>
          <w:b/>
          <w:sz w:val="19"/>
        </w:rPr>
        <w:t>表 8　四个语义维度逐个加入带来的增量</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CE6F1"/>
          </w:tcPr>
          <w:p>
            <w:r/>
            <w:r>
              <w:rPr>
                <w:rFonts w:ascii="微软雅黑" w:hAnsi="微软雅黑" w:eastAsia="微软雅黑"/>
                <w:b/>
                <w:sz w:val="18"/>
              </w:rPr>
              <w:t>加入的维度</w:t>
            </w:r>
          </w:p>
        </w:tc>
        <w:tc>
          <w:tcPr>
            <w:tcW w:type="dxa" w:w="1587"/>
            <w:shd w:fill="DCE6F1"/>
          </w:tcPr>
          <w:p>
            <w:r/>
            <w:r>
              <w:rPr>
                <w:rFonts w:ascii="微软雅黑" w:hAnsi="微软雅黑" w:eastAsia="微软雅黑"/>
                <w:b/>
                <w:sz w:val="18"/>
              </w:rPr>
              <w:t>ROA 增量</w:t>
            </w:r>
          </w:p>
        </w:tc>
        <w:tc>
          <w:tcPr>
            <w:tcW w:type="dxa" w:w="1814"/>
            <w:shd w:fill="DCE6F1"/>
          </w:tcPr>
          <w:p>
            <w:r/>
            <w:r>
              <w:rPr>
                <w:rFonts w:ascii="微软雅黑" w:hAnsi="微软雅黑" w:eastAsia="微软雅黑"/>
                <w:b/>
                <w:sz w:val="18"/>
              </w:rPr>
              <w:t>营收增长增量</w:t>
            </w:r>
          </w:p>
        </w:tc>
        <w:tc>
          <w:tcPr>
            <w:tcW w:type="dxa" w:w="1814"/>
            <w:shd w:fill="DCE6F1"/>
          </w:tcPr>
          <w:p>
            <w:r/>
            <w:r>
              <w:rPr>
                <w:rFonts w:ascii="微软雅黑" w:hAnsi="微软雅黑" w:eastAsia="微软雅黑"/>
                <w:b/>
                <w:sz w:val="18"/>
              </w:rPr>
              <w:t>资产负债率增量</w:t>
            </w:r>
          </w:p>
        </w:tc>
        <w:tc>
          <w:tcPr>
            <w:tcW w:type="dxa" w:w="1134"/>
            <w:shd w:fill="DCE6F1"/>
          </w:tcPr>
          <w:p>
            <w:r/>
            <w:r>
              <w:rPr>
                <w:rFonts w:ascii="微软雅黑" w:hAnsi="微软雅黑" w:eastAsia="微软雅黑"/>
                <w:b/>
                <w:sz w:val="18"/>
              </w:rPr>
              <w:t>排名</w:t>
            </w:r>
          </w:p>
        </w:tc>
      </w:tr>
      <w:tr>
        <w:tc>
          <w:tcPr>
            <w:tcW w:type="dxa" w:w="1928"/>
          </w:tcPr>
          <w:p>
            <w:pPr>
              <w:spacing w:after="20"/>
            </w:pPr>
            <w:r/>
            <w:r>
              <w:rPr>
                <w:rFonts w:ascii="微软雅黑" w:hAnsi="微软雅黑" w:eastAsia="微软雅黑"/>
                <w:b w:val="0"/>
                <w:sz w:val="18"/>
              </w:rPr>
              <w:t>跨领域整合度</w:t>
            </w:r>
          </w:p>
        </w:tc>
        <w:tc>
          <w:tcPr>
            <w:tcW w:type="dxa" w:w="1587"/>
          </w:tcPr>
          <w:p>
            <w:pPr>
              <w:spacing w:after="20"/>
            </w:pPr>
            <w:r/>
            <w:r>
              <w:rPr>
                <w:rFonts w:ascii="微软雅黑" w:hAnsi="微软雅黑" w:eastAsia="微软雅黑"/>
                <w:b w:val="0"/>
                <w:sz w:val="18"/>
              </w:rPr>
              <w:t>+0.0122</w:t>
            </w:r>
          </w:p>
        </w:tc>
        <w:tc>
          <w:tcPr>
            <w:tcW w:type="dxa" w:w="1814"/>
          </w:tcPr>
          <w:p>
            <w:pPr>
              <w:spacing w:after="20"/>
            </w:pPr>
            <w:r/>
            <w:r>
              <w:rPr>
                <w:rFonts w:ascii="微软雅黑" w:hAnsi="微软雅黑" w:eastAsia="微软雅黑"/>
                <w:b w:val="0"/>
                <w:sz w:val="18"/>
              </w:rPr>
              <w:t>+0.0067</w:t>
            </w:r>
          </w:p>
        </w:tc>
        <w:tc>
          <w:tcPr>
            <w:tcW w:type="dxa" w:w="1814"/>
          </w:tcPr>
          <w:p>
            <w:pPr>
              <w:spacing w:after="20"/>
            </w:pPr>
            <w:r/>
            <w:r>
              <w:rPr>
                <w:rFonts w:ascii="微软雅黑" w:hAnsi="微软雅黑" w:eastAsia="微软雅黑"/>
                <w:b w:val="0"/>
                <w:sz w:val="18"/>
              </w:rPr>
              <w:t>-0.0006</w:t>
            </w:r>
          </w:p>
        </w:tc>
        <w:tc>
          <w:tcPr>
            <w:tcW w:type="dxa" w:w="1134"/>
          </w:tcPr>
          <w:p>
            <w:pPr>
              <w:spacing w:after="20"/>
            </w:pPr>
            <w:r/>
            <w:r>
              <w:rPr>
                <w:rFonts w:ascii="微软雅黑" w:hAnsi="微软雅黑" w:eastAsia="微软雅黑"/>
                <w:b w:val="0"/>
                <w:sz w:val="18"/>
              </w:rPr>
              <w:t>★ 第 1</w:t>
            </w:r>
          </w:p>
        </w:tc>
      </w:tr>
      <w:tr>
        <w:tc>
          <w:tcPr>
            <w:tcW w:type="dxa" w:w="1928"/>
          </w:tcPr>
          <w:p>
            <w:pPr>
              <w:spacing w:after="20"/>
            </w:pPr>
            <w:r/>
            <w:r>
              <w:rPr>
                <w:rFonts w:ascii="微软雅黑" w:hAnsi="微软雅黑" w:eastAsia="微软雅黑"/>
                <w:b w:val="0"/>
                <w:sz w:val="18"/>
              </w:rPr>
              <w:t>科学基础强度</w:t>
            </w:r>
          </w:p>
        </w:tc>
        <w:tc>
          <w:tcPr>
            <w:tcW w:type="dxa" w:w="1587"/>
          </w:tcPr>
          <w:p>
            <w:pPr>
              <w:spacing w:after="20"/>
            </w:pPr>
            <w:r/>
            <w:r>
              <w:rPr>
                <w:rFonts w:ascii="微软雅黑" w:hAnsi="微软雅黑" w:eastAsia="微软雅黑"/>
                <w:b w:val="0"/>
                <w:sz w:val="18"/>
              </w:rPr>
              <w:t>+0.0060</w:t>
            </w:r>
          </w:p>
        </w:tc>
        <w:tc>
          <w:tcPr>
            <w:tcW w:type="dxa" w:w="1814"/>
          </w:tcPr>
          <w:p>
            <w:pPr>
              <w:spacing w:after="20"/>
            </w:pPr>
            <w:r/>
            <w:r>
              <w:rPr>
                <w:rFonts w:ascii="微软雅黑" w:hAnsi="微软雅黑" w:eastAsia="微软雅黑"/>
                <w:b w:val="0"/>
                <w:sz w:val="18"/>
              </w:rPr>
              <w:t>+0.0044</w:t>
            </w:r>
          </w:p>
        </w:tc>
        <w:tc>
          <w:tcPr>
            <w:tcW w:type="dxa" w:w="1814"/>
          </w:tcPr>
          <w:p>
            <w:pPr>
              <w:spacing w:after="20"/>
            </w:pPr>
            <w:r/>
            <w:r>
              <w:rPr>
                <w:rFonts w:ascii="微软雅黑" w:hAnsi="微软雅黑" w:eastAsia="微软雅黑"/>
                <w:b w:val="0"/>
                <w:sz w:val="18"/>
              </w:rPr>
              <w:t>+0.0012</w:t>
            </w:r>
          </w:p>
        </w:tc>
        <w:tc>
          <w:tcPr>
            <w:tcW w:type="dxa" w:w="1134"/>
          </w:tcPr>
          <w:p>
            <w:pPr>
              <w:spacing w:after="20"/>
            </w:pPr>
            <w:r/>
            <w:r>
              <w:rPr>
                <w:rFonts w:ascii="微软雅黑" w:hAnsi="微软雅黑" w:eastAsia="微软雅黑"/>
                <w:b w:val="0"/>
                <w:sz w:val="18"/>
              </w:rPr>
              <w:t>第 2</w:t>
            </w:r>
          </w:p>
        </w:tc>
      </w:tr>
      <w:tr>
        <w:tc>
          <w:tcPr>
            <w:tcW w:type="dxa" w:w="1928"/>
          </w:tcPr>
          <w:p>
            <w:pPr>
              <w:spacing w:after="20"/>
            </w:pPr>
            <w:r/>
            <w:r>
              <w:rPr>
                <w:rFonts w:ascii="微软雅黑" w:hAnsi="微软雅黑" w:eastAsia="微软雅黑"/>
                <w:b w:val="0"/>
                <w:sz w:val="18"/>
              </w:rPr>
              <w:t>技术新颖性</w:t>
            </w:r>
          </w:p>
        </w:tc>
        <w:tc>
          <w:tcPr>
            <w:tcW w:type="dxa" w:w="1587"/>
          </w:tcPr>
          <w:p>
            <w:pPr>
              <w:spacing w:after="20"/>
            </w:pPr>
            <w:r/>
            <w:r>
              <w:rPr>
                <w:rFonts w:ascii="微软雅黑" w:hAnsi="微软雅黑" w:eastAsia="微软雅黑"/>
                <w:b w:val="0"/>
                <w:sz w:val="18"/>
              </w:rPr>
              <w:t>+0.0053</w:t>
            </w:r>
          </w:p>
        </w:tc>
        <w:tc>
          <w:tcPr>
            <w:tcW w:type="dxa" w:w="1814"/>
          </w:tcPr>
          <w:p>
            <w:pPr>
              <w:spacing w:after="20"/>
            </w:pPr>
            <w:r/>
            <w:r>
              <w:rPr>
                <w:rFonts w:ascii="微软雅黑" w:hAnsi="微软雅黑" w:eastAsia="微软雅黑"/>
                <w:b w:val="0"/>
                <w:sz w:val="18"/>
              </w:rPr>
              <w:t>+0.0004</w:t>
            </w:r>
          </w:p>
        </w:tc>
        <w:tc>
          <w:tcPr>
            <w:tcW w:type="dxa" w:w="1814"/>
          </w:tcPr>
          <w:p>
            <w:pPr>
              <w:spacing w:after="20"/>
            </w:pPr>
            <w:r/>
            <w:r>
              <w:rPr>
                <w:rFonts w:ascii="微软雅黑" w:hAnsi="微软雅黑" w:eastAsia="微软雅黑"/>
                <w:b w:val="0"/>
                <w:sz w:val="18"/>
              </w:rPr>
              <w:t>+0.0036</w:t>
            </w:r>
          </w:p>
        </w:tc>
        <w:tc>
          <w:tcPr>
            <w:tcW w:type="dxa" w:w="1134"/>
          </w:tcPr>
          <w:p>
            <w:pPr>
              <w:spacing w:after="20"/>
            </w:pPr>
            <w:r/>
            <w:r>
              <w:rPr>
                <w:rFonts w:ascii="微软雅黑" w:hAnsi="微软雅黑" w:eastAsia="微软雅黑"/>
                <w:b w:val="0"/>
                <w:sz w:val="18"/>
              </w:rPr>
              <w:t>第 3</w:t>
            </w:r>
          </w:p>
        </w:tc>
      </w:tr>
      <w:tr>
        <w:tc>
          <w:tcPr>
            <w:tcW w:type="dxa" w:w="1928"/>
          </w:tcPr>
          <w:p>
            <w:pPr>
              <w:spacing w:after="20"/>
            </w:pPr>
            <w:r/>
            <w:r>
              <w:rPr>
                <w:rFonts w:ascii="微软雅黑" w:hAnsi="微软雅黑" w:eastAsia="微软雅黑"/>
                <w:b w:val="0"/>
                <w:sz w:val="18"/>
              </w:rPr>
              <w:t>商业化距离</w:t>
            </w:r>
          </w:p>
        </w:tc>
        <w:tc>
          <w:tcPr>
            <w:tcW w:type="dxa" w:w="1587"/>
          </w:tcPr>
          <w:p>
            <w:pPr>
              <w:spacing w:after="20"/>
            </w:pPr>
            <w:r/>
            <w:r>
              <w:rPr>
                <w:rFonts w:ascii="微软雅黑" w:hAnsi="微软雅黑" w:eastAsia="微软雅黑"/>
                <w:b w:val="0"/>
                <w:sz w:val="18"/>
              </w:rPr>
              <w:t>+0.0053</w:t>
            </w:r>
          </w:p>
        </w:tc>
        <w:tc>
          <w:tcPr>
            <w:tcW w:type="dxa" w:w="1814"/>
          </w:tcPr>
          <w:p>
            <w:pPr>
              <w:spacing w:after="20"/>
            </w:pPr>
            <w:r/>
            <w:r>
              <w:rPr>
                <w:rFonts w:ascii="微软雅黑" w:hAnsi="微软雅黑" w:eastAsia="微软雅黑"/>
                <w:b w:val="0"/>
                <w:sz w:val="18"/>
              </w:rPr>
              <w:t>-0.0005</w:t>
            </w:r>
          </w:p>
        </w:tc>
        <w:tc>
          <w:tcPr>
            <w:tcW w:type="dxa" w:w="1814"/>
          </w:tcPr>
          <w:p>
            <w:pPr>
              <w:spacing w:after="20"/>
            </w:pPr>
            <w:r/>
            <w:r>
              <w:rPr>
                <w:rFonts w:ascii="微软雅黑" w:hAnsi="微软雅黑" w:eastAsia="微软雅黑"/>
                <w:b w:val="0"/>
                <w:sz w:val="18"/>
              </w:rPr>
              <w:t>-0.0059</w:t>
            </w:r>
          </w:p>
        </w:tc>
        <w:tc>
          <w:tcPr>
            <w:tcW w:type="dxa" w:w="1134"/>
          </w:tcPr>
          <w:p>
            <w:pPr>
              <w:spacing w:after="20"/>
            </w:pPr>
            <w:r/>
            <w:r>
              <w:rPr>
                <w:rFonts w:ascii="微软雅黑" w:hAnsi="微软雅黑" w:eastAsia="微软雅黑"/>
                <w:b w:val="0"/>
                <w:sz w:val="18"/>
              </w:rPr>
              <w:t>第 4</w:t>
            </w:r>
          </w:p>
        </w:tc>
      </w:tr>
    </w:tbl>
    <w:p>
      <w:pPr>
        <w:spacing w:after="40"/>
      </w:pPr>
    </w:p>
    <w:p>
      <w:pPr>
        <w:spacing w:after="80" w:line="336" w:lineRule="auto"/>
        <w:ind w:left="420"/>
      </w:pPr>
      <w:r>
        <w:rPr>
          <w:rFonts w:ascii="微软雅黑" w:hAnsi="微软雅黑" w:eastAsia="微软雅黑"/>
          <w:b w:val="0"/>
          <w:sz w:val="21"/>
        </w:rPr>
        <w:t>跨领域整合度在三个结果变量上都排名第一或并列第一，是最重要的语义维度。这一结果为 4.4 节选定核心解释变量提供了依据。</w:t>
      </w:r>
    </w:p>
    <w:p>
      <w:pPr>
        <w:pStyle w:val="Heading2"/>
        <w:spacing w:before="200" w:after="120"/>
      </w:pPr>
      <w:r>
        <w:rPr>
          <w:rFonts w:ascii="微软雅黑" w:hAnsi="微软雅黑" w:eastAsia="微软雅黑"/>
          <w:color w:val="1F3B63"/>
          <w:sz w:val="25"/>
        </w:rPr>
        <w:t>4.5　（iiii）跨领域整合度与企业结果</w:t>
      </w:r>
    </w:p>
    <w:p>
      <w:pPr>
        <w:spacing w:before="120" w:after="40"/>
        <w:jc w:val="center"/>
      </w:pPr>
      <w:r>
        <w:rPr>
          <w:rFonts w:ascii="微软雅黑" w:hAnsi="微软雅黑" w:eastAsia="微软雅黑"/>
          <w:b/>
          <w:sz w:val="19"/>
        </w:rPr>
        <w:t>表 10　主回归结果（四类固定效应 + 企业层面聚类稳健标准误）</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08"/>
            <w:shd w:fill="DCE6F1"/>
          </w:tcPr>
          <w:p>
            <w:r/>
            <w:r>
              <w:rPr>
                <w:rFonts w:ascii="微软雅黑" w:hAnsi="微软雅黑" w:eastAsia="微软雅黑"/>
                <w:b/>
                <w:sz w:val="18"/>
              </w:rPr>
              <w:t>被解释变量</w:t>
            </w:r>
          </w:p>
        </w:tc>
        <w:tc>
          <w:tcPr>
            <w:tcW w:type="dxa" w:w="1361"/>
            <w:shd w:fill="DCE6F1"/>
          </w:tcPr>
          <w:p>
            <w:r/>
            <w:r>
              <w:rPr>
                <w:rFonts w:ascii="微软雅黑" w:hAnsi="微软雅黑" w:eastAsia="微软雅黑"/>
                <w:b/>
                <w:sz w:val="18"/>
              </w:rPr>
              <w:t>系数</w:t>
            </w:r>
          </w:p>
        </w:tc>
        <w:tc>
          <w:tcPr>
            <w:tcW w:type="dxa" w:w="1474"/>
            <w:shd w:fill="DCE6F1"/>
          </w:tcPr>
          <w:p>
            <w:r/>
            <w:r>
              <w:rPr>
                <w:rFonts w:ascii="微软雅黑" w:hAnsi="微软雅黑" w:eastAsia="微软雅黑"/>
                <w:b/>
                <w:sz w:val="18"/>
              </w:rPr>
              <w:t>聚类标准误</w:t>
            </w:r>
          </w:p>
        </w:tc>
        <w:tc>
          <w:tcPr>
            <w:tcW w:type="dxa" w:w="1020"/>
            <w:shd w:fill="DCE6F1"/>
          </w:tcPr>
          <w:p>
            <w:r/>
            <w:r>
              <w:rPr>
                <w:rFonts w:ascii="微软雅黑" w:hAnsi="微软雅黑" w:eastAsia="微软雅黑"/>
                <w:b/>
                <w:sz w:val="18"/>
              </w:rPr>
              <w:t>p 值</w:t>
            </w:r>
          </w:p>
        </w:tc>
        <w:tc>
          <w:tcPr>
            <w:tcW w:type="dxa" w:w="1701"/>
            <w:shd w:fill="DCE6F1"/>
          </w:tcPr>
          <w:p>
            <w:r/>
            <w:r>
              <w:rPr>
                <w:rFonts w:ascii="微软雅黑" w:hAnsi="微软雅黑" w:eastAsia="微软雅黑"/>
                <w:b/>
                <w:sz w:val="18"/>
              </w:rPr>
              <w:t>结论</w:t>
            </w:r>
          </w:p>
        </w:tc>
      </w:tr>
      <w:tr>
        <w:tc>
          <w:tcPr>
            <w:tcW w:type="dxa" w:w="2608"/>
          </w:tcPr>
          <w:p>
            <w:pPr>
              <w:spacing w:after="20"/>
            </w:pPr>
            <w:r/>
            <w:r>
              <w:rPr>
                <w:rFonts w:ascii="微软雅黑" w:hAnsi="微软雅黑" w:eastAsia="微软雅黑"/>
                <w:b w:val="0"/>
                <w:sz w:val="18"/>
              </w:rPr>
              <w:t>SA 指数（融资约束，主）</w:t>
            </w:r>
          </w:p>
        </w:tc>
        <w:tc>
          <w:tcPr>
            <w:tcW w:type="dxa" w:w="1361"/>
          </w:tcPr>
          <w:p>
            <w:pPr>
              <w:spacing w:after="20"/>
            </w:pPr>
            <w:r/>
            <w:r>
              <w:rPr>
                <w:rFonts w:ascii="微软雅黑" w:hAnsi="微软雅黑" w:eastAsia="微软雅黑"/>
                <w:b w:val="0"/>
                <w:sz w:val="18"/>
              </w:rPr>
              <w:t>+0.0011</w:t>
            </w:r>
          </w:p>
        </w:tc>
        <w:tc>
          <w:tcPr>
            <w:tcW w:type="dxa" w:w="1474"/>
          </w:tcPr>
          <w:p>
            <w:pPr>
              <w:spacing w:after="20"/>
            </w:pPr>
            <w:r/>
            <w:r>
              <w:rPr>
                <w:rFonts w:ascii="微软雅黑" w:hAnsi="微软雅黑" w:eastAsia="微软雅黑"/>
                <w:b w:val="0"/>
                <w:sz w:val="18"/>
              </w:rPr>
              <w:t>0.0051</w:t>
            </w:r>
          </w:p>
        </w:tc>
        <w:tc>
          <w:tcPr>
            <w:tcW w:type="dxa" w:w="1020"/>
          </w:tcPr>
          <w:p>
            <w:pPr>
              <w:spacing w:after="20"/>
            </w:pPr>
            <w:r/>
            <w:r>
              <w:rPr>
                <w:rFonts w:ascii="微软雅黑" w:hAnsi="微软雅黑" w:eastAsia="微软雅黑"/>
                <w:b w:val="0"/>
                <w:sz w:val="18"/>
              </w:rPr>
              <w:t>0.831</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资产负债率（杠杆）</w:t>
            </w:r>
          </w:p>
        </w:tc>
        <w:tc>
          <w:tcPr>
            <w:tcW w:type="dxa" w:w="1361"/>
          </w:tcPr>
          <w:p>
            <w:pPr>
              <w:spacing w:after="20"/>
            </w:pPr>
            <w:r/>
            <w:r>
              <w:rPr>
                <w:rFonts w:ascii="微软雅黑" w:hAnsi="微软雅黑" w:eastAsia="微软雅黑"/>
                <w:b w:val="0"/>
                <w:sz w:val="18"/>
              </w:rPr>
              <w:t>-0.229</w:t>
            </w:r>
          </w:p>
        </w:tc>
        <w:tc>
          <w:tcPr>
            <w:tcW w:type="dxa" w:w="1474"/>
          </w:tcPr>
          <w:p>
            <w:pPr>
              <w:spacing w:after="20"/>
            </w:pPr>
            <w:r/>
            <w:r>
              <w:rPr>
                <w:rFonts w:ascii="微软雅黑" w:hAnsi="微软雅黑" w:eastAsia="微软雅黑"/>
                <w:b w:val="0"/>
                <w:sz w:val="18"/>
              </w:rPr>
              <w:t>0.795</w:t>
            </w:r>
          </w:p>
        </w:tc>
        <w:tc>
          <w:tcPr>
            <w:tcW w:type="dxa" w:w="1020"/>
          </w:tcPr>
          <w:p>
            <w:pPr>
              <w:spacing w:after="20"/>
            </w:pPr>
            <w:r/>
            <w:r>
              <w:rPr>
                <w:rFonts w:ascii="微软雅黑" w:hAnsi="微软雅黑" w:eastAsia="微软雅黑"/>
                <w:b w:val="0"/>
                <w:sz w:val="18"/>
              </w:rPr>
              <w:t>0.773</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总资产净利润率（盈利）</w:t>
            </w:r>
          </w:p>
        </w:tc>
        <w:tc>
          <w:tcPr>
            <w:tcW w:type="dxa" w:w="1361"/>
          </w:tcPr>
          <w:p>
            <w:pPr>
              <w:spacing w:after="20"/>
            </w:pPr>
            <w:r/>
            <w:r>
              <w:rPr>
                <w:rFonts w:ascii="微软雅黑" w:hAnsi="微软雅黑" w:eastAsia="微软雅黑"/>
                <w:b w:val="0"/>
                <w:sz w:val="18"/>
              </w:rPr>
              <w:t>+0.014</w:t>
            </w:r>
          </w:p>
        </w:tc>
        <w:tc>
          <w:tcPr>
            <w:tcW w:type="dxa" w:w="1474"/>
          </w:tcPr>
          <w:p>
            <w:pPr>
              <w:spacing w:after="20"/>
            </w:pPr>
            <w:r/>
            <w:r>
              <w:rPr>
                <w:rFonts w:ascii="微软雅黑" w:hAnsi="微软雅黑" w:eastAsia="微软雅黑"/>
                <w:b w:val="0"/>
                <w:sz w:val="18"/>
              </w:rPr>
              <w:t>0.445</w:t>
            </w:r>
          </w:p>
        </w:tc>
        <w:tc>
          <w:tcPr>
            <w:tcW w:type="dxa" w:w="1020"/>
          </w:tcPr>
          <w:p>
            <w:pPr>
              <w:spacing w:after="20"/>
            </w:pPr>
            <w:r/>
            <w:r>
              <w:rPr>
                <w:rFonts w:ascii="微软雅黑" w:hAnsi="微软雅黑" w:eastAsia="微软雅黑"/>
                <w:b w:val="0"/>
                <w:sz w:val="18"/>
              </w:rPr>
              <w:t>0.974</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主营业务收入增长率（成长）</w:t>
            </w:r>
          </w:p>
        </w:tc>
        <w:tc>
          <w:tcPr>
            <w:tcW w:type="dxa" w:w="1361"/>
          </w:tcPr>
          <w:p>
            <w:pPr>
              <w:spacing w:after="20"/>
            </w:pPr>
            <w:r/>
            <w:r>
              <w:rPr>
                <w:rFonts w:ascii="微软雅黑" w:hAnsi="微软雅黑" w:eastAsia="微软雅黑"/>
                <w:b w:val="0"/>
                <w:sz w:val="18"/>
              </w:rPr>
              <w:t>-4.142</w:t>
            </w:r>
          </w:p>
        </w:tc>
        <w:tc>
          <w:tcPr>
            <w:tcW w:type="dxa" w:w="1474"/>
          </w:tcPr>
          <w:p>
            <w:pPr>
              <w:spacing w:after="20"/>
            </w:pPr>
            <w:r/>
            <w:r>
              <w:rPr>
                <w:rFonts w:ascii="微软雅黑" w:hAnsi="微软雅黑" w:eastAsia="微软雅黑"/>
                <w:b w:val="0"/>
                <w:sz w:val="18"/>
              </w:rPr>
              <w:t>1.930</w:t>
            </w:r>
          </w:p>
        </w:tc>
        <w:tc>
          <w:tcPr>
            <w:tcW w:type="dxa" w:w="1020"/>
          </w:tcPr>
          <w:p>
            <w:pPr>
              <w:spacing w:after="20"/>
            </w:pPr>
            <w:r/>
            <w:r>
              <w:rPr>
                <w:rFonts w:ascii="微软雅黑" w:hAnsi="微软雅黑" w:eastAsia="微软雅黑"/>
                <w:b w:val="0"/>
                <w:sz w:val="18"/>
              </w:rPr>
              <w:t>0.034</w:t>
            </w:r>
          </w:p>
        </w:tc>
        <w:tc>
          <w:tcPr>
            <w:tcW w:type="dxa" w:w="1701"/>
          </w:tcPr>
          <w:p>
            <w:pPr>
              <w:spacing w:after="20"/>
            </w:pPr>
            <w:r/>
            <w:r>
              <w:rPr>
                <w:rFonts w:ascii="微软雅黑" w:hAnsi="微软雅黑" w:eastAsia="微软雅黑"/>
                <w:b w:val="0"/>
                <w:sz w:val="18"/>
              </w:rPr>
              <w:t>5% 显著为负</w:t>
            </w:r>
          </w:p>
        </w:tc>
      </w:tr>
    </w:tbl>
    <w:p>
      <w:pPr>
        <w:spacing w:after="40"/>
      </w:pPr>
    </w:p>
    <w:p>
      <w:pPr>
        <w:spacing w:after="80" w:line="336" w:lineRule="auto"/>
        <w:ind w:left="420"/>
      </w:pPr>
      <w:r>
        <w:rPr>
          <w:rFonts w:ascii="微软雅黑" w:hAnsi="微软雅黑" w:eastAsia="微软雅黑"/>
          <w:b w:val="0"/>
          <w:sz w:val="21"/>
        </w:rPr>
        <w:t>在控制四类固定效应及 12 个数量类专利特征后，跨领域整合度与主营业务收入增长率显著负相关（-4.14，p&lt;0.05），即跨领域整合度每提高 1 分，企业当期主营业务收入增长率平均下降约 4.1 个百分点；而对融资约束的两个代理（SA 指数、资产负债率）及盈利能力（总资产净利润率）的估计均不显著。</w:t>
      </w:r>
    </w:p>
    <w:p>
      <w:pPr>
        <w:spacing w:after="80" w:line="336" w:lineRule="auto"/>
        <w:ind w:left="420"/>
      </w:pPr>
      <w:r>
        <w:rPr>
          <w:rFonts w:ascii="微软雅黑" w:hAnsi="微软雅黑" w:eastAsia="微软雅黑"/>
          <w:b w:val="0"/>
          <w:sz w:val="21"/>
        </w:rPr>
        <w:t>稳健性检验共四组：① 滞后一期解释变量（缓解反向因果），系数方向一致，资产负债率上为 -1.48（10% 边际显著）；② 更换聚类层级（企业 / 行业 / 地区），结论一致；③ 逐个语义维度替换 x，四个维度对营收增长率的系数全部为负，跨领域整合度最强；④ 更换机器学习学习器。</w:t>
      </w:r>
    </w:p>
    <w:p>
      <w:pPr>
        <w:spacing w:before="120" w:after="40"/>
        <w:jc w:val="center"/>
      </w:pPr>
      <w:r>
        <w:rPr>
          <w:rFonts w:ascii="微软雅黑" w:hAnsi="微软雅黑" w:eastAsia="微软雅黑"/>
          <w:b/>
          <w:sz w:val="19"/>
        </w:rPr>
        <w:t>表 11　双重机器学习结果与主回归的对比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DCE6F1"/>
          </w:tcPr>
          <w:p>
            <w:r/>
            <w:r>
              <w:rPr>
                <w:rFonts w:ascii="微软雅黑" w:hAnsi="微软雅黑" w:eastAsia="微软雅黑"/>
                <w:b/>
                <w:sz w:val="18"/>
              </w:rPr>
              <w:t>被解释变量</w:t>
            </w:r>
          </w:p>
        </w:tc>
        <w:tc>
          <w:tcPr>
            <w:tcW w:type="dxa" w:w="1928"/>
            <w:shd w:fill="DCE6F1"/>
          </w:tcPr>
          <w:p>
            <w:r/>
            <w:r>
              <w:rPr>
                <w:rFonts w:ascii="微软雅黑" w:hAnsi="微软雅黑" w:eastAsia="微软雅黑"/>
                <w:b/>
                <w:sz w:val="18"/>
              </w:rPr>
              <w:t>主回归</w:t>
            </w:r>
          </w:p>
        </w:tc>
        <w:tc>
          <w:tcPr>
            <w:tcW w:type="dxa" w:w="2041"/>
            <w:shd w:fill="DCE6F1"/>
          </w:tcPr>
          <w:p>
            <w:r/>
            <w:r>
              <w:rPr>
                <w:rFonts w:ascii="微软雅黑" w:hAnsi="微软雅黑" w:eastAsia="微软雅黑"/>
                <w:b/>
                <w:sz w:val="18"/>
              </w:rPr>
              <w:t>DML-随机森林</w:t>
            </w:r>
          </w:p>
        </w:tc>
        <w:tc>
          <w:tcPr>
            <w:tcW w:type="dxa" w:w="1928"/>
            <w:shd w:fill="DCE6F1"/>
          </w:tcPr>
          <w:p>
            <w:r/>
            <w:r>
              <w:rPr>
                <w:rFonts w:ascii="微软雅黑" w:hAnsi="微软雅黑" w:eastAsia="微软雅黑"/>
                <w:b/>
                <w:sz w:val="18"/>
              </w:rPr>
              <w:t>DML-LASSO</w:t>
            </w:r>
          </w:p>
        </w:tc>
      </w:tr>
      <w:tr>
        <w:tc>
          <w:tcPr>
            <w:tcW w:type="dxa" w:w="2268"/>
          </w:tcPr>
          <w:p>
            <w:pPr>
              <w:spacing w:after="20"/>
            </w:pPr>
            <w:r/>
            <w:r>
              <w:rPr>
                <w:rFonts w:ascii="微软雅黑" w:hAnsi="微软雅黑" w:eastAsia="微软雅黑"/>
                <w:b w:val="0"/>
                <w:sz w:val="18"/>
              </w:rPr>
              <w:t>SA 指数（融资约束）</w:t>
            </w:r>
          </w:p>
        </w:tc>
        <w:tc>
          <w:tcPr>
            <w:tcW w:type="dxa" w:w="1928"/>
          </w:tcPr>
          <w:p>
            <w:pPr>
              <w:spacing w:after="20"/>
            </w:pPr>
            <w:r/>
            <w:r>
              <w:rPr>
                <w:rFonts w:ascii="微软雅黑" w:hAnsi="微软雅黑" w:eastAsia="微软雅黑"/>
                <w:b w:val="0"/>
                <w:sz w:val="18"/>
              </w:rPr>
              <w:t>+0.0011 (p=0.83)</w:t>
            </w:r>
          </w:p>
        </w:tc>
        <w:tc>
          <w:tcPr>
            <w:tcW w:type="dxa" w:w="2041"/>
          </w:tcPr>
          <w:p>
            <w:pPr>
              <w:spacing w:after="20"/>
            </w:pPr>
            <w:r/>
            <w:r>
              <w:rPr>
                <w:rFonts w:ascii="微软雅黑" w:hAnsi="微软雅黑" w:eastAsia="微软雅黑"/>
                <w:b w:val="0"/>
                <w:sz w:val="18"/>
              </w:rPr>
              <w:t>+0.0029 (p=0.49)</w:t>
            </w:r>
          </w:p>
        </w:tc>
        <w:tc>
          <w:tcPr>
            <w:tcW w:type="dxa" w:w="1928"/>
          </w:tcPr>
          <w:p>
            <w:pPr>
              <w:spacing w:after="20"/>
            </w:pPr>
            <w:r/>
            <w:r>
              <w:rPr>
                <w:rFonts w:ascii="微软雅黑" w:hAnsi="微软雅黑" w:eastAsia="微软雅黑"/>
                <w:b w:val="0"/>
                <w:sz w:val="18"/>
              </w:rPr>
              <w:t>+0.0015 (p=0.72)</w:t>
            </w:r>
          </w:p>
        </w:tc>
      </w:tr>
      <w:tr>
        <w:tc>
          <w:tcPr>
            <w:tcW w:type="dxa" w:w="2268"/>
          </w:tcPr>
          <w:p>
            <w:pPr>
              <w:spacing w:after="20"/>
            </w:pPr>
            <w:r/>
            <w:r>
              <w:rPr>
                <w:rFonts w:ascii="微软雅黑" w:hAnsi="微软雅黑" w:eastAsia="微软雅黑"/>
                <w:b w:val="0"/>
                <w:sz w:val="18"/>
              </w:rPr>
              <w:t>资产负债率</w:t>
            </w:r>
          </w:p>
        </w:tc>
        <w:tc>
          <w:tcPr>
            <w:tcW w:type="dxa" w:w="1928"/>
          </w:tcPr>
          <w:p>
            <w:pPr>
              <w:spacing w:after="20"/>
            </w:pPr>
            <w:r/>
            <w:r>
              <w:rPr>
                <w:rFonts w:ascii="微软雅黑" w:hAnsi="微软雅黑" w:eastAsia="微软雅黑"/>
                <w:b w:val="0"/>
                <w:sz w:val="18"/>
              </w:rPr>
              <w:t>-0.229 (p=0.77)</w:t>
            </w:r>
          </w:p>
        </w:tc>
        <w:tc>
          <w:tcPr>
            <w:tcW w:type="dxa" w:w="2041"/>
          </w:tcPr>
          <w:p>
            <w:pPr>
              <w:spacing w:after="20"/>
            </w:pPr>
            <w:r/>
            <w:r>
              <w:rPr>
                <w:rFonts w:ascii="微软雅黑" w:hAnsi="微软雅黑" w:eastAsia="微软雅黑"/>
                <w:b w:val="0"/>
                <w:sz w:val="18"/>
              </w:rPr>
              <w:t>-0.013 (p=0.98)</w:t>
            </w:r>
          </w:p>
        </w:tc>
        <w:tc>
          <w:tcPr>
            <w:tcW w:type="dxa" w:w="1928"/>
          </w:tcPr>
          <w:p>
            <w:pPr>
              <w:spacing w:after="20"/>
            </w:pPr>
            <w:r/>
            <w:r>
              <w:rPr>
                <w:rFonts w:ascii="微软雅黑" w:hAnsi="微软雅黑" w:eastAsia="微软雅黑"/>
                <w:b w:val="0"/>
                <w:sz w:val="18"/>
              </w:rPr>
              <w:t>-0.273 (p=0.65)</w:t>
            </w:r>
          </w:p>
        </w:tc>
      </w:tr>
      <w:tr>
        <w:tc>
          <w:tcPr>
            <w:tcW w:type="dxa" w:w="2268"/>
          </w:tcPr>
          <w:p>
            <w:pPr>
              <w:spacing w:after="20"/>
            </w:pPr>
            <w:r/>
            <w:r>
              <w:rPr>
                <w:rFonts w:ascii="微软雅黑" w:hAnsi="微软雅黑" w:eastAsia="微软雅黑"/>
                <w:b w:val="0"/>
                <w:sz w:val="18"/>
              </w:rPr>
              <w:t>总资产净利润率</w:t>
            </w:r>
          </w:p>
        </w:tc>
        <w:tc>
          <w:tcPr>
            <w:tcW w:type="dxa" w:w="1928"/>
          </w:tcPr>
          <w:p>
            <w:pPr>
              <w:spacing w:after="20"/>
            </w:pPr>
            <w:r/>
            <w:r>
              <w:rPr>
                <w:rFonts w:ascii="微软雅黑" w:hAnsi="微软雅黑" w:eastAsia="微软雅黑"/>
                <w:b w:val="0"/>
                <w:sz w:val="18"/>
              </w:rPr>
              <w:t>+0.014 (p=0.97)</w:t>
            </w:r>
          </w:p>
        </w:tc>
        <w:tc>
          <w:tcPr>
            <w:tcW w:type="dxa" w:w="2041"/>
          </w:tcPr>
          <w:p>
            <w:pPr>
              <w:spacing w:after="20"/>
            </w:pPr>
            <w:r/>
            <w:r>
              <w:rPr>
                <w:rFonts w:ascii="微软雅黑" w:hAnsi="微软雅黑" w:eastAsia="微软雅黑"/>
                <w:b w:val="0"/>
                <w:sz w:val="18"/>
              </w:rPr>
              <w:t>+0.231 (p=0.59)</w:t>
            </w:r>
          </w:p>
        </w:tc>
        <w:tc>
          <w:tcPr>
            <w:tcW w:type="dxa" w:w="1928"/>
          </w:tcPr>
          <w:p>
            <w:pPr>
              <w:spacing w:after="20"/>
            </w:pPr>
            <w:r/>
            <w:r>
              <w:rPr>
                <w:rFonts w:ascii="微软雅黑" w:hAnsi="微软雅黑" w:eastAsia="微软雅黑"/>
                <w:b w:val="0"/>
                <w:sz w:val="18"/>
              </w:rPr>
              <w:t>+0.031 (p=0.94)</w:t>
            </w:r>
          </w:p>
        </w:tc>
      </w:tr>
      <w:tr>
        <w:tc>
          <w:tcPr>
            <w:tcW w:type="dxa" w:w="2268"/>
          </w:tcPr>
          <w:p>
            <w:pPr>
              <w:spacing w:after="20"/>
            </w:pPr>
            <w:r/>
            <w:r>
              <w:rPr>
                <w:rFonts w:ascii="微软雅黑" w:hAnsi="微软雅黑" w:eastAsia="微软雅黑"/>
                <w:b w:val="0"/>
                <w:sz w:val="18"/>
              </w:rPr>
              <w:t>主营业务收入增长率</w:t>
            </w:r>
          </w:p>
        </w:tc>
        <w:tc>
          <w:tcPr>
            <w:tcW w:type="dxa" w:w="1928"/>
          </w:tcPr>
          <w:p>
            <w:pPr>
              <w:spacing w:after="20"/>
            </w:pPr>
            <w:r/>
            <w:r>
              <w:rPr>
                <w:rFonts w:ascii="微软雅黑" w:hAnsi="微软雅黑" w:eastAsia="微软雅黑"/>
                <w:b w:val="0"/>
                <w:sz w:val="18"/>
              </w:rPr>
              <w:t>-4.142 (p=0.034)</w:t>
            </w:r>
          </w:p>
        </w:tc>
        <w:tc>
          <w:tcPr>
            <w:tcW w:type="dxa" w:w="2041"/>
          </w:tcPr>
          <w:p>
            <w:pPr>
              <w:spacing w:after="20"/>
            </w:pPr>
            <w:r/>
            <w:r>
              <w:rPr>
                <w:rFonts w:ascii="微软雅黑" w:hAnsi="微软雅黑" w:eastAsia="微软雅黑"/>
                <w:b w:val="0"/>
                <w:sz w:val="18"/>
              </w:rPr>
              <w:t>-3.109 (p=0.102)</w:t>
            </w:r>
          </w:p>
        </w:tc>
        <w:tc>
          <w:tcPr>
            <w:tcW w:type="dxa" w:w="1928"/>
          </w:tcPr>
          <w:p>
            <w:pPr>
              <w:spacing w:after="20"/>
            </w:pPr>
            <w:r/>
            <w:r>
              <w:rPr>
                <w:rFonts w:ascii="微软雅黑" w:hAnsi="微软雅黑" w:eastAsia="微软雅黑"/>
                <w:b w:val="0"/>
                <w:sz w:val="18"/>
              </w:rPr>
              <w:t>-4.282 (p=0.020)</w:t>
            </w:r>
          </w:p>
        </w:tc>
      </w:tr>
    </w:tbl>
    <w:p>
      <w:pPr>
        <w:spacing w:after="40"/>
      </w:pPr>
    </w:p>
    <w:p>
      <w:pPr>
        <w:spacing w:after="80" w:line="336" w:lineRule="auto"/>
        <w:ind w:left="420"/>
      </w:pPr>
      <w:r>
        <w:rPr>
          <w:rFonts w:ascii="微软雅黑" w:hAnsi="微软雅黑" w:eastAsia="微软雅黑"/>
          <w:b w:val="0"/>
          <w:sz w:val="21"/>
        </w:rPr>
        <w:t>双重机器学习的结果与主回归高度一致：对营收增长率的估计为 -3.11（随机森林）与 -4.28（LASSO），方向与量级一致；对其余三个结果变量均不显著。值得注意的是，第一版 DML 因未控制行业×年份与地区×年份固定效应，在 SA 指数上给出了与主回归相反的显著结果（-0.0191）；在补齐固定效应设定后，两者结论完全一致。这说明是方法设定上的差异，而非数据本身导致了原先的矛盾。</w:t>
      </w:r>
    </w:p>
    <w:p>
      <w:r>
        <w:br w:type="page"/>
      </w:r>
    </w:p>
    <w:p>
      <w:pPr>
        <w:pStyle w:val="Heading1"/>
        <w:spacing w:before="280" w:after="120"/>
      </w:pPr>
      <w:r>
        <w:rPr>
          <w:rFonts w:ascii="微软雅黑" w:hAnsi="微软雅黑" w:eastAsia="微软雅黑"/>
          <w:color w:val="1F3B63"/>
          <w:sz w:val="30"/>
        </w:rPr>
        <w:t>五、讨论</w:t>
      </w:r>
    </w:p>
    <w:p>
      <w:pPr>
        <w:pStyle w:val="Heading2"/>
        <w:spacing w:before="200" w:after="120"/>
      </w:pPr>
      <w:r>
        <w:rPr>
          <w:rFonts w:ascii="微软雅黑" w:hAnsi="微软雅黑" w:eastAsia="微软雅黑"/>
          <w:color w:val="1F3B63"/>
          <w:sz w:val="25"/>
        </w:rPr>
        <w:t>5.1　主要发现</w:t>
      </w:r>
    </w:p>
    <w:p>
      <w:pPr>
        <w:spacing w:after="80" w:line="336" w:lineRule="auto"/>
        <w:ind w:left="420"/>
      </w:pPr>
      <w:r>
        <w:rPr>
          <w:rFonts w:ascii="微软雅黑" w:hAnsi="微软雅黑" w:eastAsia="微软雅黑"/>
          <w:b/>
          <w:sz w:val="21"/>
        </w:rPr>
        <w:t>（1）语义特征含有正交信息，但增量解释力有限。</w:t>
      </w:r>
    </w:p>
    <w:p>
      <w:pPr>
        <w:spacing w:after="80" w:line="336" w:lineRule="auto"/>
        <w:ind w:left="420"/>
      </w:pPr>
      <w:r>
        <w:rPr>
          <w:rFonts w:ascii="微软雅黑" w:hAnsi="微软雅黑" w:eastAsia="微软雅黑"/>
          <w:b w:val="0"/>
          <w:sz w:val="21"/>
        </w:rPr>
        <w:t>大语言模型从专利文本中提取的四个语义维度，确实携带了数量类特征无法捕捉的信息：45%–65% 的变异无法被 12 个数量特征解释，平均相关系数仅 0.21。但这一「新信息」对预测企业财务结果的贡献有限 —— 加入四个语义维度后，模型 R² 仅提高约 0.01。</w:t>
      </w:r>
    </w:p>
    <w:p>
      <w:pPr>
        <w:spacing w:after="80" w:line="336" w:lineRule="auto"/>
        <w:ind w:left="420"/>
      </w:pPr>
      <w:r>
        <w:rPr>
          <w:rFonts w:ascii="微软雅黑" w:hAnsi="微软雅黑" w:eastAsia="微软雅黑"/>
          <w:b w:val="0"/>
          <w:sz w:val="21"/>
        </w:rPr>
        <w:t>需要补充的是：增量幅度小，也可能是本次研究的观测数据偏少所致 —— 1,270 个观测对于「从文本语义预测财务结果」这类高噪声任务而言样本量有限，因此不宜据此断定语义特征缺乏价值。</w:t>
      </w:r>
    </w:p>
    <w:p>
      <w:pPr>
        <w:spacing w:after="80" w:line="336" w:lineRule="auto"/>
        <w:ind w:left="420"/>
      </w:pPr>
      <w:r>
        <w:rPr>
          <w:rFonts w:ascii="微软雅黑" w:hAnsi="微软雅黑" w:eastAsia="微软雅黑"/>
          <w:b w:val="0"/>
          <w:sz w:val="21"/>
        </w:rPr>
        <w:t>这一结果的含义是双向的。一方面，它说明用大语言模型处理非结构化文本、并转化为可量化指标这条路径是可行的，语义特征不是数量特征的简单重复；另一方面，它也提示，对于「预测企业财务表现」这类任务，文本语义信息的作用不宜被高估。</w:t>
      </w:r>
    </w:p>
    <w:p>
      <w:pPr>
        <w:spacing w:after="80" w:line="336" w:lineRule="auto"/>
        <w:ind w:left="420"/>
      </w:pPr>
      <w:r>
        <w:rPr>
          <w:rFonts w:ascii="微软雅黑" w:hAnsi="微软雅黑" w:eastAsia="微软雅黑"/>
          <w:b/>
          <w:sz w:val="21"/>
        </w:rPr>
        <w:t>（2）四个语义维度在本样本中并不独立。</w:t>
      </w:r>
    </w:p>
    <w:p>
      <w:pPr>
        <w:spacing w:after="80" w:line="336" w:lineRule="auto"/>
        <w:ind w:left="420"/>
      </w:pPr>
      <w:r>
        <w:rPr>
          <w:rFonts w:ascii="微软雅黑" w:hAnsi="微软雅黑" w:eastAsia="微软雅黑"/>
          <w:b w:val="0"/>
          <w:sz w:val="21"/>
        </w:rPr>
        <w:t>本文检验了题目「多个相互独立的维度」这一前提。结果显示，四个语义维度两两相关系数达 0.66–0.92，存在明显的共同因子。为排除方法性原因，我们设计了一组对照实验：将四个维度拆成四次独立的 API 调用，与一次调用四个维度相比，维度间平均相关系数并未下降（0.725 对 0.679）。因此高相关更可能源于专利本身的客观属性 ——一项技术若足够新颖，往往同时具有较强的科学基础、较高的跨领域程度与较远的商业化距离。这一发现与题目前提存在张力，本文如实报告。</w:t>
      </w:r>
    </w:p>
    <w:p>
      <w:pPr>
        <w:spacing w:after="80" w:line="336" w:lineRule="auto"/>
        <w:ind w:left="420"/>
      </w:pPr>
      <w:r>
        <w:rPr>
          <w:rFonts w:ascii="微软雅黑" w:hAnsi="微软雅黑" w:eastAsia="微软雅黑"/>
          <w:b/>
          <w:sz w:val="21"/>
        </w:rPr>
        <w:t>（3）跨领域整合度是最重要的语义维度。</w:t>
      </w:r>
    </w:p>
    <w:p>
      <w:pPr>
        <w:spacing w:after="80" w:line="336" w:lineRule="auto"/>
        <w:ind w:left="420"/>
      </w:pPr>
      <w:r>
        <w:rPr>
          <w:rFonts w:ascii="微软雅黑" w:hAnsi="微软雅黑" w:eastAsia="微软雅黑"/>
          <w:b w:val="0"/>
          <w:sz w:val="21"/>
        </w:rPr>
        <w:t>在将四个维度逐个加入基准特征的检验中，跨领域整合度在三个结果变量上的增量排名均为第一，因此被选为（iiii）部分的核心解释变量。</w:t>
      </w:r>
    </w:p>
    <w:p>
      <w:pPr>
        <w:spacing w:after="80" w:line="336" w:lineRule="auto"/>
        <w:ind w:left="420"/>
      </w:pPr>
      <w:r>
        <w:rPr>
          <w:rFonts w:ascii="微软雅黑" w:hAnsi="微软雅黑" w:eastAsia="微软雅黑"/>
          <w:b/>
          <w:sz w:val="21"/>
        </w:rPr>
        <w:t>（4）跨领域整合度与主营业务收入增长率显著负相关。</w:t>
      </w:r>
    </w:p>
    <w:p>
      <w:pPr>
        <w:spacing w:after="80" w:line="336" w:lineRule="auto"/>
        <w:ind w:left="420"/>
      </w:pPr>
      <w:r>
        <w:rPr>
          <w:rFonts w:ascii="微软雅黑" w:hAnsi="微软雅黑" w:eastAsia="微软雅黑"/>
          <w:b w:val="0"/>
          <w:sz w:val="21"/>
        </w:rPr>
        <w:t>在控制企业、年份、行业×年份、地区×年份四类固定效应及 12 个数量类专利特征后，跨领域整合度与主营业务收入增长率显著负相关（-4.14，p&lt;0.05）：该指标每提高 1 分（量程 1–10 分，样本均值 2.75），企业当期主营业务收入增长率平均下降约 4.1 个百分点。双重机器学习的两种学习器给出一致结果（-3.11 与 -4.28）。而对企业融资约束（SA 指数、资产负债率）与盈利能力（总资产净利润率）的估计均不显著。</w:t>
      </w:r>
    </w:p>
    <w:p>
      <w:pPr>
        <w:spacing w:after="80" w:line="336" w:lineRule="auto"/>
        <w:ind w:left="420"/>
      </w:pPr>
      <w:r>
        <w:rPr>
          <w:rFonts w:ascii="微软雅黑" w:hAnsi="微软雅黑" w:eastAsia="微软雅黑"/>
          <w:b w:val="0"/>
          <w:sz w:val="21"/>
        </w:rPr>
        <w:t>对这一结果，一个可能的解释是：跨领域整合度高的技术通常处于更早期、更远离商业化应用的阶段，短期内难以直接转化为收入，甚至可能因研发投入挤占资源而对当期增长形成拖累。这一解释与（iii）的另一项结果相互印证 —— 商业化距离对主营业务收入增长率的系数同样为负（-3.92，10% 显著），两者方向一致。</w:t>
      </w:r>
    </w:p>
    <w:p>
      <w:pPr>
        <w:spacing w:after="80" w:line="336" w:lineRule="auto"/>
        <w:ind w:left="420"/>
      </w:pPr>
      <w:r>
        <w:rPr>
          <w:rFonts w:ascii="微软雅黑" w:hAnsi="微软雅黑" w:eastAsia="微软雅黑"/>
          <w:b w:val="0"/>
          <w:sz w:val="21"/>
        </w:rPr>
        <w:t>此外，控制变量中 ln专利数对资产负债率的系数为 -2.69（t = -4.34，p&lt;0.001），即专利数量越多的企业杠杆越低。这一现象可能反映技术型企业更依赖股权融资而非债务融资。</w:t>
      </w:r>
    </w:p>
    <w:p>
      <w:pPr>
        <w:pStyle w:val="Heading2"/>
        <w:spacing w:before="200" w:after="120"/>
      </w:pPr>
      <w:r>
        <w:rPr>
          <w:rFonts w:ascii="微软雅黑" w:hAnsi="微软雅黑" w:eastAsia="微软雅黑"/>
          <w:color w:val="1F3B63"/>
          <w:sz w:val="25"/>
        </w:rPr>
        <w:t>5.2　内生性讨论</w:t>
      </w:r>
    </w:p>
    <w:p>
      <w:pPr>
        <w:spacing w:after="80" w:line="336" w:lineRule="auto"/>
        <w:ind w:left="420"/>
      </w:pPr>
      <w:r>
        <w:rPr>
          <w:rFonts w:ascii="微软雅黑" w:hAnsi="微软雅黑" w:eastAsia="微软雅黑"/>
          <w:b w:val="0"/>
          <w:sz w:val="21"/>
        </w:rPr>
        <w:t>本文的估计可能受三类内生性问题影响。</w:t>
      </w:r>
    </w:p>
    <w:p>
      <w:pPr>
        <w:spacing w:before="120" w:after="40"/>
        <w:jc w:val="center"/>
      </w:pPr>
      <w:r>
        <w:rPr>
          <w:rFonts w:ascii="微软雅黑" w:hAnsi="微软雅黑" w:eastAsia="微软雅黑"/>
          <w:b/>
          <w:sz w:val="19"/>
        </w:rPr>
        <w:t>表 12　内生性的三个来源及本文的处理</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fill="DCE6F1"/>
          </w:tcPr>
          <w:p>
            <w:r/>
            <w:r>
              <w:rPr>
                <w:rFonts w:ascii="微软雅黑" w:hAnsi="微软雅黑" w:eastAsia="微软雅黑"/>
                <w:b/>
                <w:sz w:val="18"/>
              </w:rPr>
              <w:t>内生性来源</w:t>
            </w:r>
          </w:p>
        </w:tc>
        <w:tc>
          <w:tcPr>
            <w:tcW w:type="dxa" w:w="3175"/>
            <w:shd w:fill="DCE6F1"/>
          </w:tcPr>
          <w:p>
            <w:r/>
            <w:r>
              <w:rPr>
                <w:rFonts w:ascii="微软雅黑" w:hAnsi="微软雅黑" w:eastAsia="微软雅黑"/>
                <w:b/>
                <w:sz w:val="18"/>
              </w:rPr>
              <w:t>本文的处理</w:t>
            </w:r>
          </w:p>
        </w:tc>
        <w:tc>
          <w:tcPr>
            <w:tcW w:type="dxa" w:w="3288"/>
            <w:shd w:fill="DCE6F1"/>
          </w:tcPr>
          <w:p>
            <w:r/>
            <w:r>
              <w:rPr>
                <w:rFonts w:ascii="微软雅黑" w:hAnsi="微软雅黑" w:eastAsia="微软雅黑"/>
                <w:b/>
                <w:sz w:val="18"/>
              </w:rPr>
              <w:t>仍存在的局限</w:t>
            </w:r>
          </w:p>
        </w:tc>
      </w:tr>
      <w:tr>
        <w:tc>
          <w:tcPr>
            <w:tcW w:type="dxa" w:w="2608"/>
          </w:tcPr>
          <w:p>
            <w:pPr>
              <w:spacing w:after="20"/>
            </w:pPr>
            <w:r/>
            <w:r>
              <w:rPr>
                <w:rFonts w:ascii="微软雅黑" w:hAnsi="微软雅黑" w:eastAsia="微软雅黑"/>
                <w:b w:val="0"/>
                <w:sz w:val="18"/>
              </w:rPr>
              <w:t>反向因果：业绩好的企业才有资源投入跨领域研发</w:t>
            </w:r>
          </w:p>
        </w:tc>
        <w:tc>
          <w:tcPr>
            <w:tcW w:type="dxa" w:w="3175"/>
          </w:tcPr>
          <w:p>
            <w:pPr>
              <w:spacing w:after="20"/>
            </w:pPr>
            <w:r/>
            <w:r>
              <w:rPr>
                <w:rFonts w:ascii="微软雅黑" w:hAnsi="微软雅黑" w:eastAsia="微软雅黑"/>
                <w:b w:val="0"/>
                <w:sz w:val="18"/>
              </w:rPr>
              <w:t>① 企业固定效应吸收不随时间变化的企业异质性；② 滞后一期检验（以 t−1 期的 x 解释 t 期的 y）</w:t>
            </w:r>
          </w:p>
        </w:tc>
        <w:tc>
          <w:tcPr>
            <w:tcW w:type="dxa" w:w="3288"/>
          </w:tcPr>
          <w:p>
            <w:pPr>
              <w:spacing w:after="20"/>
            </w:pPr>
            <w:r/>
            <w:r>
              <w:rPr>
                <w:rFonts w:ascii="微软雅黑" w:hAnsi="微软雅黑" w:eastAsia="微软雅黑"/>
                <w:b w:val="0"/>
                <w:sz w:val="18"/>
              </w:rPr>
              <w:t>滞后检验只能缓解当期反向因果，无法完全排除</w:t>
            </w:r>
          </w:p>
        </w:tc>
      </w:tr>
      <w:tr>
        <w:tc>
          <w:tcPr>
            <w:tcW w:type="dxa" w:w="2608"/>
          </w:tcPr>
          <w:p>
            <w:pPr>
              <w:spacing w:after="20"/>
            </w:pPr>
            <w:r/>
            <w:r>
              <w:rPr>
                <w:rFonts w:ascii="微软雅黑" w:hAnsi="微软雅黑" w:eastAsia="微软雅黑"/>
                <w:b w:val="0"/>
                <w:sz w:val="18"/>
              </w:rPr>
              <w:t>遗漏变量：管理层能力、技术战略等同时影响专利特征与企业业绩</w:t>
            </w:r>
          </w:p>
        </w:tc>
        <w:tc>
          <w:tcPr>
            <w:tcW w:type="dxa" w:w="3175"/>
          </w:tcPr>
          <w:p>
            <w:pPr>
              <w:spacing w:after="20"/>
            </w:pPr>
            <w:r/>
            <w:r>
              <w:rPr>
                <w:rFonts w:ascii="微软雅黑" w:hAnsi="微软雅黑" w:eastAsia="微软雅黑"/>
                <w:b w:val="0"/>
                <w:sz w:val="18"/>
              </w:rPr>
              <w:t>四类固定效应吸收了不随时间变化的部分；12 个数量类专利特征控制了专利的数量与质量维度</w:t>
            </w:r>
          </w:p>
        </w:tc>
        <w:tc>
          <w:tcPr>
            <w:tcW w:type="dxa" w:w="3288"/>
          </w:tcPr>
          <w:p>
            <w:pPr>
              <w:spacing w:after="20"/>
            </w:pPr>
            <w:r/>
            <w:r>
              <w:rPr>
                <w:rFonts w:ascii="微软雅黑" w:hAnsi="微软雅黑" w:eastAsia="微软雅黑"/>
                <w:b w:val="0"/>
                <w:sz w:val="18"/>
              </w:rPr>
              <w:t>随时间变化的企业层面遗漏变量（如当年的战略调整）无法排除</w:t>
            </w:r>
          </w:p>
        </w:tc>
      </w:tr>
      <w:tr>
        <w:tc>
          <w:tcPr>
            <w:tcW w:type="dxa" w:w="2608"/>
          </w:tcPr>
          <w:p>
            <w:pPr>
              <w:spacing w:after="20"/>
            </w:pPr>
            <w:r/>
            <w:r>
              <w:rPr>
                <w:rFonts w:ascii="微软雅黑" w:hAnsi="微软雅黑" w:eastAsia="微软雅黑"/>
                <w:b w:val="0"/>
                <w:sz w:val="18"/>
              </w:rPr>
              <w:t>测量误差：大语言模型的语义评分存在噪声</w:t>
            </w:r>
          </w:p>
        </w:tc>
        <w:tc>
          <w:tcPr>
            <w:tcW w:type="dxa" w:w="3175"/>
          </w:tcPr>
          <w:p>
            <w:pPr>
              <w:spacing w:after="20"/>
            </w:pPr>
            <w:r/>
            <w:r>
              <w:rPr>
                <w:rFonts w:ascii="微软雅黑" w:hAnsi="微软雅黑" w:eastAsia="微软雅黑"/>
                <w:b w:val="0"/>
                <w:sz w:val="18"/>
              </w:rPr>
              <w:t>四个维度交叉验证；双重机器学习使用两种学习器（随机森林、LASSO）</w:t>
            </w:r>
          </w:p>
        </w:tc>
        <w:tc>
          <w:tcPr>
            <w:tcW w:type="dxa" w:w="3288"/>
          </w:tcPr>
          <w:p>
            <w:pPr>
              <w:spacing w:after="20"/>
            </w:pPr>
            <w:r/>
            <w:r>
              <w:rPr>
                <w:rFonts w:ascii="微软雅黑" w:hAnsi="微软雅黑" w:eastAsia="微软雅黑"/>
                <w:b w:val="0"/>
                <w:sz w:val="18"/>
              </w:rPr>
              <w:t>测量误差会使系数向 0 衰减，即低估真实效应</w:t>
            </w:r>
          </w:p>
        </w:tc>
      </w:tr>
    </w:tbl>
    <w:p>
      <w:pPr>
        <w:spacing w:after="40"/>
      </w:pPr>
    </w:p>
    <w:p>
      <w:pPr>
        <w:spacing w:after="80" w:line="336" w:lineRule="auto"/>
        <w:ind w:left="420"/>
      </w:pPr>
      <w:r>
        <w:rPr>
          <w:rFonts w:ascii="微软雅黑" w:hAnsi="微软雅黑" w:eastAsia="微软雅黑"/>
          <w:b w:val="0"/>
          <w:sz w:val="21"/>
        </w:rPr>
        <w:t>需要特别说明的是：识别策略的有效性依赖于条件外生性假设，即给定控制变量 Z 之后，x 中与 Z 无关的变异与误差项不相关。该假设无法被完全检验，因此本文的结论只宜解释为相关关系，而非严格的因果关系。</w:t>
      </w:r>
    </w:p>
    <w:p>
      <w:pPr>
        <w:pStyle w:val="Heading2"/>
        <w:spacing w:before="200" w:after="120"/>
      </w:pPr>
      <w:r>
        <w:rPr>
          <w:rFonts w:ascii="微软雅黑" w:hAnsi="微软雅黑" w:eastAsia="微软雅黑"/>
          <w:color w:val="1F3B63"/>
          <w:sz w:val="25"/>
        </w:rPr>
        <w:t>5.3　局限</w:t>
      </w:r>
    </w:p>
    <w:p>
      <w:pPr>
        <w:spacing w:after="80" w:line="336" w:lineRule="auto"/>
        <w:ind w:left="420"/>
      </w:pPr>
      <w:r>
        <w:rPr>
          <w:rFonts w:ascii="微软雅黑" w:hAnsi="微软雅黑" w:eastAsia="微软雅黑"/>
          <w:b w:val="0"/>
          <w:sz w:val="21"/>
        </w:rPr>
        <w:t>（1）样本规模有限。本文最终样本为 142 家公司、1,259 个观测，在控制四类固定效应后自由度较为紧张，标准误偏大。因此若干不显著的估计可能源于检验力不足，而非确实不存在关系。</w:t>
      </w:r>
    </w:p>
    <w:p>
      <w:pPr>
        <w:spacing w:after="80" w:line="336" w:lineRule="auto"/>
        <w:ind w:left="420"/>
      </w:pPr>
      <w:r>
        <w:rPr>
          <w:rFonts w:ascii="微软雅黑" w:hAnsi="微软雅黑" w:eastAsia="微软雅黑"/>
          <w:b w:val="0"/>
          <w:sz w:val="21"/>
        </w:rPr>
        <w:t>（2）融资约束代理的识别力有限。SA 指数在控制企业固定效应后仅保留约 19% 的原始变异（标准差由 0.300 降至 0.056），这与其构造方式有关 —— SA 指数主要由企业规模与年龄决定，而这两个变量在企业内部几乎不随时间变化，因此组内识别力较弱。</w:t>
      </w:r>
    </w:p>
    <w:p>
      <w:pPr>
        <w:spacing w:after="80" w:line="336" w:lineRule="auto"/>
        <w:ind w:left="420"/>
      </w:pPr>
      <w:r>
        <w:rPr>
          <w:rFonts w:ascii="微软雅黑" w:hAnsi="微软雅黑" w:eastAsia="微软雅黑"/>
          <w:b w:val="0"/>
          <w:sz w:val="21"/>
        </w:rPr>
        <w:t>（3）行业与地区经过合并。本文将 24 个行业分类合并为 6 大类、31 个省级行政区合并为 4 大区，以避免固定效应单元过小导致估计不稳，但这一处理可能掩盖组内异质性。</w:t>
      </w:r>
    </w:p>
    <w:p>
      <w:pPr>
        <w:spacing w:after="80" w:line="336" w:lineRule="auto"/>
        <w:ind w:left="420"/>
      </w:pPr>
      <w:r>
        <w:rPr>
          <w:rFonts w:ascii="微软雅黑" w:hAnsi="微软雅黑" w:eastAsia="微软雅黑"/>
          <w:b w:val="0"/>
          <w:sz w:val="21"/>
        </w:rPr>
        <w:t>（4）未能使用工具变量法。严格的因果识别需要外生的工具变量，本文样本中缺乏可信的、只影响 x 而不直接影响 y 的变量，因此以高维固定效应、滞后解释变量与双重机器学习作为识别策略。</w:t>
      </w:r>
    </w:p>
    <w:p>
      <w:pPr>
        <w:spacing w:after="80" w:line="336" w:lineRule="auto"/>
        <w:ind w:left="420"/>
      </w:pPr>
      <w:r>
        <w:rPr>
          <w:rFonts w:ascii="微软雅黑" w:hAnsi="微软雅黑" w:eastAsia="微软雅黑"/>
          <w:b w:val="0"/>
          <w:sz w:val="21"/>
        </w:rPr>
        <w:t>（5）核心指标的测量可靠性存在不确定性。4.3 节的人工验证显示，跨领域整合度这一维度的人工评分与模型评分几乎不相关（r = 0.184），说明该指标的测量定义仍有模糊之处。测量误差通常使回归系数向 0 衰减，因此 4.4 节中 -4.14 的估计值可能被低估。</w:t>
      </w:r>
    </w:p>
    <w:p>
      <w:r>
        <w:br w:type="page"/>
      </w:r>
    </w:p>
    <w:p>
      <w:pPr>
        <w:pStyle w:val="Heading1"/>
        <w:spacing w:before="280" w:after="120"/>
      </w:pPr>
      <w:r>
        <w:rPr>
          <w:rFonts w:ascii="微软雅黑" w:hAnsi="微软雅黑" w:eastAsia="微软雅黑"/>
          <w:color w:val="1F3B63"/>
          <w:sz w:val="30"/>
        </w:rPr>
        <w:t>六、结论</w:t>
      </w:r>
    </w:p>
    <w:p>
      <w:pPr>
        <w:spacing w:after="80" w:line="336" w:lineRule="auto"/>
        <w:ind w:left="420"/>
      </w:pPr>
      <w:r>
        <w:rPr>
          <w:rFonts w:ascii="微软雅黑" w:hAnsi="微软雅黑" w:eastAsia="微软雅黑"/>
          <w:b w:val="0"/>
          <w:sz w:val="21"/>
        </w:rPr>
        <w:t>本文以 152 家中国 A 股上市公司的 117,711 条专利数据为样本，检验了专利文本中蕴含多重信息维度这一假设，并进一步考察了其中一个关键维度 ——跨领域整合度 —— 与企业经济结果之间的关系。研究发现，数量类专利特征在跨公司维度上几乎不具备解释力，但在公司内部可解释约 18% 的总资产净利润率波动，且这一关系是线性的；大语言模型提取的语义特征确实携带正交信息（45%–65% 的变异无法被数量特征解释），但增量解释力有限；四个语义维度中，跨领域整合度的贡献排名第一。</w:t>
      </w:r>
    </w:p>
    <w:p>
      <w:pPr>
        <w:spacing w:after="80" w:line="336" w:lineRule="auto"/>
        <w:ind w:left="420"/>
      </w:pPr>
      <w:r>
        <w:rPr>
          <w:rFonts w:ascii="微软雅黑" w:hAnsi="微软雅黑" w:eastAsia="微软雅黑"/>
          <w:b w:val="0"/>
          <w:sz w:val="21"/>
        </w:rPr>
        <w:t>在计量识别层面，跨领域整合度与企业主营业务收入增长率显著负相关（-4.14，p&lt;0.05），且该结果在双重机器学习的两种学习器下高度一致；而对企业融资约束与盈利能力没有显著影响。这一结果提示，跨领域程度较高的技术可能处于商业化链条的前端，其价值释放存在时滞，短期内未必体现为收入增长。</w:t>
      </w:r>
    </w:p>
    <w:p>
      <w:pPr>
        <w:spacing w:after="80" w:line="336" w:lineRule="auto"/>
        <w:ind w:left="420"/>
      </w:pPr>
      <w:r>
        <w:rPr>
          <w:rFonts w:ascii="微软雅黑" w:hAnsi="微软雅黑" w:eastAsia="微软雅黑"/>
          <w:b w:val="0"/>
          <w:sz w:val="21"/>
        </w:rPr>
        <w:t>需要说明的是，受限于样本规模、融资约束代理变量的识别力以及内生性问题，本文的结论只宜解释为相关关系。跨领域整合度是否以及在多大程度上「导致」企业成长性的变化，仍需要更大样本、更外生的识别策略来回答。</w:t>
      </w:r>
    </w:p>
    <w:p>
      <w:r>
        <w:br w:type="page"/>
      </w:r>
    </w:p>
    <w:p>
      <w:r>
        <w:br w:type="page"/>
      </w:r>
    </w:p>
    <w:p>
      <w:pPr>
        <w:pStyle w:val="Heading1"/>
        <w:spacing w:before="280" w:after="120"/>
      </w:pPr>
      <w:r>
        <w:rPr>
          <w:rFonts w:ascii="微软雅黑" w:hAnsi="微软雅黑" w:eastAsia="微软雅黑"/>
          <w:color w:val="1F3B63"/>
          <w:sz w:val="30"/>
        </w:rPr>
        <w:t>七、作者本人的工作与收获</w:t>
      </w:r>
    </w:p>
    <w:p>
      <w:pPr>
        <w:spacing w:after="80" w:line="336" w:lineRule="auto"/>
        <w:ind w:left="420"/>
      </w:pPr>
      <w:r>
        <w:rPr>
          <w:rFonts w:ascii="微软雅黑" w:hAnsi="微软雅黑" w:eastAsia="微软雅黑"/>
          <w:b w:val="0"/>
          <w:sz w:val="21"/>
        </w:rPr>
        <w:t>本项目采用「工具执行、作者审核与深挖」的工作方式：数据处理与分析代码在人工智能工具的协助下实现，作者负责需求提出、方案把关、过程核对与独立验证。本章说明作者具体完成了哪些工作、以及由此获得的收获。</w:t>
      </w:r>
    </w:p>
    <w:p>
      <w:pPr>
        <w:pStyle w:val="Heading2"/>
        <w:spacing w:before="200" w:after="120"/>
      </w:pPr>
      <w:r>
        <w:rPr>
          <w:rFonts w:ascii="微软雅黑" w:hAnsi="微软雅黑" w:eastAsia="微软雅黑"/>
          <w:color w:val="1F3B63"/>
          <w:sz w:val="25"/>
        </w:rPr>
        <w:t>7.1　作者在项目实施中的工作</w:t>
      </w:r>
    </w:p>
    <w:p>
      <w:pPr>
        <w:spacing w:after="80" w:line="336" w:lineRule="auto"/>
        <w:ind w:left="420"/>
      </w:pPr>
      <w:r>
        <w:rPr>
          <w:rFonts w:ascii="微软雅黑" w:hAnsi="微软雅黑" w:eastAsia="微软雅黑"/>
          <w:b/>
          <w:sz w:val="21"/>
        </w:rPr>
        <w:t>7.1.1　数据获取与过程核对</w:t>
      </w:r>
    </w:p>
    <w:p>
      <w:pPr>
        <w:pStyle w:val="ListBullet"/>
        <w:spacing w:after="40"/>
        <w:ind w:left="510"/>
      </w:pPr>
      <w:r>
        <w:rPr>
          <w:rFonts w:ascii="微软雅黑" w:hAnsi="微软雅黑" w:eastAsia="微软雅黑"/>
          <w:b w:val="0"/>
          <w:sz w:val="19"/>
        </w:rPr>
        <w:t>运行全部数据抓取与清洗脚本，并逐阶段核对输出结果</w:t>
      </w:r>
    </w:p>
    <w:p>
      <w:pPr>
        <w:pStyle w:val="ListBullet"/>
        <w:spacing w:after="40"/>
        <w:ind w:left="510"/>
      </w:pPr>
      <w:r>
        <w:rPr>
          <w:rFonts w:ascii="微软雅黑" w:hAnsi="微软雅黑" w:eastAsia="微软雅黑"/>
          <w:b w:val="0"/>
          <w:sz w:val="19"/>
        </w:rPr>
        <w:t>对股票代码校验中发现的 3 处问题（大富科技代码误提取、东富龙文件与内容不符、包头天和磁材代码为空）逐条确认处理方式</w:t>
      </w:r>
    </w:p>
    <w:p>
      <w:pPr>
        <w:pStyle w:val="ListBullet"/>
        <w:spacing w:after="40"/>
        <w:ind w:left="510"/>
      </w:pPr>
      <w:r>
        <w:rPr>
          <w:rFonts w:ascii="微软雅黑" w:hAnsi="微软雅黑" w:eastAsia="微软雅黑"/>
          <w:b w:val="0"/>
          <w:sz w:val="19"/>
        </w:rPr>
        <w:t>对样本量异常塌缩（由 1,500 降至 249 个观测）的现象提出疑问并参与定位，最终确认原因是「销售毛利率」变量 2019 年后完全缺失</w:t>
      </w:r>
    </w:p>
    <w:p>
      <w:pPr>
        <w:spacing w:after="80" w:line="336" w:lineRule="auto"/>
        <w:ind w:left="420"/>
      </w:pPr>
      <w:r>
        <w:rPr>
          <w:rFonts w:ascii="微软雅黑" w:hAnsi="微软雅黑" w:eastAsia="微软雅黑"/>
          <w:b/>
          <w:sz w:val="21"/>
        </w:rPr>
        <w:t>7.1.2　方案决策的把关</w:t>
      </w:r>
    </w:p>
    <w:p>
      <w:pPr>
        <w:pStyle w:val="ListBullet"/>
        <w:spacing w:after="40"/>
        <w:ind w:left="510"/>
      </w:pPr>
      <w:r>
        <w:rPr>
          <w:rFonts w:ascii="微软雅黑" w:hAnsi="微软雅黑" w:eastAsia="微软雅黑"/>
          <w:b w:val="0"/>
          <w:sz w:val="19"/>
        </w:rPr>
        <w:t>在计量工具选择上，查阅 Stata 正版定价（官方学生版 48 美元/半年、中国区官方代理约 1,000 元），识别并排除了两个破解下载站点，最终与项目联系人确认采用功能等价的 Python 实现，同时保留可运行的 do 文件与数据</w:t>
      </w:r>
    </w:p>
    <w:p>
      <w:pPr>
        <w:pStyle w:val="ListBullet"/>
        <w:spacing w:after="40"/>
        <w:ind w:left="510"/>
      </w:pPr>
      <w:r>
        <w:rPr>
          <w:rFonts w:ascii="微软雅黑" w:hAnsi="微软雅黑" w:eastAsia="微软雅黑"/>
          <w:b w:val="0"/>
          <w:sz w:val="19"/>
        </w:rPr>
        <w:t>确认语义特征提取的提示词迭代方向，审核四版提示词的评分锚点与正交性检验方案</w:t>
      </w:r>
    </w:p>
    <w:p>
      <w:pPr>
        <w:spacing w:after="80" w:line="336" w:lineRule="auto"/>
        <w:ind w:left="420"/>
      </w:pPr>
      <w:r>
        <w:rPr>
          <w:rFonts w:ascii="微软雅黑" w:hAnsi="微软雅黑" w:eastAsia="微软雅黑"/>
          <w:b/>
          <w:sz w:val="21"/>
        </w:rPr>
        <w:t>7.1.3　对分析结果的审核与质疑</w:t>
      </w:r>
    </w:p>
    <w:p>
      <w:pPr>
        <w:spacing w:after="80" w:line="336" w:lineRule="auto"/>
        <w:ind w:left="420"/>
      </w:pPr>
      <w:r>
        <w:rPr>
          <w:rFonts w:ascii="微软雅黑" w:hAnsi="微软雅黑" w:eastAsia="微软雅黑"/>
          <w:b w:val="0"/>
          <w:sz w:val="21"/>
        </w:rPr>
        <w:t>作者在审核过程中提出 30 余项关于方法细节与表述的疑问，其中 6 项直接改变了成果内容：</w:t>
      </w:r>
    </w:p>
    <w:p>
      <w:pPr>
        <w:spacing w:before="120" w:after="40"/>
        <w:jc w:val="center"/>
      </w:pPr>
      <w:r>
        <w:rPr>
          <w:rFonts w:ascii="微软雅黑" w:hAnsi="微软雅黑" w:eastAsia="微软雅黑"/>
          <w:b/>
          <w:sz w:val="19"/>
        </w:rPr>
        <w:t>表 13　作者提出并导致修改的 6 项质疑</w:t>
      </w:r>
    </w:p>
    <w:tbl>
      <w:tblPr>
        <w:tblStyle w:val="TableGrid"/>
        <w:tblW w:type="auto" w:w="0"/>
        <w:jc w:val="center"/>
        <w:tblLook w:firstColumn="1" w:firstRow="1" w:lastColumn="0" w:lastRow="0" w:noHBand="0" w:noVBand="1" w:val="04A0"/>
      </w:tblPr>
      <w:tblGrid>
        <w:gridCol w:w="3213"/>
        <w:gridCol w:w="3213"/>
        <w:gridCol w:w="3213"/>
      </w:tblGrid>
      <w:tr>
        <w:tc>
          <w:tcPr>
            <w:tcW w:type="dxa" w:w="510"/>
            <w:shd w:fill="DCE6F1"/>
          </w:tcPr>
          <w:p>
            <w:r/>
            <w:r>
              <w:rPr>
                <w:rFonts w:ascii="微软雅黑" w:hAnsi="微软雅黑" w:eastAsia="微软雅黑"/>
                <w:b/>
                <w:sz w:val="18"/>
              </w:rPr>
              <w:t>#</w:t>
            </w:r>
          </w:p>
        </w:tc>
        <w:tc>
          <w:tcPr>
            <w:tcW w:type="dxa" w:w="3969"/>
            <w:shd w:fill="DCE6F1"/>
          </w:tcPr>
          <w:p>
            <w:r/>
            <w:r>
              <w:rPr>
                <w:rFonts w:ascii="微软雅黑" w:hAnsi="微软雅黑" w:eastAsia="微软雅黑"/>
                <w:b/>
                <w:sz w:val="18"/>
              </w:rPr>
              <w:t>作者提出的问题</w:t>
            </w:r>
          </w:p>
        </w:tc>
        <w:tc>
          <w:tcPr>
            <w:tcW w:type="dxa" w:w="4819"/>
            <w:shd w:fill="DCE6F1"/>
          </w:tcPr>
          <w:p>
            <w:r/>
            <w:r>
              <w:rPr>
                <w:rFonts w:ascii="微软雅黑" w:hAnsi="微软雅黑" w:eastAsia="微软雅黑"/>
                <w:b/>
                <w:sz w:val="18"/>
              </w:rPr>
              <w:t>产生的结果</w:t>
            </w:r>
          </w:p>
        </w:tc>
      </w:tr>
      <w:tr>
        <w:tc>
          <w:tcPr>
            <w:tcW w:type="dxa" w:w="510"/>
          </w:tcPr>
          <w:p>
            <w:pPr>
              <w:spacing w:after="20"/>
            </w:pPr>
            <w:r/>
            <w:r>
              <w:rPr>
                <w:rFonts w:ascii="微软雅黑" w:hAnsi="微软雅黑" w:eastAsia="微软雅黑"/>
                <w:b w:val="0"/>
                <w:sz w:val="18"/>
              </w:rPr>
              <w:t>1</w:t>
            </w:r>
          </w:p>
        </w:tc>
        <w:tc>
          <w:tcPr>
            <w:tcW w:type="dxa" w:w="3969"/>
          </w:tcPr>
          <w:p>
            <w:pPr>
              <w:spacing w:after="20"/>
            </w:pPr>
            <w:r/>
            <w:r>
              <w:rPr>
                <w:rFonts w:ascii="微软雅黑" w:hAnsi="微软雅黑" w:eastAsia="微软雅黑"/>
                <w:b w:val="0"/>
                <w:sz w:val="18"/>
              </w:rPr>
              <w:t>发现独立性检验输出的两个相关系数矩阵完全相同</w:t>
            </w:r>
          </w:p>
        </w:tc>
        <w:tc>
          <w:tcPr>
            <w:tcW w:type="dxa" w:w="4819"/>
          </w:tcPr>
          <w:p>
            <w:pPr>
              <w:spacing w:after="20"/>
            </w:pPr>
            <w:r/>
            <w:r>
              <w:rPr>
                <w:rFonts w:ascii="微软雅黑" w:hAnsi="微软雅黑" w:eastAsia="微软雅黑"/>
                <w:b w:val="0"/>
                <w:sz w:val="18"/>
              </w:rPr>
              <w:t>定位到检验脚本中的一处实质错误（两个变量被错误地计算为同一份数据），修正后该检验才真实成立</w:t>
            </w:r>
          </w:p>
        </w:tc>
      </w:tr>
      <w:tr>
        <w:tc>
          <w:tcPr>
            <w:tcW w:type="dxa" w:w="510"/>
          </w:tcPr>
          <w:p>
            <w:pPr>
              <w:spacing w:after="20"/>
            </w:pPr>
            <w:r/>
            <w:r>
              <w:rPr>
                <w:rFonts w:ascii="微软雅黑" w:hAnsi="微软雅黑" w:eastAsia="微软雅黑"/>
                <w:b w:val="0"/>
                <w:sz w:val="18"/>
              </w:rPr>
              <w:t>2</w:t>
            </w:r>
          </w:p>
        </w:tc>
        <w:tc>
          <w:tcPr>
            <w:tcW w:type="dxa" w:w="3969"/>
          </w:tcPr>
          <w:p>
            <w:pPr>
              <w:spacing w:after="20"/>
            </w:pPr>
            <w:r/>
            <w:r>
              <w:rPr>
                <w:rFonts w:ascii="微软雅黑" w:hAnsi="微软雅黑" w:eastAsia="微软雅黑"/>
                <w:b w:val="0"/>
                <w:sz w:val="18"/>
              </w:rPr>
              <w:t>指出「增量解释力有限」也可能是观测数据过少所致</w:t>
            </w:r>
          </w:p>
        </w:tc>
        <w:tc>
          <w:tcPr>
            <w:tcW w:type="dxa" w:w="4819"/>
          </w:tcPr>
          <w:p>
            <w:pPr>
              <w:spacing w:after="20"/>
            </w:pPr>
            <w:r/>
            <w:r>
              <w:rPr>
                <w:rFonts w:ascii="微软雅黑" w:hAnsi="微软雅黑" w:eastAsia="微软雅黑"/>
                <w:b w:val="0"/>
                <w:sz w:val="18"/>
              </w:rPr>
              <w:t>该判断被采纳并写入 5.1 节</w:t>
            </w:r>
          </w:p>
        </w:tc>
      </w:tr>
      <w:tr>
        <w:tc>
          <w:tcPr>
            <w:tcW w:type="dxa" w:w="510"/>
          </w:tcPr>
          <w:p>
            <w:pPr>
              <w:spacing w:after="20"/>
            </w:pPr>
            <w:r/>
            <w:r>
              <w:rPr>
                <w:rFonts w:ascii="微软雅黑" w:hAnsi="微软雅黑" w:eastAsia="微软雅黑"/>
                <w:b w:val="0"/>
                <w:sz w:val="18"/>
              </w:rPr>
              <w:t>3</w:t>
            </w:r>
          </w:p>
        </w:tc>
        <w:tc>
          <w:tcPr>
            <w:tcW w:type="dxa" w:w="3969"/>
          </w:tcPr>
          <w:p>
            <w:pPr>
              <w:spacing w:after="20"/>
            </w:pPr>
            <w:r/>
            <w:r>
              <w:rPr>
                <w:rFonts w:ascii="微软雅黑" w:hAnsi="微软雅黑" w:eastAsia="微软雅黑"/>
                <w:b w:val="0"/>
                <w:sz w:val="18"/>
              </w:rPr>
              <w:t>追问：既然（i）证明关系是线性的，（iiii）为何使用随机森林？两者是否矛盾</w:t>
            </w:r>
          </w:p>
        </w:tc>
        <w:tc>
          <w:tcPr>
            <w:tcW w:type="dxa" w:w="4819"/>
          </w:tcPr>
          <w:p>
            <w:pPr>
              <w:spacing w:after="20"/>
            </w:pPr>
            <w:r/>
            <w:r>
              <w:rPr>
                <w:rFonts w:ascii="微软雅黑" w:hAnsi="微软雅黑" w:eastAsia="微软雅黑"/>
                <w:b w:val="0"/>
                <w:sz w:val="18"/>
              </w:rPr>
              <w:t>促使明确「线性是（i）的结论、随机森林是（iiii）的工具」这一区分，成为结果解读的关键说明</w:t>
            </w:r>
          </w:p>
        </w:tc>
      </w:tr>
      <w:tr>
        <w:tc>
          <w:tcPr>
            <w:tcW w:type="dxa" w:w="510"/>
          </w:tcPr>
          <w:p>
            <w:pPr>
              <w:spacing w:after="20"/>
            </w:pPr>
            <w:r/>
            <w:r>
              <w:rPr>
                <w:rFonts w:ascii="微软雅黑" w:hAnsi="微软雅黑" w:eastAsia="微软雅黑"/>
                <w:b w:val="0"/>
                <w:sz w:val="18"/>
              </w:rPr>
              <w:t>4</w:t>
            </w:r>
          </w:p>
        </w:tc>
        <w:tc>
          <w:tcPr>
            <w:tcW w:type="dxa" w:w="3969"/>
          </w:tcPr>
          <w:p>
            <w:pPr>
              <w:spacing w:after="20"/>
            </w:pPr>
            <w:r/>
            <w:r>
              <w:rPr>
                <w:rFonts w:ascii="微软雅黑" w:hAnsi="微软雅黑" w:eastAsia="微软雅黑"/>
                <w:b w:val="0"/>
                <w:sz w:val="18"/>
              </w:rPr>
              <w:t>追问：（ii）（iii）（iiii）的 x 与 y 各不相同，为何称使用了同一种方法</w:t>
            </w:r>
          </w:p>
        </w:tc>
        <w:tc>
          <w:tcPr>
            <w:tcW w:type="dxa" w:w="4819"/>
          </w:tcPr>
          <w:p>
            <w:pPr>
              <w:spacing w:after="20"/>
            </w:pPr>
            <w:r/>
            <w:r>
              <w:rPr>
                <w:rFonts w:ascii="微软雅黑" w:hAnsi="微软雅黑" w:eastAsia="微软雅黑"/>
                <w:b w:val="0"/>
                <w:sz w:val="18"/>
              </w:rPr>
              <w:t>暴露出原稿对「方法」一词的表述不清，改写为「分析流程不变、x 与 y 可变」的框架</w:t>
            </w:r>
          </w:p>
        </w:tc>
      </w:tr>
      <w:tr>
        <w:tc>
          <w:tcPr>
            <w:tcW w:type="dxa" w:w="510"/>
          </w:tcPr>
          <w:p>
            <w:pPr>
              <w:spacing w:after="20"/>
            </w:pPr>
            <w:r/>
            <w:r>
              <w:rPr>
                <w:rFonts w:ascii="微软雅黑" w:hAnsi="微软雅黑" w:eastAsia="微软雅黑"/>
                <w:b w:val="0"/>
                <w:sz w:val="18"/>
              </w:rPr>
              <w:t>5</w:t>
            </w:r>
          </w:p>
        </w:tc>
        <w:tc>
          <w:tcPr>
            <w:tcW w:type="dxa" w:w="3969"/>
          </w:tcPr>
          <w:p>
            <w:pPr>
              <w:spacing w:after="20"/>
            </w:pPr>
            <w:r/>
            <w:r>
              <w:rPr>
                <w:rFonts w:ascii="微软雅黑" w:hAnsi="微软雅黑" w:eastAsia="微软雅黑"/>
                <w:b w:val="0"/>
                <w:sz w:val="18"/>
              </w:rPr>
              <w:t>追问：数据准备阶段为何不填观测数与年份范围</w:t>
            </w:r>
          </w:p>
        </w:tc>
        <w:tc>
          <w:tcPr>
            <w:tcW w:type="dxa" w:w="4819"/>
          </w:tcPr>
          <w:p>
            <w:pPr>
              <w:spacing w:after="20"/>
            </w:pPr>
            <w:r/>
            <w:r>
              <w:rPr>
                <w:rFonts w:ascii="微软雅黑" w:hAnsi="微软雅黑" w:eastAsia="微软雅黑"/>
                <w:b w:val="0"/>
                <w:sz w:val="18"/>
              </w:rPr>
              <w:t>补充了表 4 的注释，说明样本结构在合并前尚未形成</w:t>
            </w:r>
          </w:p>
        </w:tc>
      </w:tr>
      <w:tr>
        <w:tc>
          <w:tcPr>
            <w:tcW w:type="dxa" w:w="510"/>
          </w:tcPr>
          <w:p>
            <w:pPr>
              <w:spacing w:after="20"/>
            </w:pPr>
            <w:r/>
            <w:r>
              <w:rPr>
                <w:rFonts w:ascii="微软雅黑" w:hAnsi="微软雅黑" w:eastAsia="微软雅黑"/>
                <w:b w:val="0"/>
                <w:sz w:val="18"/>
              </w:rPr>
              <w:t>6</w:t>
            </w:r>
          </w:p>
        </w:tc>
        <w:tc>
          <w:tcPr>
            <w:tcW w:type="dxa" w:w="3969"/>
          </w:tcPr>
          <w:p>
            <w:pPr>
              <w:spacing w:after="20"/>
            </w:pPr>
            <w:r/>
            <w:r>
              <w:rPr>
                <w:rFonts w:ascii="微软雅黑" w:hAnsi="微软雅黑" w:eastAsia="微软雅黑"/>
                <w:b w:val="0"/>
                <w:sz w:val="18"/>
              </w:rPr>
              <w:t>在人工评分检验中发现跨领域整合度的人机一致性仅 0.184</w:t>
            </w:r>
          </w:p>
        </w:tc>
        <w:tc>
          <w:tcPr>
            <w:tcW w:type="dxa" w:w="4819"/>
          </w:tcPr>
          <w:p>
            <w:pPr>
              <w:spacing w:after="20"/>
            </w:pPr>
            <w:r/>
            <w:r>
              <w:rPr>
                <w:rFonts w:ascii="微软雅黑" w:hAnsi="微软雅黑" w:eastAsia="微软雅黑"/>
                <w:b w:val="0"/>
                <w:sz w:val="18"/>
              </w:rPr>
              <w:t>见 4.3 节，构成对主结论的实质性保留</w:t>
            </w:r>
          </w:p>
        </w:tc>
      </w:tr>
    </w:tbl>
    <w:p>
      <w:pPr>
        <w:spacing w:after="40"/>
      </w:pPr>
    </w:p>
    <w:p>
      <w:pPr>
        <w:spacing w:after="80" w:line="336" w:lineRule="auto"/>
        <w:ind w:left="420"/>
      </w:pPr>
      <w:r>
        <w:rPr>
          <w:rFonts w:ascii="微软雅黑" w:hAnsi="微软雅黑" w:eastAsia="微软雅黑"/>
          <w:b/>
          <w:sz w:val="21"/>
        </w:rPr>
        <w:t>7.1.4　独立完成的验证工作</w:t>
      </w:r>
    </w:p>
    <w:p>
      <w:pPr>
        <w:spacing w:after="80" w:line="336" w:lineRule="auto"/>
        <w:ind w:left="420"/>
      </w:pPr>
      <w:r>
        <w:rPr>
          <w:rFonts w:ascii="微软雅黑" w:hAnsi="微软雅黑" w:eastAsia="微软雅黑"/>
          <w:b w:val="0"/>
          <w:sz w:val="21"/>
        </w:rPr>
        <w:t>4.3 节「语义打分的人工可靠性检验」由作者独立完成：自行设计验证方案、随机抽取 15 条专利、在不知晓模型评分的条件下独立打分、完成比对与归因分析。该节提出的结论（核心解释变量的测量可靠性不足）直接影响了本文对主结论的评价。</w:t>
      </w:r>
    </w:p>
    <w:p>
      <w:pPr>
        <w:pStyle w:val="Heading2"/>
        <w:spacing w:before="200" w:after="120"/>
      </w:pPr>
      <w:r>
        <w:rPr>
          <w:rFonts w:ascii="微软雅黑" w:hAnsi="微软雅黑" w:eastAsia="微软雅黑"/>
          <w:color w:val="1F3B63"/>
          <w:sz w:val="25"/>
        </w:rPr>
        <w:t>7.2　学习收获</w:t>
      </w:r>
    </w:p>
    <w:p>
      <w:pPr>
        <w:spacing w:after="80" w:line="336" w:lineRule="auto"/>
        <w:ind w:left="420"/>
      </w:pPr>
      <w:r>
        <w:rPr>
          <w:rFonts w:ascii="微软雅黑" w:hAnsi="微软雅黑" w:eastAsia="微软雅黑"/>
          <w:b w:val="0"/>
          <w:sz w:val="21"/>
        </w:rPr>
        <w:t>作者此前未接触过计量经济学与实证研究流程。通过本项目，在以下方面建立了初步认识。</w:t>
      </w:r>
    </w:p>
    <w:p>
      <w:pPr>
        <w:spacing w:after="80" w:line="336" w:lineRule="auto"/>
        <w:ind w:left="420"/>
      </w:pPr>
      <w:r>
        <w:rPr>
          <w:rFonts w:ascii="微软雅黑" w:hAnsi="微软雅黑" w:eastAsia="微软雅黑"/>
          <w:b/>
          <w:sz w:val="21"/>
        </w:rPr>
        <w:t>（1）实证研究的完整链条。</w:t>
      </w:r>
    </w:p>
    <w:p>
      <w:pPr>
        <w:spacing w:after="80" w:line="336" w:lineRule="auto"/>
        <w:ind w:left="420"/>
      </w:pPr>
      <w:r>
        <w:rPr>
          <w:rFonts w:ascii="微软雅黑" w:hAnsi="微软雅黑" w:eastAsia="微软雅黑"/>
          <w:b w:val="0"/>
          <w:sz w:val="21"/>
        </w:rPr>
        <w:t>从原始资料出发，需要依次完成：确定分析单位（专利级还是公司级还是公司—年份级）、由原始数据聚合出特征、将不同来源的数据按共同键合并、选择合适的估计方法、最后才是结论与局限。其中「确定分析单位」这一步决定后续全部设计。</w:t>
      </w:r>
    </w:p>
    <w:p>
      <w:pPr>
        <w:spacing w:after="80" w:line="336" w:lineRule="auto"/>
        <w:ind w:left="420"/>
      </w:pPr>
      <w:r>
        <w:rPr>
          <w:rFonts w:ascii="微软雅黑" w:hAnsi="微软雅黑" w:eastAsia="微软雅黑"/>
          <w:b/>
          <w:sz w:val="21"/>
        </w:rPr>
        <w:t>（2）固定效应的作用。</w:t>
      </w:r>
    </w:p>
    <w:p>
      <w:pPr>
        <w:spacing w:after="80" w:line="336" w:lineRule="auto"/>
        <w:ind w:left="420"/>
      </w:pPr>
      <w:r>
        <w:rPr>
          <w:rFonts w:ascii="微软雅黑" w:hAnsi="微软雅黑" w:eastAsia="微软雅黑"/>
          <w:b w:val="0"/>
          <w:sz w:val="21"/>
        </w:rPr>
        <w:t>理解了控制企业、年份、行业×年份、地区×年份四类固定效应的意义：把各类共同冲击（企业自身禀赋、年度环境、行业与地区的时变因素）提前扣除，避免将其误认为解释变量的作用。</w:t>
      </w:r>
    </w:p>
    <w:p>
      <w:pPr>
        <w:spacing w:after="80" w:line="336" w:lineRule="auto"/>
        <w:ind w:left="420"/>
      </w:pPr>
      <w:r>
        <w:rPr>
          <w:rFonts w:ascii="微软雅黑" w:hAnsi="微软雅黑" w:eastAsia="微软雅黑"/>
          <w:b/>
          <w:sz w:val="21"/>
        </w:rPr>
        <w:t>（3）因果识别的基本概念。</w:t>
      </w:r>
    </w:p>
    <w:p>
      <w:pPr>
        <w:spacing w:after="80" w:line="336" w:lineRule="auto"/>
        <w:ind w:left="420"/>
      </w:pPr>
      <w:r>
        <w:rPr>
          <w:rFonts w:ascii="微软雅黑" w:hAnsi="微软雅黑" w:eastAsia="微软雅黑"/>
          <w:b w:val="0"/>
          <w:sz w:val="21"/>
        </w:rPr>
        <w:t>理解了内生性的三个来源（反向因果、遗漏变量、测量误差），以及高维固定效应、滞后一期检验、双重机器学习各自能够处理其中的哪一部分、哪些部分无法处理。</w:t>
      </w:r>
    </w:p>
    <w:p>
      <w:pPr>
        <w:spacing w:after="80" w:line="336" w:lineRule="auto"/>
        <w:ind w:left="420"/>
      </w:pPr>
      <w:r>
        <w:rPr>
          <w:rFonts w:ascii="微软雅黑" w:hAnsi="微软雅黑" w:eastAsia="微软雅黑"/>
          <w:b/>
          <w:sz w:val="21"/>
        </w:rPr>
        <w:t>（4）测量可靠性的重要性 —— 本项目最重要的收获。</w:t>
      </w:r>
    </w:p>
    <w:p>
      <w:pPr>
        <w:spacing w:after="80" w:line="336" w:lineRule="auto"/>
        <w:ind w:left="420"/>
      </w:pPr>
      <w:r>
        <w:rPr>
          <w:rFonts w:ascii="微软雅黑" w:hAnsi="微软雅黑" w:eastAsia="微软雅黑"/>
          <w:b w:val="0"/>
          <w:sz w:val="21"/>
        </w:rPr>
        <w:t>一个回归结果是否可信，首先取决于核心指标的测量是否可靠。在 4.3 节的人工检验中，跨领域整合度的人机一致性仅为 0.184，而它正是主回归的核心解释变量。这意味着 -4.14 这一估计值的可信度取决于该指标的测量质量，而不取决于回归方法本身。这一认识是作者在本项目中最主要的收获。</w:t>
      </w:r>
    </w:p>
    <w:p>
      <w:pPr>
        <w:spacing w:after="80" w:line="336" w:lineRule="auto"/>
        <w:ind w:left="420"/>
      </w:pPr>
      <w:r>
        <w:rPr>
          <w:rFonts w:ascii="微软雅黑" w:hAnsi="微软雅黑" w:eastAsia="微软雅黑"/>
          <w:b/>
          <w:sz w:val="21"/>
        </w:rPr>
        <w:t>（5）工具与判断的关系。</w:t>
      </w:r>
    </w:p>
    <w:p>
      <w:pPr>
        <w:spacing w:after="80" w:line="336" w:lineRule="auto"/>
        <w:ind w:left="420"/>
      </w:pPr>
      <w:r>
        <w:rPr>
          <w:rFonts w:ascii="微软雅黑" w:hAnsi="微软雅黑" w:eastAsia="微软雅黑"/>
          <w:b w:val="0"/>
          <w:sz w:val="21"/>
        </w:rPr>
        <w:t>工具可以高效地完成执行层面的工作，但「这个定义是否清楚」「这个结果是否可信」「这里可能哪里出错」这类判断无法由工具代替，只能由研究者提出。本项目中作者提出的 30 余项质疑，多数指向原稿的表述漏洞或方法细节不清之处，其中 1 项定位到了脚本中的实际错误。</w:t>
      </w:r>
    </w:p>
    <w:p>
      <w:pPr>
        <w:pStyle w:val="Heading2"/>
        <w:spacing w:before="200" w:after="120"/>
      </w:pPr>
      <w:r>
        <w:rPr>
          <w:rFonts w:ascii="微软雅黑" w:hAnsi="微软雅黑" w:eastAsia="微软雅黑"/>
          <w:color w:val="1F3B63"/>
          <w:sz w:val="25"/>
        </w:rPr>
        <w:t>7.3　关于工具使用的说明</w:t>
      </w:r>
    </w:p>
    <w:p>
      <w:pPr>
        <w:spacing w:after="80" w:line="336" w:lineRule="auto"/>
        <w:ind w:left="420"/>
      </w:pPr>
      <w:r>
        <w:rPr>
          <w:rFonts w:ascii="微软雅黑" w:hAnsi="微软雅黑" w:eastAsia="微软雅黑"/>
          <w:b w:val="0"/>
          <w:sz w:val="21"/>
        </w:rPr>
        <w:t>本项目的分析代码与报告初稿在人工智能工具的协助下生成，作者负责需求提出、方案审核、过程核对与独立验证。作者认为这一工作方式本身并不构成问题，关键在于研究者是否对结论承担责任 —— 包括能否指出结果的适用边界、能否发现工具输出中的错误。</w:t>
      </w:r>
    </w:p>
    <w:p>
      <w:pPr>
        <w:spacing w:after="80" w:line="336" w:lineRule="auto"/>
        <w:ind w:left="420"/>
      </w:pPr>
      <w:r>
        <w:rPr>
          <w:rFonts w:ascii="微软雅黑" w:hAnsi="微软雅黑" w:eastAsia="微软雅黑"/>
          <w:b w:val="0"/>
          <w:sz w:val="21"/>
        </w:rPr>
        <w:t>4.3 节的验证工作与 7.1.3 节列出的质疑，是作者对这一责任的履行；而 5.3 节第（5）条关于核心指标测量可靠性的保留，则说明作者对本文结论持有的是有边界的判断，而非无保留的接受。</w:t>
      </w:r>
    </w:p>
    <w:p>
      <w:pPr>
        <w:pStyle w:val="Heading1"/>
        <w:spacing w:before="280" w:after="120"/>
      </w:pPr>
      <w:r>
        <w:rPr>
          <w:rFonts w:ascii="微软雅黑" w:hAnsi="微软雅黑" w:eastAsia="微软雅黑"/>
          <w:color w:val="1F3B63"/>
          <w:sz w:val="30"/>
        </w:rPr>
        <w:t>附件 A　提示词版本说明</w:t>
      </w:r>
    </w:p>
    <w:p>
      <w:pPr>
        <w:spacing w:after="80" w:line="336" w:lineRule="auto"/>
        <w:ind w:left="420"/>
      </w:pPr>
      <w:r>
        <w:rPr>
          <w:rFonts w:ascii="微软雅黑" w:hAnsi="微软雅黑" w:eastAsia="微软雅黑"/>
          <w:b w:val="0"/>
          <w:sz w:val="21"/>
        </w:rPr>
        <w:t>四版提示词全文见项目目录 prompts/prompt_v1.txt ~ prompt_v4.txt。各版本改动与效果如下。</w:t>
      </w:r>
    </w:p>
    <w:p>
      <w:pPr>
        <w:spacing w:before="120" w:after="40"/>
        <w:jc w:val="center"/>
      </w:pPr>
      <w:r>
        <w:rPr>
          <w:rFonts w:ascii="微软雅黑" w:hAnsi="微软雅黑" w:eastAsia="微软雅黑"/>
          <w:b/>
          <w:sz w:val="19"/>
        </w:rPr>
        <w:t>表 A1　提示词四版迭代</w:t>
      </w:r>
    </w:p>
    <w:tbl>
      <w:tblPr>
        <w:tblStyle w:val="TableGrid"/>
        <w:tblW w:type="auto" w:w="0"/>
        <w:jc w:val="center"/>
        <w:tblLook w:firstColumn="1" w:firstRow="1" w:lastColumn="0" w:lastRow="0" w:noHBand="0" w:noVBand="1" w:val="04A0"/>
      </w:tblPr>
      <w:tblGrid>
        <w:gridCol w:w="3213"/>
        <w:gridCol w:w="3213"/>
        <w:gridCol w:w="3213"/>
      </w:tblGrid>
      <w:tr>
        <w:tc>
          <w:tcPr>
            <w:tcW w:type="dxa" w:w="794"/>
            <w:shd w:fill="DCE6F1"/>
          </w:tcPr>
          <w:p>
            <w:r/>
            <w:r>
              <w:rPr>
                <w:rFonts w:ascii="微软雅黑" w:hAnsi="微软雅黑" w:eastAsia="微软雅黑"/>
                <w:b/>
                <w:sz w:val="18"/>
              </w:rPr>
              <w:t>版本</w:t>
            </w:r>
          </w:p>
        </w:tc>
        <w:tc>
          <w:tcPr>
            <w:tcW w:type="dxa" w:w="5102"/>
            <w:shd w:fill="DCE6F1"/>
          </w:tcPr>
          <w:p>
            <w:r/>
            <w:r>
              <w:rPr>
                <w:rFonts w:ascii="微软雅黑" w:hAnsi="微软雅黑" w:eastAsia="微软雅黑"/>
                <w:b/>
                <w:sz w:val="18"/>
              </w:rPr>
              <w:t>改动</w:t>
            </w:r>
          </w:p>
        </w:tc>
        <w:tc>
          <w:tcPr>
            <w:tcW w:type="dxa" w:w="3742"/>
            <w:shd w:fill="DCE6F1"/>
          </w:tcPr>
          <w:p>
            <w:r/>
            <w:r>
              <w:rPr>
                <w:rFonts w:ascii="微软雅黑" w:hAnsi="微软雅黑" w:eastAsia="微软雅黑"/>
                <w:b/>
                <w:sz w:val="18"/>
              </w:rPr>
              <w:t>效果</w:t>
            </w:r>
          </w:p>
        </w:tc>
      </w:tr>
      <w:tr>
        <w:tc>
          <w:tcPr>
            <w:tcW w:type="dxa" w:w="794"/>
          </w:tcPr>
          <w:p>
            <w:pPr>
              <w:spacing w:after="20"/>
            </w:pPr>
            <w:r/>
            <w:r>
              <w:rPr>
                <w:rFonts w:ascii="微软雅黑" w:hAnsi="微软雅黑" w:eastAsia="微软雅黑"/>
                <w:b w:val="0"/>
                <w:sz w:val="18"/>
              </w:rPr>
              <w:t>v1</w:t>
            </w:r>
          </w:p>
        </w:tc>
        <w:tc>
          <w:tcPr>
            <w:tcW w:type="dxa" w:w="5102"/>
          </w:tcPr>
          <w:p>
            <w:pPr>
              <w:spacing w:after="20"/>
            </w:pPr>
            <w:r/>
            <w:r>
              <w:rPr>
                <w:rFonts w:ascii="微软雅黑" w:hAnsi="微软雅黑" w:eastAsia="微软雅黑"/>
                <w:b w:val="0"/>
                <w:sz w:val="18"/>
              </w:rPr>
              <w:t>抽象锚点，1–5 分制</w:t>
            </w:r>
          </w:p>
        </w:tc>
        <w:tc>
          <w:tcPr>
            <w:tcW w:type="dxa" w:w="3742"/>
          </w:tcPr>
          <w:p>
            <w:pPr>
              <w:spacing w:after="20"/>
            </w:pPr>
            <w:r/>
            <w:r>
              <w:rPr>
                <w:rFonts w:ascii="微软雅黑" w:hAnsi="微软雅黑" w:eastAsia="微软雅黑"/>
                <w:b w:val="0"/>
                <w:sz w:val="18"/>
              </w:rPr>
              <w:t>85% 打 3 分，缺乏区分度</w:t>
            </w:r>
          </w:p>
        </w:tc>
      </w:tr>
      <w:tr>
        <w:tc>
          <w:tcPr>
            <w:tcW w:type="dxa" w:w="794"/>
          </w:tcPr>
          <w:p>
            <w:pPr>
              <w:spacing w:after="20"/>
            </w:pPr>
            <w:r/>
            <w:r>
              <w:rPr>
                <w:rFonts w:ascii="微软雅黑" w:hAnsi="微软雅黑" w:eastAsia="微软雅黑"/>
                <w:b w:val="0"/>
                <w:sz w:val="18"/>
              </w:rPr>
              <w:t>v2</w:t>
            </w:r>
          </w:p>
        </w:tc>
        <w:tc>
          <w:tcPr>
            <w:tcW w:type="dxa" w:w="5102"/>
          </w:tcPr>
          <w:p>
            <w:pPr>
              <w:spacing w:after="20"/>
            </w:pPr>
            <w:r/>
            <w:r>
              <w:rPr>
                <w:rFonts w:ascii="微软雅黑" w:hAnsi="微软雅黑" w:eastAsia="微软雅黑"/>
                <w:b w:val="0"/>
                <w:sz w:val="18"/>
              </w:rPr>
              <w:t>增加 few-shot 示例</w:t>
            </w:r>
          </w:p>
        </w:tc>
        <w:tc>
          <w:tcPr>
            <w:tcW w:type="dxa" w:w="3742"/>
          </w:tcPr>
          <w:p>
            <w:pPr>
              <w:spacing w:after="20"/>
            </w:pPr>
            <w:r/>
            <w:r>
              <w:rPr>
                <w:rFonts w:ascii="微软雅黑" w:hAnsi="微软雅黑" w:eastAsia="微软雅黑"/>
                <w:b w:val="0"/>
                <w:sz w:val="18"/>
              </w:rPr>
              <w:t>仍约 75% 打 3 分，未见改善</w:t>
            </w:r>
          </w:p>
        </w:tc>
      </w:tr>
      <w:tr>
        <w:tc>
          <w:tcPr>
            <w:tcW w:type="dxa" w:w="794"/>
          </w:tcPr>
          <w:p>
            <w:pPr>
              <w:spacing w:after="20"/>
            </w:pPr>
            <w:r/>
            <w:r>
              <w:rPr>
                <w:rFonts w:ascii="微软雅黑" w:hAnsi="微软雅黑" w:eastAsia="微软雅黑"/>
                <w:b w:val="0"/>
                <w:sz w:val="18"/>
              </w:rPr>
              <w:t>v3</w:t>
            </w:r>
          </w:p>
        </w:tc>
        <w:tc>
          <w:tcPr>
            <w:tcW w:type="dxa" w:w="5102"/>
          </w:tcPr>
          <w:p>
            <w:pPr>
              <w:spacing w:after="20"/>
            </w:pPr>
            <w:r/>
            <w:r>
              <w:rPr>
                <w:rFonts w:ascii="微软雅黑" w:hAnsi="微软雅黑" w:eastAsia="微软雅黑"/>
                <w:b w:val="0"/>
                <w:sz w:val="18"/>
              </w:rPr>
              <w:t>改为 1–10 分制；加入专利类型线索；增加反聚集指令</w:t>
            </w:r>
          </w:p>
        </w:tc>
        <w:tc>
          <w:tcPr>
            <w:tcW w:type="dxa" w:w="3742"/>
          </w:tcPr>
          <w:p>
            <w:pPr>
              <w:spacing w:after="20"/>
            </w:pPr>
            <w:r/>
            <w:r>
              <w:rPr>
                <w:rFonts w:ascii="微软雅黑" w:hAnsi="微软雅黑" w:eastAsia="微软雅黑"/>
                <w:b w:val="0"/>
                <w:sz w:val="18"/>
              </w:rPr>
              <w:t>取值种类从 3 种提升至 8 种，标准差升至 2.14</w:t>
            </w:r>
          </w:p>
        </w:tc>
      </w:tr>
      <w:tr>
        <w:tc>
          <w:tcPr>
            <w:tcW w:type="dxa" w:w="794"/>
          </w:tcPr>
          <w:p>
            <w:pPr>
              <w:spacing w:after="20"/>
            </w:pPr>
            <w:r/>
            <w:r>
              <w:rPr>
                <w:rFonts w:ascii="微软雅黑" w:hAnsi="微软雅黑" w:eastAsia="微软雅黑"/>
                <w:b w:val="0"/>
                <w:sz w:val="18"/>
              </w:rPr>
              <w:t>v4</w:t>
            </w:r>
          </w:p>
        </w:tc>
        <w:tc>
          <w:tcPr>
            <w:tcW w:type="dxa" w:w="5102"/>
          </w:tcPr>
          <w:p>
            <w:pPr>
              <w:spacing w:after="20"/>
            </w:pPr>
            <w:r/>
            <w:r>
              <w:rPr>
                <w:rFonts w:ascii="微软雅黑" w:hAnsi="微软雅黑" w:eastAsia="微软雅黑"/>
                <w:b w:val="0"/>
                <w:sz w:val="18"/>
              </w:rPr>
              <w:t>修正「商业化距离」定义：明确该维度与技术含量无关，外观设计应给 1–2 分</w:t>
            </w:r>
          </w:p>
        </w:tc>
        <w:tc>
          <w:tcPr>
            <w:tcW w:type="dxa" w:w="3742"/>
          </w:tcPr>
          <w:p>
            <w:pPr>
              <w:spacing w:after="20"/>
            </w:pPr>
            <w:r/>
            <w:r>
              <w:rPr>
                <w:rFonts w:ascii="微软雅黑" w:hAnsi="微软雅黑" w:eastAsia="微软雅黑"/>
                <w:b w:val="0"/>
                <w:sz w:val="18"/>
              </w:rPr>
              <w:t>采用为最终版本</w:t>
            </w:r>
          </w:p>
        </w:tc>
      </w:tr>
    </w:tbl>
    <w:p>
      <w:pPr>
        <w:spacing w:after="40"/>
      </w:pPr>
    </w:p>
    <w:p>
      <w:pPr>
        <w:pStyle w:val="Heading1"/>
        <w:spacing w:before="280" w:after="120"/>
      </w:pPr>
      <w:r>
        <w:rPr>
          <w:rFonts w:ascii="微软雅黑" w:hAnsi="微软雅黑" w:eastAsia="微软雅黑"/>
          <w:color w:val="1F3B63"/>
          <w:sz w:val="30"/>
        </w:rPr>
        <w:t>附件 B　数据字典</w:t>
      </w:r>
    </w:p>
    <w:p>
      <w:pPr>
        <w:spacing w:before="120" w:after="40"/>
        <w:jc w:val="center"/>
      </w:pPr>
      <w:r>
        <w:rPr>
          <w:rFonts w:ascii="微软雅黑" w:hAnsi="微软雅黑" w:eastAsia="微软雅黑"/>
          <w:b/>
          <w:sz w:val="19"/>
        </w:rPr>
        <w:t>表 B1　主要变量说明</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fill="DCE6F1"/>
          </w:tcPr>
          <w:p>
            <w:r/>
            <w:r>
              <w:rPr>
                <w:rFonts w:ascii="微软雅黑" w:hAnsi="微软雅黑" w:eastAsia="微软雅黑"/>
                <w:b/>
                <w:sz w:val="18"/>
              </w:rPr>
              <w:t>变量名</w:t>
            </w:r>
          </w:p>
        </w:tc>
        <w:tc>
          <w:tcPr>
            <w:tcW w:type="dxa" w:w="4082"/>
            <w:shd w:fill="DCE6F1"/>
          </w:tcPr>
          <w:p>
            <w:r/>
            <w:r>
              <w:rPr>
                <w:rFonts w:ascii="微软雅黑" w:hAnsi="微软雅黑" w:eastAsia="微软雅黑"/>
                <w:b/>
                <w:sz w:val="18"/>
              </w:rPr>
              <w:t>含义</w:t>
            </w:r>
          </w:p>
        </w:tc>
        <w:tc>
          <w:tcPr>
            <w:tcW w:type="dxa" w:w="3061"/>
            <w:shd w:fill="DCE6F1"/>
          </w:tcPr>
          <w:p>
            <w:r/>
            <w:r>
              <w:rPr>
                <w:rFonts w:ascii="微软雅黑" w:hAnsi="微软雅黑" w:eastAsia="微软雅黑"/>
                <w:b/>
                <w:sz w:val="18"/>
              </w:rPr>
              <w:t>来源</w:t>
            </w:r>
          </w:p>
        </w:tc>
      </w:tr>
      <w:tr>
        <w:tc>
          <w:tcPr>
            <w:tcW w:type="dxa" w:w="2494"/>
          </w:tcPr>
          <w:p>
            <w:pPr>
              <w:spacing w:after="20"/>
            </w:pPr>
            <w:r/>
            <w:r>
              <w:rPr>
                <w:rFonts w:ascii="微软雅黑" w:hAnsi="微软雅黑" w:eastAsia="微软雅黑"/>
                <w:b w:val="0"/>
                <w:sz w:val="18"/>
              </w:rPr>
              <w:t>firm_id / year</w:t>
            </w:r>
          </w:p>
        </w:tc>
        <w:tc>
          <w:tcPr>
            <w:tcW w:type="dxa" w:w="4082"/>
          </w:tcPr>
          <w:p>
            <w:pPr>
              <w:spacing w:after="20"/>
            </w:pPr>
            <w:r/>
            <w:r>
              <w:rPr>
                <w:rFonts w:ascii="微软雅黑" w:hAnsi="微软雅黑" w:eastAsia="微软雅黑"/>
                <w:b w:val="0"/>
                <w:sz w:val="18"/>
              </w:rPr>
              <w:t>企业编号 / 年份</w:t>
            </w:r>
          </w:p>
        </w:tc>
        <w:tc>
          <w:tcPr>
            <w:tcW w:type="dxa" w:w="3061"/>
          </w:tcPr>
          <w:p>
            <w:pPr>
              <w:spacing w:after="20"/>
            </w:pPr>
            <w:r/>
            <w:r>
              <w:rPr>
                <w:rFonts w:ascii="微软雅黑" w:hAnsi="微软雅黑" w:eastAsia="微软雅黑"/>
                <w:b w:val="0"/>
                <w:sz w:val="18"/>
              </w:rPr>
              <w:t>—</w:t>
            </w:r>
          </w:p>
        </w:tc>
      </w:tr>
      <w:tr>
        <w:tc>
          <w:tcPr>
            <w:tcW w:type="dxa" w:w="2494"/>
          </w:tcPr>
          <w:p>
            <w:pPr>
              <w:spacing w:after="20"/>
            </w:pPr>
            <w:r/>
            <w:r>
              <w:rPr>
                <w:rFonts w:ascii="微软雅黑" w:hAnsi="微软雅黑" w:eastAsia="微软雅黑"/>
                <w:b w:val="0"/>
                <w:sz w:val="18"/>
              </w:rPr>
              <w:t>industry / region</w:t>
            </w:r>
          </w:p>
        </w:tc>
        <w:tc>
          <w:tcPr>
            <w:tcW w:type="dxa" w:w="4082"/>
          </w:tcPr>
          <w:p>
            <w:pPr>
              <w:spacing w:after="20"/>
            </w:pPr>
            <w:r/>
            <w:r>
              <w:rPr>
                <w:rFonts w:ascii="微软雅黑" w:hAnsi="微软雅黑" w:eastAsia="微软雅黑"/>
                <w:b w:val="0"/>
                <w:sz w:val="18"/>
              </w:rPr>
              <w:t>行业大类（1–6）/ 地区大区（1–4）</w:t>
            </w:r>
          </w:p>
        </w:tc>
        <w:tc>
          <w:tcPr>
            <w:tcW w:type="dxa" w:w="3061"/>
          </w:tcPr>
          <w:p>
            <w:pPr>
              <w:spacing w:after="20"/>
            </w:pPr>
            <w:r/>
            <w:r>
              <w:rPr>
                <w:rFonts w:ascii="微软雅黑" w:hAnsi="微软雅黑" w:eastAsia="微软雅黑"/>
                <w:b w:val="0"/>
                <w:sz w:val="18"/>
              </w:rPr>
              <w:t>公司_行业地区.csv</w:t>
            </w:r>
          </w:p>
        </w:tc>
      </w:tr>
      <w:tr>
        <w:tc>
          <w:tcPr>
            <w:tcW w:type="dxa" w:w="2494"/>
          </w:tcPr>
          <w:p>
            <w:pPr>
              <w:spacing w:after="20"/>
            </w:pPr>
            <w:r/>
            <w:r>
              <w:rPr>
                <w:rFonts w:ascii="微软雅黑" w:hAnsi="微软雅黑" w:eastAsia="微软雅黑"/>
                <w:b w:val="0"/>
                <w:sz w:val="18"/>
              </w:rPr>
              <w:t>y_sa</w:t>
            </w:r>
          </w:p>
        </w:tc>
        <w:tc>
          <w:tcPr>
            <w:tcW w:type="dxa" w:w="4082"/>
          </w:tcPr>
          <w:p>
            <w:pPr>
              <w:spacing w:after="20"/>
            </w:pPr>
            <w:r/>
            <w:r>
              <w:rPr>
                <w:rFonts w:ascii="微软雅黑" w:hAnsi="微软雅黑" w:eastAsia="微软雅黑"/>
                <w:b w:val="0"/>
                <w:sz w:val="18"/>
              </w:rPr>
              <w:t>SA 融资约束指数（越大越受约束）</w:t>
            </w:r>
          </w:p>
        </w:tc>
        <w:tc>
          <w:tcPr>
            <w:tcW w:type="dxa" w:w="3061"/>
          </w:tcPr>
          <w:p>
            <w:pPr>
              <w:spacing w:after="20"/>
            </w:pPr>
            <w:r/>
            <w:r>
              <w:rPr>
                <w:rFonts w:ascii="微软雅黑" w:hAnsi="微软雅黑" w:eastAsia="微软雅黑"/>
                <w:b w:val="0"/>
                <w:sz w:val="18"/>
              </w:rPr>
              <w:t>按 Hadlock &amp; Pierce (2010) 计算</w:t>
            </w:r>
          </w:p>
        </w:tc>
      </w:tr>
      <w:tr>
        <w:tc>
          <w:tcPr>
            <w:tcW w:type="dxa" w:w="2494"/>
          </w:tcPr>
          <w:p>
            <w:pPr>
              <w:spacing w:after="20"/>
            </w:pPr>
            <w:r/>
            <w:r>
              <w:rPr>
                <w:rFonts w:ascii="微软雅黑" w:hAnsi="微软雅黑" w:eastAsia="微软雅黑"/>
                <w:b w:val="0"/>
                <w:sz w:val="18"/>
              </w:rPr>
              <w:t>y_lev</w:t>
            </w:r>
          </w:p>
        </w:tc>
        <w:tc>
          <w:tcPr>
            <w:tcW w:type="dxa" w:w="4082"/>
          </w:tcPr>
          <w:p>
            <w:pPr>
              <w:spacing w:after="20"/>
            </w:pPr>
            <w:r/>
            <w:r>
              <w:rPr>
                <w:rFonts w:ascii="微软雅黑" w:hAnsi="微软雅黑" w:eastAsia="微软雅黑"/>
                <w:b w:val="0"/>
                <w:sz w:val="18"/>
              </w:rPr>
              <w:t>资产负债率（%）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y_roa</w:t>
            </w:r>
          </w:p>
        </w:tc>
        <w:tc>
          <w:tcPr>
            <w:tcW w:type="dxa" w:w="4082"/>
          </w:tcPr>
          <w:p>
            <w:pPr>
              <w:spacing w:after="20"/>
            </w:pPr>
            <w:r/>
            <w:r>
              <w:rPr>
                <w:rFonts w:ascii="微软雅黑" w:hAnsi="微软雅黑" w:eastAsia="微软雅黑"/>
                <w:b w:val="0"/>
                <w:sz w:val="18"/>
              </w:rPr>
              <w:t>总资产净利润率（%）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y_growth</w:t>
            </w:r>
          </w:p>
        </w:tc>
        <w:tc>
          <w:tcPr>
            <w:tcW w:type="dxa" w:w="4082"/>
          </w:tcPr>
          <w:p>
            <w:pPr>
              <w:spacing w:after="20"/>
            </w:pPr>
            <w:r/>
            <w:r>
              <w:rPr>
                <w:rFonts w:ascii="微软雅黑" w:hAnsi="微软雅黑" w:eastAsia="微软雅黑"/>
                <w:b w:val="0"/>
                <w:sz w:val="18"/>
              </w:rPr>
              <w:t>主营业务收入增长率（%）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x_integration</w:t>
            </w:r>
          </w:p>
        </w:tc>
        <w:tc>
          <w:tcPr>
            <w:tcW w:type="dxa" w:w="4082"/>
          </w:tcPr>
          <w:p>
            <w:pPr>
              <w:spacing w:after="20"/>
            </w:pPr>
            <w:r/>
            <w:r>
              <w:rPr>
                <w:rFonts w:ascii="微软雅黑" w:hAnsi="微软雅黑" w:eastAsia="微软雅黑"/>
                <w:b w:val="0"/>
                <w:sz w:val="18"/>
              </w:rPr>
              <w:t>跨领域整合度（大语言模型语义特征）</w:t>
            </w:r>
          </w:p>
        </w:tc>
        <w:tc>
          <w:tcPr>
            <w:tcW w:type="dxa" w:w="3061"/>
          </w:tcPr>
          <w:p>
            <w:pPr>
              <w:spacing w:after="20"/>
            </w:pPr>
            <w:r/>
            <w:r>
              <w:rPr>
                <w:rFonts w:ascii="微软雅黑" w:hAnsi="微软雅黑" w:eastAsia="微软雅黑"/>
                <w:b w:val="0"/>
                <w:sz w:val="18"/>
              </w:rPr>
              <w:t>llm_scores_v4.csv 聚合</w:t>
            </w:r>
          </w:p>
        </w:tc>
      </w:tr>
      <w:tr>
        <w:tc>
          <w:tcPr>
            <w:tcW w:type="dxa" w:w="2494"/>
          </w:tcPr>
          <w:p>
            <w:pPr>
              <w:spacing w:after="20"/>
            </w:pPr>
            <w:r/>
            <w:r>
              <w:rPr>
                <w:rFonts w:ascii="微软雅黑" w:hAnsi="微软雅黑" w:eastAsia="微软雅黑"/>
                <w:b w:val="0"/>
                <w:sz w:val="18"/>
              </w:rPr>
              <w:t>x_novelty / x_science / x_distance</w:t>
            </w:r>
          </w:p>
        </w:tc>
        <w:tc>
          <w:tcPr>
            <w:tcW w:type="dxa" w:w="4082"/>
          </w:tcPr>
          <w:p>
            <w:pPr>
              <w:spacing w:after="20"/>
            </w:pPr>
            <w:r/>
            <w:r>
              <w:rPr>
                <w:rFonts w:ascii="微软雅黑" w:hAnsi="微软雅黑" w:eastAsia="微软雅黑"/>
                <w:b w:val="0"/>
                <w:sz w:val="18"/>
              </w:rPr>
              <w:t>技术新颖性 / 科学基础强度 / 商业化距离</w:t>
            </w:r>
          </w:p>
        </w:tc>
        <w:tc>
          <w:tcPr>
            <w:tcW w:type="dxa" w:w="3061"/>
          </w:tcPr>
          <w:p>
            <w:pPr>
              <w:spacing w:after="20"/>
            </w:pPr>
            <w:r/>
            <w:r>
              <w:rPr>
                <w:rFonts w:ascii="微软雅黑" w:hAnsi="微软雅黑" w:eastAsia="微软雅黑"/>
                <w:b w:val="0"/>
                <w:sz w:val="18"/>
              </w:rPr>
              <w:t>同上</w:t>
            </w:r>
          </w:p>
        </w:tc>
      </w:tr>
      <w:tr>
        <w:tc>
          <w:tcPr>
            <w:tcW w:type="dxa" w:w="2494"/>
          </w:tcPr>
          <w:p>
            <w:pPr>
              <w:spacing w:after="20"/>
            </w:pPr>
            <w:r/>
            <w:r>
              <w:rPr>
                <w:rFonts w:ascii="微软雅黑" w:hAnsi="微软雅黑" w:eastAsia="微软雅黑"/>
                <w:b w:val="0"/>
                <w:sz w:val="18"/>
              </w:rPr>
              <w:t>ln_patent … ipc_fields</w:t>
            </w:r>
          </w:p>
        </w:tc>
        <w:tc>
          <w:tcPr>
            <w:tcW w:type="dxa" w:w="4082"/>
          </w:tcPr>
          <w:p>
            <w:pPr>
              <w:spacing w:after="20"/>
            </w:pPr>
            <w:r/>
            <w:r>
              <w:rPr>
                <w:rFonts w:ascii="微软雅黑" w:hAnsi="微软雅黑" w:eastAsia="微软雅黑"/>
                <w:b w:val="0"/>
                <w:sz w:val="18"/>
              </w:rPr>
              <w:t>12 个数量类专利特征（控制变量）</w:t>
            </w:r>
          </w:p>
        </w:tc>
        <w:tc>
          <w:tcPr>
            <w:tcW w:type="dxa" w:w="3061"/>
          </w:tcPr>
          <w:p>
            <w:pPr>
              <w:spacing w:after="20"/>
            </w:pPr>
            <w:r/>
            <w:r>
              <w:rPr>
                <w:rFonts w:ascii="微软雅黑" w:hAnsi="微软雅黑" w:eastAsia="微软雅黑"/>
                <w:b w:val="0"/>
                <w:sz w:val="18"/>
              </w:rPr>
              <w:t>公司年度特征.csv</w:t>
            </w:r>
          </w:p>
        </w:tc>
      </w:tr>
    </w:tbl>
    <w:p>
      <w:pPr>
        <w:spacing w:after="40"/>
      </w:pPr>
    </w:p>
    <w:p>
      <w:pPr>
        <w:pStyle w:val="Heading1"/>
        <w:spacing w:before="280" w:after="120"/>
      </w:pPr>
      <w:r>
        <w:rPr>
          <w:rFonts w:ascii="微软雅黑" w:hAnsi="微软雅黑" w:eastAsia="微软雅黑"/>
          <w:color w:val="1F3B63"/>
          <w:sz w:val="30"/>
        </w:rPr>
        <w:t>附件 C　可复现性说明</w:t>
      </w:r>
    </w:p>
    <w:p>
      <w:pPr>
        <w:spacing w:after="80" w:line="336" w:lineRule="auto"/>
        <w:ind w:left="420"/>
      </w:pPr>
      <w:r>
        <w:rPr>
          <w:rFonts w:ascii="微软雅黑" w:hAnsi="微软雅黑" w:eastAsia="微软雅黑"/>
          <w:b w:val="0"/>
          <w:sz w:val="21"/>
        </w:rPr>
        <w:t>运行环境：Windows 11 + Python 3.14.8；主要依赖 pandas、numpy、scikit-learn、pyfixest、requests、akshare，版本见 requirements.txt。</w:t>
      </w:r>
    </w:p>
    <w:p>
      <w:pPr>
        <w:spacing w:after="80" w:line="336" w:lineRule="auto"/>
        <w:ind w:left="420"/>
      </w:pPr>
      <w:r>
        <w:rPr>
          <w:rFonts w:ascii="微软雅黑" w:hAnsi="微软雅黑" w:eastAsia="微软雅黑"/>
          <w:b w:val="0"/>
          <w:sz w:val="21"/>
        </w:rPr>
        <w:t>数据版本：专利明细共 117,711 条；大语言模型打分使用 v4 提示词，共 12,166 条专利级评分，消耗 1,777 万 token，耗时约 50 分钟（WORKERS=10，YEAR_MIN / YEAR_MAX = 2015 / 2025，PER_FIRM_YEAR=10）。</w:t>
      </w:r>
    </w:p>
    <w:p>
      <w:pPr>
        <w:spacing w:after="80" w:line="336" w:lineRule="auto"/>
        <w:ind w:left="420"/>
      </w:pPr>
      <w:r>
        <w:rPr>
          <w:rFonts w:ascii="微软雅黑" w:hAnsi="微软雅黑" w:eastAsia="微软雅黑"/>
          <w:b w:val="0"/>
          <w:sz w:val="21"/>
        </w:rPr>
        <w:t>运行顺序：extract_codes.py → check_codes.py → fetch_financials.py → check_coverage.py → build_patent_table.py → build_dataset.py → model_i.py → score_patents.py → review_scores.py → model_ii.py → fetch_industry_region.py → fetch_found_date.py → build_sa_index.py → model_iiii.py → model_iiii_dml_fixed.py。</w:t>
      </w:r>
    </w:p>
    <w:p>
      <w:pPr>
        <w:spacing w:after="80" w:line="336" w:lineRule="auto"/>
        <w:ind w:left="420"/>
      </w:pPr>
      <w:r>
        <w:rPr>
          <w:rFonts w:ascii="微软雅黑" w:hAnsi="微软雅黑" w:eastAsia="微软雅黑"/>
          <w:b w:val="0"/>
          <w:sz w:val="21"/>
        </w:rPr>
        <w:t>Stata 复现：stata/main_dataset.dta 为 Stata 原生格式数据集（变量名全英文），stata/iiii_regression.do 为完整 do 文件，包含描述性统计、主回归、逐维度回归、滞后检验、聚类层级稳健性检验与结果导出。持有 Stata 授权者运行该 do 文件即可复现 4.4 节的全部结果。</w:t>
      </w:r>
    </w:p>
    <w:p>
      <w:pPr>
        <w:spacing w:after="80" w:line="336" w:lineRule="auto"/>
        <w:ind w:left="420"/>
      </w:pPr>
      <w:r>
        <w:rPr>
          <w:rFonts w:ascii="微软雅黑" w:hAnsi="微软雅黑" w:eastAsia="微软雅黑"/>
          <w:b w:val="0"/>
          <w:sz w:val="21"/>
        </w:rPr>
        <w:t>随机性控制：所有涉及随机划分的步骤均固定随机种子（seed=42）；大语言模型打分使用 temperature=0。</w:t>
      </w:r>
    </w:p>
    <w:p>
      <w:pPr>
        <w:pStyle w:val="Heading1"/>
        <w:spacing w:before="280" w:after="120"/>
      </w:pPr>
      <w:r>
        <w:rPr>
          <w:rFonts w:ascii="微软雅黑" w:hAnsi="微软雅黑" w:eastAsia="微软雅黑"/>
          <w:color w:val="1F3B63"/>
          <w:sz w:val="30"/>
        </w:rPr>
        <w:t>附件 D　交付清单</w:t>
      </w:r>
    </w:p>
    <w:p>
      <w:pPr>
        <w:spacing w:before="120" w:after="40"/>
        <w:jc w:val="center"/>
      </w:pPr>
      <w:r>
        <w:rPr>
          <w:rFonts w:ascii="微软雅黑" w:hAnsi="微软雅黑" w:eastAsia="微软雅黑"/>
          <w:b/>
          <w:sz w:val="19"/>
        </w:rPr>
        <w:t>表 D1　交付物清单</w:t>
      </w:r>
    </w:p>
    <w:tbl>
      <w:tblPr>
        <w:tblStyle w:val="TableGrid"/>
        <w:tblW w:type="auto" w:w="0"/>
        <w:jc w:val="center"/>
        <w:tblLook w:firstColumn="1" w:firstRow="1" w:lastColumn="0" w:lastRow="0" w:noHBand="0" w:noVBand="1" w:val="04A0"/>
      </w:tblPr>
      <w:tblGrid>
        <w:gridCol w:w="3213"/>
        <w:gridCol w:w="3213"/>
        <w:gridCol w:w="3213"/>
      </w:tblGrid>
      <w:tr>
        <w:tc>
          <w:tcPr>
            <w:tcW w:type="dxa" w:w="510"/>
            <w:shd w:fill="DCE6F1"/>
          </w:tcPr>
          <w:p>
            <w:r/>
            <w:r>
              <w:rPr>
                <w:rFonts w:ascii="微软雅黑" w:hAnsi="微软雅黑" w:eastAsia="微软雅黑"/>
                <w:b/>
                <w:sz w:val="18"/>
              </w:rPr>
              <w:t>#</w:t>
            </w:r>
          </w:p>
        </w:tc>
        <w:tc>
          <w:tcPr>
            <w:tcW w:type="dxa" w:w="4309"/>
            <w:shd w:fill="DCE6F1"/>
          </w:tcPr>
          <w:p>
            <w:r/>
            <w:r>
              <w:rPr>
                <w:rFonts w:ascii="微软雅黑" w:hAnsi="微软雅黑" w:eastAsia="微软雅黑"/>
                <w:b/>
                <w:sz w:val="18"/>
              </w:rPr>
              <w:t>交付物</w:t>
            </w:r>
          </w:p>
        </w:tc>
        <w:tc>
          <w:tcPr>
            <w:tcW w:type="dxa" w:w="4819"/>
            <w:shd w:fill="DCE6F1"/>
          </w:tcPr>
          <w:p>
            <w:r/>
            <w:r>
              <w:rPr>
                <w:rFonts w:ascii="微软雅黑" w:hAnsi="微软雅黑" w:eastAsia="微软雅黑"/>
                <w:b/>
                <w:sz w:val="18"/>
              </w:rPr>
              <w:t>位置</w:t>
            </w:r>
          </w:p>
        </w:tc>
      </w:tr>
      <w:tr>
        <w:tc>
          <w:tcPr>
            <w:tcW w:type="dxa" w:w="510"/>
          </w:tcPr>
          <w:p>
            <w:pPr>
              <w:spacing w:after="20"/>
            </w:pPr>
            <w:r/>
            <w:r>
              <w:rPr>
                <w:rFonts w:ascii="微软雅黑" w:hAnsi="微软雅黑" w:eastAsia="微软雅黑"/>
                <w:b w:val="0"/>
                <w:sz w:val="18"/>
              </w:rPr>
              <w:t>1</w:t>
            </w:r>
          </w:p>
        </w:tc>
        <w:tc>
          <w:tcPr>
            <w:tcW w:type="dxa" w:w="4309"/>
          </w:tcPr>
          <w:p>
            <w:pPr>
              <w:spacing w:after="20"/>
            </w:pPr>
            <w:r/>
            <w:r>
              <w:rPr>
                <w:rFonts w:ascii="微软雅黑" w:hAnsi="微软雅黑" w:eastAsia="微软雅黑"/>
                <w:b w:val="0"/>
                <w:sz w:val="18"/>
              </w:rPr>
              <w:t>GitHub 仓库（代码与说明）</w:t>
            </w:r>
          </w:p>
        </w:tc>
        <w:tc>
          <w:tcPr>
            <w:tcW w:type="dxa" w:w="4819"/>
          </w:tcPr>
          <w:p>
            <w:pPr>
              <w:spacing w:after="20"/>
            </w:pPr>
            <w:r/>
            <w:r>
              <w:rPr>
                <w:rFonts w:ascii="微软雅黑" w:hAnsi="微软雅黑" w:eastAsia="微软雅黑"/>
                <w:b w:val="0"/>
                <w:sz w:val="18"/>
              </w:rPr>
              <w:t>待创建</w:t>
            </w:r>
          </w:p>
        </w:tc>
      </w:tr>
      <w:tr>
        <w:tc>
          <w:tcPr>
            <w:tcW w:type="dxa" w:w="510"/>
          </w:tcPr>
          <w:p>
            <w:pPr>
              <w:spacing w:after="20"/>
            </w:pPr>
            <w:r/>
            <w:r>
              <w:rPr>
                <w:rFonts w:ascii="微软雅黑" w:hAnsi="微软雅黑" w:eastAsia="微软雅黑"/>
                <w:b w:val="0"/>
                <w:sz w:val="18"/>
              </w:rPr>
              <w:t>2</w:t>
            </w:r>
          </w:p>
        </w:tc>
        <w:tc>
          <w:tcPr>
            <w:tcW w:type="dxa" w:w="4309"/>
          </w:tcPr>
          <w:p>
            <w:pPr>
              <w:spacing w:after="20"/>
            </w:pPr>
            <w:r/>
            <w:r>
              <w:rPr>
                <w:rFonts w:ascii="微软雅黑" w:hAnsi="微软雅黑" w:eastAsia="微软雅黑"/>
                <w:b w:val="0"/>
                <w:sz w:val="18"/>
              </w:rPr>
              <w:t>实验报告（本文档）</w:t>
            </w:r>
          </w:p>
        </w:tc>
        <w:tc>
          <w:tcPr>
            <w:tcW w:type="dxa" w:w="4819"/>
          </w:tcPr>
          <w:p>
            <w:pPr>
              <w:spacing w:after="20"/>
            </w:pPr>
            <w:r/>
            <w:r>
              <w:rPr>
                <w:rFonts w:ascii="微软雅黑" w:hAnsi="微软雅黑" w:eastAsia="微软雅黑"/>
                <w:b w:val="0"/>
                <w:sz w:val="18"/>
              </w:rPr>
              <w:t>实验报告.docx</w:t>
            </w:r>
          </w:p>
        </w:tc>
      </w:tr>
      <w:tr>
        <w:tc>
          <w:tcPr>
            <w:tcW w:type="dxa" w:w="510"/>
          </w:tcPr>
          <w:p>
            <w:pPr>
              <w:spacing w:after="20"/>
            </w:pPr>
            <w:r/>
            <w:r>
              <w:rPr>
                <w:rFonts w:ascii="微软雅黑" w:hAnsi="微软雅黑" w:eastAsia="微软雅黑"/>
                <w:b w:val="0"/>
                <w:sz w:val="18"/>
              </w:rPr>
              <w:t>3</w:t>
            </w:r>
          </w:p>
        </w:tc>
        <w:tc>
          <w:tcPr>
            <w:tcW w:type="dxa" w:w="4309"/>
          </w:tcPr>
          <w:p>
            <w:pPr>
              <w:spacing w:after="20"/>
            </w:pPr>
            <w:r/>
            <w:r>
              <w:rPr>
                <w:rFonts w:ascii="微软雅黑" w:hAnsi="微软雅黑" w:eastAsia="微软雅黑"/>
                <w:b w:val="0"/>
                <w:sz w:val="18"/>
              </w:rPr>
              <w:t>可复现性说明</w:t>
            </w:r>
          </w:p>
        </w:tc>
        <w:tc>
          <w:tcPr>
            <w:tcW w:type="dxa" w:w="4819"/>
          </w:tcPr>
          <w:p>
            <w:pPr>
              <w:spacing w:after="20"/>
            </w:pPr>
            <w:r/>
            <w:r>
              <w:rPr>
                <w:rFonts w:ascii="微软雅黑" w:hAnsi="微软雅黑" w:eastAsia="微软雅黑"/>
                <w:b w:val="0"/>
                <w:sz w:val="18"/>
              </w:rPr>
              <w:t>附件 C / README.md</w:t>
            </w:r>
          </w:p>
        </w:tc>
      </w:tr>
      <w:tr>
        <w:tc>
          <w:tcPr>
            <w:tcW w:type="dxa" w:w="510"/>
          </w:tcPr>
          <w:p>
            <w:pPr>
              <w:spacing w:after="20"/>
            </w:pPr>
            <w:r/>
            <w:r>
              <w:rPr>
                <w:rFonts w:ascii="微软雅黑" w:hAnsi="微软雅黑" w:eastAsia="微软雅黑"/>
                <w:b w:val="0"/>
                <w:sz w:val="18"/>
              </w:rPr>
              <w:t>4</w:t>
            </w:r>
          </w:p>
        </w:tc>
        <w:tc>
          <w:tcPr>
            <w:tcW w:type="dxa" w:w="4309"/>
          </w:tcPr>
          <w:p>
            <w:pPr>
              <w:spacing w:after="20"/>
            </w:pPr>
            <w:r/>
            <w:r>
              <w:rPr>
                <w:rFonts w:ascii="微软雅黑" w:hAnsi="微软雅黑" w:eastAsia="微软雅黑"/>
                <w:b w:val="0"/>
                <w:sz w:val="18"/>
              </w:rPr>
              <w:t>Stata 复现模块（do 文件与数据）</w:t>
            </w:r>
          </w:p>
        </w:tc>
        <w:tc>
          <w:tcPr>
            <w:tcW w:type="dxa" w:w="4819"/>
          </w:tcPr>
          <w:p>
            <w:pPr>
              <w:spacing w:after="20"/>
            </w:pPr>
            <w:r/>
            <w:r>
              <w:rPr>
                <w:rFonts w:ascii="微软雅黑" w:hAnsi="微软雅黑" w:eastAsia="微软雅黑"/>
                <w:b w:val="0"/>
                <w:sz w:val="18"/>
              </w:rPr>
              <w:t>stata/</w:t>
            </w:r>
          </w:p>
        </w:tc>
      </w:tr>
      <w:tr>
        <w:tc>
          <w:tcPr>
            <w:tcW w:type="dxa" w:w="510"/>
          </w:tcPr>
          <w:p>
            <w:pPr>
              <w:spacing w:after="20"/>
            </w:pPr>
            <w:r/>
            <w:r>
              <w:rPr>
                <w:rFonts w:ascii="微软雅黑" w:hAnsi="微软雅黑" w:eastAsia="微软雅黑"/>
                <w:b w:val="0"/>
                <w:sz w:val="18"/>
              </w:rPr>
              <w:t>5</w:t>
            </w:r>
          </w:p>
        </w:tc>
        <w:tc>
          <w:tcPr>
            <w:tcW w:type="dxa" w:w="4309"/>
          </w:tcPr>
          <w:p>
            <w:pPr>
              <w:spacing w:after="20"/>
            </w:pPr>
            <w:r/>
            <w:r>
              <w:rPr>
                <w:rFonts w:ascii="微软雅黑" w:hAnsi="微软雅黑" w:eastAsia="微软雅黑"/>
                <w:b w:val="0"/>
                <w:sz w:val="18"/>
              </w:rPr>
              <w:t>决策记录（D1–D21）</w:t>
            </w:r>
          </w:p>
        </w:tc>
        <w:tc>
          <w:tcPr>
            <w:tcW w:type="dxa" w:w="4819"/>
          </w:tcPr>
          <w:p>
            <w:pPr>
              <w:spacing w:after="20"/>
            </w:pPr>
            <w:r/>
            <w:r>
              <w:rPr>
                <w:rFonts w:ascii="微软雅黑" w:hAnsi="微软雅黑" w:eastAsia="微软雅黑"/>
                <w:b w:val="0"/>
                <w:sz w:val="18"/>
              </w:rPr>
              <w:t>决策记录.md</w:t>
            </w:r>
          </w:p>
        </w:tc>
      </w:tr>
      <w:tr>
        <w:tc>
          <w:tcPr>
            <w:tcW w:type="dxa" w:w="510"/>
          </w:tcPr>
          <w:p>
            <w:pPr>
              <w:spacing w:after="20"/>
            </w:pPr>
            <w:r/>
            <w:r>
              <w:rPr>
                <w:rFonts w:ascii="微软雅黑" w:hAnsi="微软雅黑" w:eastAsia="微软雅黑"/>
                <w:b w:val="0"/>
                <w:sz w:val="18"/>
              </w:rPr>
              <w:t>6</w:t>
            </w:r>
          </w:p>
        </w:tc>
        <w:tc>
          <w:tcPr>
            <w:tcW w:type="dxa" w:w="4309"/>
          </w:tcPr>
          <w:p>
            <w:pPr>
              <w:spacing w:after="20"/>
            </w:pPr>
            <w:r/>
            <w:r>
              <w:rPr>
                <w:rFonts w:ascii="微软雅黑" w:hAnsi="微软雅黑" w:eastAsia="微软雅黑"/>
                <w:b w:val="0"/>
                <w:sz w:val="18"/>
              </w:rPr>
              <w:t>每日工作日志</w:t>
            </w:r>
          </w:p>
        </w:tc>
        <w:tc>
          <w:tcPr>
            <w:tcW w:type="dxa" w:w="4819"/>
          </w:tcPr>
          <w:p>
            <w:pPr>
              <w:spacing w:after="20"/>
            </w:pPr>
            <w:r/>
            <w:r>
              <w:rPr>
                <w:rFonts w:ascii="微软雅黑" w:hAnsi="微软雅黑" w:eastAsia="微软雅黑"/>
                <w:b w:val="0"/>
                <w:sz w:val="18"/>
              </w:rPr>
              <w:t>logs/</w:t>
            </w:r>
          </w:p>
        </w:tc>
      </w:tr>
      <w:tr>
        <w:tc>
          <w:tcPr>
            <w:tcW w:type="dxa" w:w="510"/>
          </w:tcPr>
          <w:p>
            <w:pPr>
              <w:spacing w:after="20"/>
            </w:pPr>
            <w:r/>
            <w:r>
              <w:rPr>
                <w:rFonts w:ascii="微软雅黑" w:hAnsi="微软雅黑" w:eastAsia="微软雅黑"/>
                <w:b w:val="0"/>
                <w:sz w:val="18"/>
              </w:rPr>
              <w:t>7</w:t>
            </w:r>
          </w:p>
        </w:tc>
        <w:tc>
          <w:tcPr>
            <w:tcW w:type="dxa" w:w="4309"/>
          </w:tcPr>
          <w:p>
            <w:pPr>
              <w:spacing w:after="20"/>
            </w:pPr>
            <w:r/>
            <w:r>
              <w:rPr>
                <w:rFonts w:ascii="微软雅黑" w:hAnsi="微软雅黑" w:eastAsia="微软雅黑"/>
                <w:b w:val="0"/>
                <w:sz w:val="18"/>
              </w:rPr>
              <w:t>线下汇报（携带电脑）</w:t>
            </w:r>
          </w:p>
        </w:tc>
        <w:tc>
          <w:tcPr>
            <w:tcW w:type="dxa" w:w="4819"/>
          </w:tcPr>
          <w:p>
            <w:pPr>
              <w:spacing w:after="20"/>
            </w:pPr>
            <w:r/>
            <w:r>
              <w:rPr>
                <w:rFonts w:ascii="微软雅黑" w:hAnsi="微软雅黑" w:eastAsia="微软雅黑"/>
                <w:b w:val="0"/>
                <w:sz w:val="18"/>
              </w:rPr>
              <w:t>10 月 15 日前</w:t>
            </w:r>
          </w:p>
        </w:tc>
      </w:tr>
    </w:tbl>
    <w:p>
      <w:pPr>
        <w:spacing w:after="40"/>
      </w:pP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