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8"/>
          <w:highlight w:val="yellow"/>
        </w:rPr>
        <w:t>审阅稿</w:t>
      </w:r>
    </w:p>
    <w:p/>
    <w:p/>
    <w:p/>
    <w:p/>
    <w:p/>
    <w:p>
      <w:pPr>
        <w:jc w:val="center"/>
      </w:pPr>
      <w:r>
        <w:rPr>
          <w:b/>
          <w:sz w:val="44"/>
        </w:rPr>
        <w:t>合成服务项目</w:t>
      </w:r>
    </w:p>
    <w:p>
      <w:pPr>
        <w:jc w:val="center"/>
      </w:pPr>
      <w:r>
        <w:rPr>
          <w:b/>
          <w:sz w:val="72"/>
        </w:rPr>
        <w:t>投 标 文 件</w:t>
      </w:r>
    </w:p>
    <w:p/>
    <w:p/>
    <w:p/>
    <w:p/>
    <w:p>
      <w:pPr>
        <w:ind w:left="2268"/>
      </w:pPr>
      <w:r>
        <w:rPr>
          <w:sz w:val="28"/>
        </w:rPr>
        <w:t>投标人：</w:t>
      </w:r>
      <w:r>
        <w:rPr>
          <w:sz w:val="28"/>
          <w:u w:val="single"/>
        </w:rPr>
        <w:t>合成投标人</w:t>
      </w:r>
    </w:p>
    <w:p>
      <w:pPr>
        <w:ind w:left="2268"/>
      </w:pPr>
      <w:r>
        <w:rPr>
          <w:sz w:val="28"/>
        </w:rPr>
        <w:t>日期：</w:t>
      </w:r>
      <w:r>
        <w:rPr>
          <w:highlight w:val="yellow"/>
          <w:u w:val="single"/>
        </w:rPr>
        <w:t>【待填：日期】</w:t>
      </w:r>
    </w:p>
    <w:p>
      <w:pPr>
        <w:pStyle w:val="FormStart"/>
        <w:jc w:val="center"/>
      </w:pPr>
      <w:r>
        <w:rPr>
          <w:b/>
          <w:sz w:val="32"/>
        </w:rPr>
        <w:t>目  录</w:t>
      </w:r>
    </w:p>
    <w:p>
      <w:pPr>
        <w:ind w:left="283"/>
      </w:pPr>
      <w:r>
        <w:rPr/>
        <w:t>附件1  投标函</w:t>
      </w:r>
    </w:p>
    <w:p>
      <w:pPr>
        <w:ind w:left="283"/>
      </w:pPr>
      <w:r>
        <w:rPr/>
        <w:t>附件2  其他材料</w:t>
      </w:r>
    </w:p>
    <w:p>
      <w:pPr>
        <w:ind w:left="283"/>
      </w:pPr>
      <w:r>
        <w:rPr/>
        <w:t>1、整体服务方案</w:t>
      </w:r>
    </w:p>
    <w:p>
      <w:pPr>
        <w:ind w:left="283"/>
      </w:pPr>
      <w:r>
        <w:rPr/>
        <w:t>2、服务质量保证措施</w:t>
      </w:r>
    </w:p>
    <w:p>
      <w:pPr>
        <w:ind w:left="283"/>
      </w:pPr>
      <w:r>
        <w:rPr/>
        <w:t>3、对人防车库平战结合的快速切换的机制</w:t>
      </w:r>
    </w:p>
    <w:p>
      <w:pPr>
        <w:ind w:left="283"/>
      </w:pPr>
      <w:r>
        <w:rPr/>
        <w:t>4、项目组织机构、负责人及成员配置情况</w:t>
      </w:r>
    </w:p>
    <w:p>
      <w:pPr>
        <w:ind w:left="283"/>
      </w:pPr>
      <w:r>
        <w:rPr/>
        <w:t>5、项目物力配置情况</w:t>
      </w:r>
    </w:p>
    <w:p>
      <w:pPr>
        <w:ind w:left="283"/>
      </w:pPr>
      <w:r>
        <w:rPr/>
        <w:t>6、合理化建议及特色服务</w:t>
      </w:r>
    </w:p>
    <w:p>
      <w:pPr>
        <w:pStyle w:val="FormStart"/>
        <w:ind w:left="0" w:firstLine="0"/>
      </w:pPr>
      <w:r>
        <w:rPr/>
        <w:t>附件1</w:t>
      </w:r>
    </w:p>
    <w:p>
      <w:pPr>
        <w:ind w:left="0" w:firstLine="0"/>
      </w:pPr>
      <w:r>
        <w:rPr/>
        <w:t>投标人：</w:t>
      </w:r>
      <w:r>
        <w:rPr>
          <w:u w:val="single"/>
        </w:rPr>
        <w:t xml:space="preserve"> 合成投标人 </w:t>
      </w:r>
    </w:p>
    <w:p>
      <w:pPr>
        <w:pStyle w:val="Heading1"/>
      </w:pPr>
      <w:r>
        <w:t>附件1 投标函</w:t>
      </w:r>
    </w:p>
    <w:p>
      <w:pPr>
        <w:pStyle w:val="FormStart"/>
        <w:ind w:left="0" w:firstLine="0"/>
      </w:pPr>
      <w:r>
        <w:rPr/>
        <w:t>附件2</w:t>
      </w:r>
    </w:p>
    <w:p>
      <w:pPr>
        <w:ind w:left="0" w:firstLine="0"/>
      </w:pPr>
      <w:r>
        <w:rPr/>
        <w:t>正文</w:t>
      </w:r>
    </w:p>
    <w:p>
      <w:pPr>
        <w:pStyle w:val="Heading1"/>
      </w:pPr>
      <w:r>
        <w:t>附件2 其他材料</w:t>
      </w:r>
    </w:p>
    <w:p>
      <w:pPr>
        <w:pStyle w:val="Heading1"/>
        <w:pageBreakBefore/>
      </w:pPr>
      <w:r>
        <w:t>1、整体服务方案</w:t>
      </w:r>
    </w:p>
    <w:p>
      <w:pPr>
        <w:pStyle w:val="Heading2"/>
      </w:pPr>
      <w:r>
        <w:rPr/>
        <w:t>执行安排</w:t>
      </w:r>
    </w:p>
    <w:p>
      <w:pPr>
        <w:ind w:firstLine="480"/>
      </w:pPr>
      <w:r>
        <w:rPr/>
        <w:t>安排</w:t>
      </w:r>
      <w:r>
        <w:rPr>
          <w:highlight w:val="yellow"/>
          <w:u w:val="single"/>
        </w:rPr>
        <w:t>【待填：项目负责人】</w:t>
      </w:r>
      <w:r>
        <w:rPr/>
        <w:t>开展检查。</w:t>
      </w:r>
    </w:p>
    <w:p>
      <w:pPr>
        <w:pStyle w:val="Heading1"/>
        <w:pageBreakBefore/>
      </w:pPr>
      <w:r>
        <w:t>2、服务质量保证措施</w:t>
      </w:r>
    </w:p>
    <w:p>
      <w:pPr>
        <w:pStyle w:val="Heading2"/>
      </w:pPr>
      <w:r>
        <w:rPr/>
        <w:t>执行安排</w:t>
      </w:r>
    </w:p>
    <w:p>
      <w:pPr>
        <w:ind w:firstLine="480"/>
      </w:pPr>
      <w:r>
        <w:rPr/>
        <w:t>按计划开展现场检查。</w:t>
      </w:r>
    </w:p>
    <w:p>
      <w:pPr>
        <w:pStyle w:val="Heading1"/>
        <w:pageBreakBefore/>
      </w:pPr>
      <w:r>
        <w:t>3、对人防车库平战结合的快速切换的机制</w:t>
      </w:r>
    </w:p>
    <w:p>
      <w:pPr>
        <w:pStyle w:val="Heading2"/>
      </w:pPr>
      <w:r>
        <w:rPr/>
        <w:t>执行安排</w:t>
      </w:r>
    </w:p>
    <w:p>
      <w:pPr>
        <w:ind w:firstLine="480"/>
      </w:pPr>
      <w:r>
        <w:rPr/>
        <w:t>按计划开展现场检查。</w:t>
      </w:r>
    </w:p>
    <w:p>
      <w:pPr>
        <w:pStyle w:val="Heading1"/>
        <w:pageBreakBefore/>
      </w:pPr>
      <w:r>
        <w:t>4、项目组织机构、负责人及成员配置情况</w:t>
      </w:r>
    </w:p>
    <w:p>
      <w:pPr>
        <w:pStyle w:val="Heading2"/>
      </w:pPr>
      <w:r>
        <w:rPr/>
        <w:t>执行安排</w:t>
      </w:r>
    </w:p>
    <w:p>
      <w:pPr>
        <w:ind w:firstLine="480"/>
      </w:pPr>
      <w:r>
        <w:rPr/>
        <w:t>按计划开展现场检查。</w:t>
      </w:r>
    </w:p>
    <w:p>
      <w:pPr>
        <w:pStyle w:val="Heading1"/>
        <w:pageBreakBefore/>
      </w:pPr>
      <w:r>
        <w:t>5、项目物力配置情况</w:t>
      </w:r>
    </w:p>
    <w:p>
      <w:pPr>
        <w:pStyle w:val="Heading2"/>
      </w:pPr>
      <w:r>
        <w:rPr/>
        <w:t>执行安排</w:t>
      </w:r>
    </w:p>
    <w:p>
      <w:pPr>
        <w:ind w:firstLine="480"/>
      </w:pPr>
      <w:r>
        <w:rPr/>
        <w:t>按计划开展现场检查。</w:t>
      </w:r>
    </w:p>
    <w:p>
      <w:pPr>
        <w:pStyle w:val="Heading1"/>
        <w:pageBreakBefore/>
      </w:pPr>
      <w:r>
        <w:t>6、合理化建议及特色服务</w:t>
      </w:r>
    </w:p>
    <w:p>
      <w:r>
        <w:rPr>
          <w:highlight w:val="yellow"/>
        </w:rPr>
        <w:t>【待起草：合理化建议及特色服务】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Start">
    <w:name w:val="Form Start"/>
    <w:basedOn w:val="Normal"/>
    <w:pPr>
      <w:pageBreakBefore/>
    </w:pPr>
  </w:style>
  <w:style w:type="paragraph" w:customStyle="1" w:styleId="FormStartHeading">
    <w:name w:val="Form Start Heading"/>
    <w:basedOn w:val="Heading1"/>
    <w:pPr>
      <w:pageBreakBefore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合成服务项目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