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应用系统安全功能核查速查卡</w:t>
      </w:r>
    </w:p>
    <w:p>
      <w:pPr>
        <w:jc w:val="center"/>
      </w:pPr>
      <w:r>
        <w:rPr>
          <w:rFonts w:ascii="微软雅黑" w:hAnsi="微软雅黑" w:eastAsia="微软雅黑" w:cs="微软雅黑"/>
          <w:b w:val="0"/>
          <w:color w:val="595959"/>
          <w:sz w:val="22"/>
        </w:rPr>
        <w:t>——一张卡记住"验什么、怎么验、什么算不合格"</w:t>
      </w:r>
    </w:p>
    <w:p>
      <w:pPr>
        <w:jc w:val="right"/>
      </w:pPr>
      <w:r>
        <w:rPr>
          <w:rFonts w:ascii="微软雅黑" w:hAnsi="微软雅黑" w:eastAsia="微软雅黑" w:cs="微软雅黑"/>
          <w:b w:val="0"/>
          <w:color w:val="595959"/>
          <w:sz w:val="18"/>
        </w:rPr>
        <w:t>信息安全测评与风险评估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一句话速记</w:t>
      </w:r>
    </w:p>
    <w:p>
      <w:pPr>
        <w:spacing w:after="60"/>
        <w:ind w:firstLine="420"/>
      </w:pPr>
      <w:r>
        <w:rPr>
          <w:rFonts w:ascii="微软雅黑" w:hAnsi="微软雅黑" w:eastAsia="微软雅黑" w:cs="微软雅黑"/>
          <w:b w:val="0"/>
          <w:sz w:val="21"/>
        </w:rPr>
        <w:t>身份鉴别验"你是谁"，访问控制验"你能做什么"，安全审计验"你做过什么留下了什么"。四个维度各挑 2~3 项动手验，比通读十页标准管用。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维度 / 条款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关键验证动作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/>
                <w:color w:val="1F4E79"/>
                <w:sz w:val="19"/>
              </w:rPr>
              <w:t>判"不符合"的典型信号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身份鉴别 8.1.4.1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试弱口令、连错 5 次、静置 15 分钟、看是否 https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弱口令能过 / 错 5 次不锁 / 静置不退出 / 全程 http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访问控制 8.1.4.2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普通账号访问管理路径、改 ID 参数、调管理接口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能进后台 / 改 ID 能看他人数据 / 接口不校验角色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安全审计 8.1.4.3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造一条失败日志和一条越权日志再去看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查不到 / 字段缺用户与事件类型 / 普通用户能删日志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数据完整性 8.1.4.7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抓包看关键参数是否可篡改、是否有校验字段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金额、数量等参数改了服务端照收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数据保密性 8.1.4.8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看传输是否加密、敏感字段是否明文返回</w:t>
            </w:r>
          </w:p>
        </w:tc>
        <w:tc>
          <w:tcPr>
            <w:tcW w:type="dxa" w:w="3685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 w:cs="微软雅黑"/>
                <w:b w:val="0"/>
                <w:sz w:val="19"/>
              </w:rPr>
              <w:t>http 明文 / 返回报文里手机号、身份证号裸奔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F4E79"/>
          <w:sz w:val="26"/>
        </w:rPr>
        <w:t>时间不够时优先验这三条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口令复杂度（最容易出结果，也最高频丢分）；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水平越权（改一个 ID 就能验证，证据最好截）；</w:t>
      </w:r>
    </w:p>
    <w:p>
      <w:pPr>
        <w:pStyle w:val="ListNumber"/>
        <w:spacing w:after="40"/>
      </w:pPr>
      <w:r>
        <w:rPr>
          <w:rFonts w:ascii="微软雅黑" w:hAnsi="微软雅黑" w:eastAsia="微软雅黑" w:cs="微软雅黑"/>
          <w:b w:val="0"/>
          <w:sz w:val="21"/>
        </w:rPr>
        <w:t>审计是否启用（做两个动作再查日志，两分钟出结论）。</w:t>
      </w:r>
    </w:p>
    <w:p>
      <w:pPr>
        <w:spacing w:before="80" w:after="120"/>
        <w:ind w:left="200"/>
      </w:pPr>
      <w:r>
        <w:rPr>
          <w:rFonts w:ascii="微软雅黑" w:hAnsi="微软雅黑" w:eastAsia="微软雅黑" w:cs="微软雅黑"/>
          <w:b w:val="0"/>
          <w:color w:val="595959"/>
          <w:sz w:val="19"/>
        </w:rPr>
        <w:t>提示：速查卡只用于提醒，不能替代证据。判定必须配截图，写在记录表里的每一句话都要有图可查。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