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宋体" w:hAnsi="宋体" w:eastAsia="宋体"/>
          <w:b/>
          <w:color w:val="0D47A1"/>
          <w:sz w:val="32"/>
        </w:rPr>
        <w:t>素材4：实践任务2——交换机配置导出（华为 S5720-28X-SI）</w:t>
      </w:r>
    </w:p>
    <w:p>
      <w:pPr>
        <w:spacing w:before="0" w:after="120"/>
      </w:pPr>
      <w:r>
        <w:rPr>
          <w:rFonts w:ascii="宋体" w:hAnsi="宋体" w:eastAsia="宋体"/>
          <w:b/>
          <w:color w:val="0D47A1"/>
          <w:sz w:val="24"/>
        </w:rPr>
        <w:t>一、设备与环境信息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1701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7937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设备类型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核心交换机（安全区域边界 / 安全通信网络）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设备型号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华为 S5720-28X-SI-AC（S5700 系列）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系统版本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V200R019C10SPC500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设备名称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SW-Core-01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管理地址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10.0.1.1（Vlanif10 管理 VLAN）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导出方式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stelnet 10.0.1.1 登录后执行 display current-configuration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导出时间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2025-03-18 10:41:07（终端回显带时间戳）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本文件为教学模拟配置，命令语法参照华为 S5700 系列回显；标注仅供对照。</w:t>
            </w:r>
          </w:p>
        </w:tc>
      </w:tr>
    </w:tbl>
    <w:p>
      <w:pPr>
        <w:spacing w:before="200" w:after="120"/>
      </w:pPr>
      <w:r>
        <w:rPr>
          <w:rFonts w:ascii="宋体" w:hAnsi="宋体" w:eastAsia="宋体"/>
          <w:b/>
          <w:color w:val="0D47A1"/>
          <w:sz w:val="24"/>
        </w:rPr>
        <w:t>二、配置导出回显（display current-configuration 节选）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 ===== 某企业核心交换机 SW-Core-01 配置导出（教学模拟） =====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 设备型号：华为 S5720-28X-SI-AC   系统版本：V200R019C10SPC500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sysname SW-Core-01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vlan batch 10 20 30 40 50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stp mode rstp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stp bpdu-protection                          # ✅ 已开启 BPDU 保护（防 STP 攻击）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stp root-protection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aaa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huawei password irreversible-cipher %^%#Sw7nKp~2Q...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huawei privilege level 15        # ❌ 出厂默认账号 huawei 未重命名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huawei service-type telnet http  # ❌ 允许明文 Telnet / HTTP 登录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snmp-agent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snmp-agent sys-info version v2c             # ❌ 仍在使用 SNMPv2c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snmp-agent community read cipher %^%#public%^%#   # ❌ 团体字为 public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info-center enable                           # ✅ 日志功能已启用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info-center logfile save-time 60            # ❌ 日志仅保存 60 天，不足 180 天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acl number 3000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rule 10 permit ip source 10.0.1.0 0.0.0.255 destination 10.0.2.0 0.0.0.255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rule 20 deny ip                              # ✅ 末尾默认拒绝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interface Vlanif10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ip address 10.0.1.1 255.255.255.0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 xml:space="preserve">  # ❌ 管理 VLAN 未绑定管理面 ACL，任意网段可达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interface Vlanif20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ip address 10.0.2.1 255.255.255.0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traffic-filter inbound acl 3000              # ✅ 服务器 VLAN 已做入向访问控制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interface Vlanif30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ip address 10.0.3.1 255.255.255.0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 xml:space="preserve">  # ❌ 办公 VLAN 无任何访问控制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interface GigabitEthernet0/0/1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port link-type trunk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port trunk allow-pass vlan 10 20 30 40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interface GigabitEthernet0/0/20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 xml:space="preserve">  # ❌ 空闲端口未执行 shutdown，插上网线即可接入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telnet server enable                           # ❌ 明文 Telnet 已开启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stelnet server enable                          # ✅ SSH（stelnet）已开启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>return</w:t>
      </w:r>
    </w:p>
    <w:p>
      <w:pPr>
        <w:spacing w:before="200" w:after="120"/>
      </w:pPr>
      <w:r>
        <w:rPr>
          <w:rFonts w:ascii="宋体" w:hAnsi="宋体" w:eastAsia="宋体"/>
          <w:b/>
          <w:color w:val="0D47A1"/>
          <w:sz w:val="24"/>
        </w:rPr>
        <w:t>三、问题分析（供填表对照）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3969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1361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合规性</w:t>
            </w:r>
          </w:p>
        </w:tc>
        <w:tc>
          <w:tcPr>
            <w:tcW w:type="dxa" w:w="3458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出厂默认账号 huawei 未重命名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❌ 不符合</w:t>
            </w:r>
          </w:p>
        </w:tc>
        <w:tc>
          <w:tcPr>
            <w:tcW w:type="dxa" w:w="345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默认账号应重命名或删除，降低被定向爆破的风险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SNMPv2c + community public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❌ 不符合</w:t>
            </w:r>
          </w:p>
        </w:tc>
        <w:tc>
          <w:tcPr>
            <w:tcW w:type="dxa" w:w="345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应升级 SNMPv3，删除 public/private 团体字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 VLAN（Vlanif10）无访问控制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❌ 不符合</w:t>
            </w:r>
          </w:p>
        </w:tc>
        <w:tc>
          <w:tcPr>
            <w:tcW w:type="dxa" w:w="345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应绑定管理面 ACL，仅放通运维网段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办公 VLAN（Vlanif30）无访问控制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❌ 不符合</w:t>
            </w:r>
          </w:p>
        </w:tc>
        <w:tc>
          <w:tcPr>
            <w:tcW w:type="dxa" w:w="345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应限制办公网段对服务器区的访问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空闲端口 Gi0/0/20 未 shutdown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❌ 不符合</w:t>
            </w:r>
          </w:p>
        </w:tc>
        <w:tc>
          <w:tcPr>
            <w:tcW w:type="dxa" w:w="345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未使用端口应关闭，防止非法接入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Telnet / HTTP 明文管理已开启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❌ 不符合</w:t>
            </w:r>
          </w:p>
        </w:tc>
        <w:tc>
          <w:tcPr>
            <w:tcW w:type="dxa" w:w="345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应关闭明文协议，仅保留 stelnet + HTTPS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日志仅保存 60 天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❌ 不符合</w:t>
            </w:r>
          </w:p>
        </w:tc>
        <w:tc>
          <w:tcPr>
            <w:tcW w:type="dxa" w:w="345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应不少于 180 天，并配置远程日志服务器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ACL 3000 末尾默认拒绝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✅ 符合</w:t>
            </w:r>
          </w:p>
        </w:tc>
        <w:tc>
          <w:tcPr>
            <w:tcW w:type="dxa" w:w="345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放通管理网段访问服务器网段，其余拒绝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STP BPDU 保护 / 根桥保护已开启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✅ 符合</w:t>
            </w:r>
          </w:p>
        </w:tc>
        <w:tc>
          <w:tcPr>
            <w:tcW w:type="dxa" w:w="345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可防 STP 优先级劫持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Vlanif20 已绑定 traffic-filter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✅ 符合</w:t>
            </w:r>
          </w:p>
        </w:tc>
        <w:tc>
          <w:tcPr>
            <w:tcW w:type="dxa" w:w="345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服务器 VLAN 访问控制有效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