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宋体" w:hAnsi="宋体" w:eastAsia="宋体"/>
          <w:b/>
          <w:color w:val="0D47A1"/>
          <w:sz w:val="32"/>
        </w:rPr>
        <w:t xml:space="preserve">素材2：实践任务1——防火墙配置导出（华为 USG6650E）（学生版 · 无判读标注）</w:t>
      </w:r>
    </w:p>
    <w:p>
      <w:pPr>
        <w:spacing w:before="0" w:after="120"/>
      </w:pPr>
      <w:r>
        <w:rPr>
          <w:rFonts w:ascii="宋体" w:hAnsi="宋体" w:eastAsia="宋体"/>
          <w:b/>
          <w:color w:val="0D47A1"/>
          <w:sz w:val="24"/>
        </w:rPr>
        <w:t>一、设备与环境信息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7937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设备类型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互联网出口防火墙（安全区域边界）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设备型号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华为 USG6650E（USG6000E 系列）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系统版本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V600R007C20SPC500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设备名称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FW-01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管理地址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10.10.10.1（Web 管理端口 8443）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导出方式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stelnet 10.10.10.1 登录后执行 display current-configuration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导出时间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2025-03-18 10:23:41（终端回显带时间戳，证明为当前在线配置）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>
              <w:t xml:space="preserve">本文件为教学模拟配置，命令语法参照华为 USG6000E 系列回显；配置中不含任何判读标注，请依据 GB/T 22239-2019 自行逐行核查。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二、配置导出回显（display current-configuration 节选）</w:t>
      </w:r>
    </w:p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 xml:space="preserve">说明：以下为设备原始回显，未做任何判读标注，请自行逐行核查并给出判定。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 ===== 某企业出口防火墙 FW-01 配置导出（教学模拟） =====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 设备型号：华为 USG6650E    系统版本：V600R007C20SPC500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 管理地址：10.10.10.1       导出时间：2025-03-18 10:23:41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sysname FW-01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password-policy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password min-length 6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password complexity-check disable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password expire 180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aaa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admin password irreversible-cipher %^%#7Kd2mQ~8Z...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admin privilege level 15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admin service-type ssh http https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admin failed-times 8 lock-times 10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audit password irreversible-cipher %^%#Lp3vRt~5W...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audit privilege level 5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audit service-type ssh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snmp-agent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snmp-agent sys-info version v2c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snmp-agent community read cipher %^%#public%^%#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info-center enable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info-center logfile save-time 30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security-policy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rule name permit_any_any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 source-zone any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 destination-zone any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 action permit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acl number 2000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rule 5 permit source any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telnet server enable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http server enable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http secure-server enable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stelnet server enable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ike proposal 10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authentication-method pre-share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encryption-algorithm aes-256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dh group14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>return</w:t>
      </w:r>
    </w:p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 xml:space="preserve">三、填表要求</w:t>
      </w:r>
    </w:p>
    <w:p>
      <w:pPr>
        <w:spacing w:before="0" w:after="60"/>
      </w:pPr>
      <w:r>
        <w:rPr>
          <w:rFonts w:ascii="宋体" w:hAnsi="宋体" w:eastAsia="宋体"/>
          <w:b w:val="0"/>
          <w:sz w:val="21"/>
        </w:rPr>
        <w:t>① 问题描述必须落到具体配置行（例：password-policy 中 password min-length 6），不得只写"配置不当"；</w:t>
      </w:r>
    </w:p>
    <w:p>
      <w:pPr>
        <w:spacing w:before="0" w:after="60"/>
      </w:pPr>
      <w:r>
        <w:rPr>
          <w:rFonts w:ascii="宋体" w:hAnsi="宋体" w:eastAsia="宋体"/>
          <w:b w:val="0"/>
          <w:sz w:val="21"/>
        </w:rPr>
        <w:t>② 每条判定都要能回答"这一行在哪个配置视图下、原值是多少、要求值是多少"；</w:t>
      </w:r>
    </w:p>
    <w:p>
      <w:pPr>
        <w:spacing w:before="0" w:after="60"/>
      </w:pPr>
      <w:r>
        <w:rPr>
          <w:rFonts w:ascii="宋体" w:hAnsi="宋体" w:eastAsia="宋体"/>
          <w:b w:val="0"/>
          <w:sz w:val="21"/>
        </w:rPr>
        <w:t>③ "符合"项也要写判定结论，不要留空——测评记录表不允许出现空白行。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