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>素材3：实践任务——《网络设备安全测评记录表》</w:t>
      </w:r>
    </w:p>
    <w:p>
      <w:pPr>
        <w:spacing w:before="0" w:after="60"/>
      </w:pPr>
      <w:r>
        <w:rPr>
          <w:rFonts w:ascii="宋体" w:hAnsi="宋体" w:eastAsia="宋体"/>
          <w:b/>
          <w:sz w:val="20"/>
        </w:rPr>
        <w:t>被测对象：出口防火墙 FW-01（华为 USG6650E）／核心交换机 SW-Core-01（华为 S5720-28X-SI）／出口路由器 RT-Border-01（华为 AR6120）</w:t>
      </w:r>
    </w:p>
    <w:p>
      <w:pPr>
        <w:spacing w:before="0" w:after="60"/>
      </w:pPr>
      <w:r>
        <w:rPr>
          <w:rFonts w:ascii="宋体" w:hAnsi="宋体" w:eastAsia="宋体"/>
          <w:b w:val="0"/>
          <w:sz w:val="19"/>
        </w:rPr>
        <w:t>填表说明：按 GB/T 22239-2019 第三级安全通用要求逐条判定；"测评结果"四档取 符合 / 部分符合 / 不符合 / 不适用；"问题描述"必须落到具体配置行，不得写"配置不当"。</w:t>
      </w:r>
    </w:p>
    <w:p>
      <w:pPr>
        <w:spacing w:before="0" w:after="160"/>
      </w:pPr>
      <w:r>
        <w:rPr>
          <w:rFonts w:ascii="宋体" w:hAnsi="宋体" w:eastAsia="宋体"/>
          <w:b w:val="0"/>
          <w:color w:val="C0392B"/>
          <w:sz w:val="19"/>
        </w:rPr>
        <w:t>填写分工：下表"填写案例"已给出防火墙 FW-01 的完整填写结果（讲解示范）；请你依据 素材4（交换机 SW-Core-01）与 素材7（路由器 RT-Border-01）独立完成另两张记录表。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一、空白记录表（打印后手填 / 电子填写均可）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36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测评指标编号</w:t>
            </w:r>
          </w:p>
        </w:tc>
        <w:tc>
          <w:tcPr>
            <w:tcW w:type="dxa" w:w="1474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测评指标名称</w:t>
            </w:r>
          </w:p>
        </w:tc>
        <w:tc>
          <w:tcPr>
            <w:tcW w:type="dxa" w:w="1020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测评结果</w:t>
            </w:r>
          </w:p>
        </w:tc>
        <w:tc>
          <w:tcPr>
            <w:tcW w:type="dxa" w:w="4252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问题描述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风险分析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整改建议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身份标识与鉴别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登录失败处理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8.1.4.1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远程管理加密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8.1.4.2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默认账户管理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8.1.4.2 d)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最小权限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安全审计启用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8.1.4.3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审计记录保护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8.1.4.4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关闭不需要的服务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8.1.4.4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管理终端限制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before="0" w:after="40"/>
      </w:pPr>
      <w:r>
        <w:rPr>
          <w:rFonts w:ascii="宋体" w:hAnsi="宋体" w:eastAsia="宋体"/>
          <w:b w:val="0"/>
          <w:sz w:val="12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18"/>
        </w:rPr>
        <w:t>（共 9 条：8.1.4.1 a)~c)、8.1.4.2 b)/d)、8.1.4.3 a)/c)、8.1.4.4 b)/c)；不适用项请在"测评结果"栏填"不适用"并简述理由，不得留空。）</w:t>
      </w:r>
    </w:p>
    <w:p>
      <w:r>
        <w:br w:type="page"/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二、填写案例：基于导出配置的测评记录表（以防火墙 FW-01 为例）</w:t>
      </w:r>
    </w:p>
    <w:p>
      <w:pPr>
        <w:spacing w:before="0" w:after="120"/>
      </w:pPr>
      <w:r>
        <w:rPr>
          <w:rFonts w:ascii="宋体" w:hAnsi="宋体" w:eastAsia="宋体"/>
          <w:b w:val="0"/>
          <w:sz w:val="19"/>
        </w:rPr>
        <w:t>数据来源：素材2 中 FW-01 的 display current-configuration 回显。下表是"照着回显逐行对照"填出来的完整结果，可作为你完成交换机、路由器两张表的范本。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36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测评指标编号</w:t>
            </w:r>
          </w:p>
        </w:tc>
        <w:tc>
          <w:tcPr>
            <w:tcW w:type="dxa" w:w="1474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测评指标名称</w:t>
            </w:r>
          </w:p>
        </w:tc>
        <w:tc>
          <w:tcPr>
            <w:tcW w:type="dxa" w:w="1020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测评结果</w:t>
            </w:r>
          </w:p>
        </w:tc>
        <w:tc>
          <w:tcPr>
            <w:tcW w:type="dxa" w:w="4252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问题描述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风险分析</w:t>
            </w:r>
          </w:p>
        </w:tc>
        <w:tc>
          <w:tcPr>
            <w:tcW w:type="dxa" w:w="3685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整改建议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身份标识与鉴别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password-policy 中 password min-length 6（低于 8 位）；password complexity-check disable（未启用复杂度校验）；password expire 180（超过 90 天）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口令强度不足，可被字典离线/在线暴力破解；攻击者一旦拿到管理权限即可改写安全策略、开放后门端口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改 min-length 8；complexity-check enable；expire 90；并对高危口令执行一次性强制改密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登录失败处理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aaa 下 local-user admin failed-times 8 lock-times 10：连续失败 8 次才锁定，锁定时间仅 10 分钟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在线爆破窗口过大，10 分钟后即可继续尝试，配合慢速字典可长期有效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failed-times 5；lock-times 15；并开启登录失败告警日志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8.1.4.1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远程管理加密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部分符合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stelnet server enable、http secure-server enable 已开启；但同时存在 telnet server enable 与 http server enable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明文管理流量可被同链路旁路嗅探，管理口令与配置命令直接泄露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undo telnet server enable；undo http server enable；仅保留 stelnet + HTTPS 管理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默认账户管理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出厂默认账号 admin 未重命名，且 service-type 包含 ssh http https，可远程登录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攻击者无需信息收集即可直接对 admin 发起定向爆破，攻击成本显著降低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重命名 admin 为专用运维账号（如 opr_fw01），并同步修改口令；删除或禁用无用账号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8.1.4.2 d)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最小权限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部分符合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audit 账号 level 5 已独立（✅）；但 admin 为 privilege level 15，同时具备配置修改与审计查看权限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管理员与审计员职责未分离，管理员可删除/篡改自身操作记录，审计失效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admin 降为 level 3；新建独立审计员账号（level 5）单独交给审计岗，实现"配置—审计"分离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a)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安全审计启用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info-center enable 已开启，日志功能处于生效状态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—（本项无风险）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保持；建议再将日志外发至 syslog 服务器做集中留存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8.1.4.3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审计记录保护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info-center logfile save-time 30，设备本地日志仅保存 30 天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攻击行为发生 30 天后本地无可查记录，取证链断裂，无法满足等保留存要求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save-time 180；配置远程日志服务器（info-center loghost），避免本地日志被清除后无从追溯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b)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关闭不需要的服务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telnet server enable、http server enable 已开启；snmp-agent sys-info version v2c，community read 为 public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明文协议可被嗅探；SNMPv2c 团体字以明文传输，攻击者可读取路由表与安全策略，甚至改写配置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关闭 Telnet 与 HTTP；SNMP 升级为 v3（认证 + 加密），删除 public/private 团体字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8.1.4.4 c)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管理终端限制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不符合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acl number 2000 rule 5 permit source any，管理面 ACL 放通任意源 IP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管理界面暴露于全部可达网段，可被持续爆破或利用设备管理面漏洞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ACL 2000 改为仅放通运维网段 10.10.20.0/24，并在公网接口屏蔽 22/23/8443 等管理端口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三、自查清单</w:t>
      </w:r>
    </w:p>
    <w:p>
      <w:pPr>
        <w:spacing w:before="0" w:after="60"/>
      </w:pPr>
      <w:r>
        <w:rPr>
          <w:rFonts w:ascii="宋体" w:hAnsi="宋体" w:eastAsia="宋体"/>
          <w:b w:val="0"/>
          <w:sz w:val="20"/>
        </w:rPr>
        <w:t>☐ 9 条指标全部有判定结论，无空白行</w:t>
      </w:r>
    </w:p>
    <w:p>
      <w:pPr>
        <w:spacing w:before="0" w:after="60"/>
      </w:pPr>
      <w:r>
        <w:rPr>
          <w:rFonts w:ascii="宋体" w:hAnsi="宋体" w:eastAsia="宋体"/>
          <w:b w:val="0"/>
          <w:sz w:val="20"/>
        </w:rPr>
        <w:t>☐ 每一条"不符合"都能定位到具体配置行（视图 + 参数名 + 原值）</w:t>
      </w:r>
    </w:p>
    <w:p>
      <w:pPr>
        <w:spacing w:before="0" w:after="60"/>
      </w:pPr>
      <w:r>
        <w:rPr>
          <w:rFonts w:ascii="宋体" w:hAnsi="宋体" w:eastAsia="宋体"/>
          <w:b w:val="0"/>
          <w:sz w:val="20"/>
        </w:rPr>
        <w:t>☐ 风险分析写的是"攻击者能干什么"，不是复述标准原文</w:t>
      </w:r>
    </w:p>
    <w:p>
      <w:pPr>
        <w:spacing w:before="0" w:after="60"/>
      </w:pPr>
      <w:r>
        <w:rPr>
          <w:rFonts w:ascii="宋体" w:hAnsi="宋体" w:eastAsia="宋体"/>
          <w:b w:val="0"/>
          <w:sz w:val="20"/>
        </w:rPr>
        <w:t>☐ 整改建议给出了可执行的命令或参数值（如 min-length 8、save-time 180）</w:t>
      </w:r>
    </w:p>
    <w:p>
      <w:pPr>
        <w:spacing w:before="0" w:after="60"/>
      </w:pPr>
      <w:r>
        <w:rPr>
          <w:rFonts w:ascii="宋体" w:hAnsi="宋体" w:eastAsia="宋体"/>
          <w:b w:val="0"/>
          <w:sz w:val="20"/>
        </w:rPr>
        <w:t>☐ 三台设备的记录表分表填写、设备名称与型号对应无误</w:t>
      </w:r>
    </w:p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