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616010">
      <w:pPr>
        <w:spacing w:before="0" w:after="200"/>
        <w:jc w:val="center"/>
      </w:pPr>
      <w:r>
        <w:rPr>
          <w:rFonts w:ascii="宋体" w:hAnsi="宋体" w:eastAsia="宋体"/>
          <w:b/>
          <w:color w:val="0D47A1"/>
          <w:sz w:val="32"/>
        </w:rPr>
        <w:t>素材7：实践任务3——路由器配置导出（华为 AR6120）</w:t>
      </w:r>
    </w:p>
    <w:p w14:paraId="535A0FE1">
      <w:pPr>
        <w:spacing w:before="0" w:after="120"/>
      </w:pPr>
      <w:r>
        <w:rPr>
          <w:rFonts w:ascii="宋体" w:hAnsi="宋体" w:eastAsia="宋体"/>
          <w:b/>
          <w:color w:val="0D47A1"/>
          <w:sz w:val="24"/>
        </w:rPr>
        <w:t>一、设备与环境信息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6"/>
        <w:gridCol w:w="6996"/>
      </w:tblGrid>
      <w:tr w14:paraId="40EFA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76" w:type="dxa"/>
            <w:shd w:val="clear" w:color="auto" w:fill="D9E2F3"/>
          </w:tcPr>
          <w:p w14:paraId="3D440843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项目</w:t>
            </w:r>
            <w:bookmarkStart w:id="0" w:name="_GoBack"/>
            <w:bookmarkEnd w:id="0"/>
          </w:p>
        </w:tc>
        <w:tc>
          <w:tcPr>
            <w:tcW w:w="6996" w:type="dxa"/>
            <w:shd w:val="clear" w:color="auto" w:fill="D9E2F3"/>
          </w:tcPr>
          <w:p w14:paraId="45D54B16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内容</w:t>
            </w:r>
          </w:p>
        </w:tc>
      </w:tr>
      <w:tr w14:paraId="0EF1D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76" w:type="dxa"/>
          </w:tcPr>
          <w:p w14:paraId="7988D74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设备类型</w:t>
            </w:r>
          </w:p>
        </w:tc>
        <w:tc>
          <w:tcPr>
            <w:tcW w:w="6996" w:type="dxa"/>
          </w:tcPr>
          <w:p w14:paraId="40BC54C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互联网出口路由器（安全通信网络）</w:t>
            </w:r>
          </w:p>
        </w:tc>
      </w:tr>
      <w:tr w14:paraId="4C2EB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76" w:type="dxa"/>
          </w:tcPr>
          <w:p w14:paraId="23D4C92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设备型号</w:t>
            </w:r>
          </w:p>
        </w:tc>
        <w:tc>
          <w:tcPr>
            <w:tcW w:w="6996" w:type="dxa"/>
          </w:tcPr>
          <w:p w14:paraId="6D33F92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华为 AR6120（AR6000 系列）</w:t>
            </w:r>
          </w:p>
        </w:tc>
      </w:tr>
      <w:tr w14:paraId="3A538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76" w:type="dxa"/>
          </w:tcPr>
          <w:p w14:paraId="295826B6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系统版本</w:t>
            </w:r>
          </w:p>
        </w:tc>
        <w:tc>
          <w:tcPr>
            <w:tcW w:w="6996" w:type="dxa"/>
          </w:tcPr>
          <w:p w14:paraId="6C12030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V300R022C00SPC100</w:t>
            </w:r>
          </w:p>
        </w:tc>
      </w:tr>
      <w:tr w14:paraId="0BF17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76" w:type="dxa"/>
          </w:tcPr>
          <w:p w14:paraId="7813F92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设备名称</w:t>
            </w:r>
          </w:p>
        </w:tc>
        <w:tc>
          <w:tcPr>
            <w:tcW w:w="6996" w:type="dxa"/>
          </w:tcPr>
          <w:p w14:paraId="17B42C9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RT-Border-01</w:t>
            </w:r>
          </w:p>
        </w:tc>
      </w:tr>
      <w:tr w14:paraId="717AE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76" w:type="dxa"/>
          </w:tcPr>
          <w:p w14:paraId="0EE1E90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管理地址</w:t>
            </w:r>
          </w:p>
        </w:tc>
        <w:tc>
          <w:tcPr>
            <w:tcW w:w="6996" w:type="dxa"/>
          </w:tcPr>
          <w:p w14:paraId="4673DAF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10.10.20.1（GigabitEthernet0/0/1，运维 VLAN）</w:t>
            </w:r>
          </w:p>
        </w:tc>
      </w:tr>
      <w:tr w14:paraId="2D09D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76" w:type="dxa"/>
          </w:tcPr>
          <w:p w14:paraId="3D8BEA9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导出方式</w:t>
            </w:r>
          </w:p>
        </w:tc>
        <w:tc>
          <w:tcPr>
            <w:tcW w:w="6996" w:type="dxa"/>
          </w:tcPr>
          <w:p w14:paraId="016A7E7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stelnet 10.10.20.1 登录后执行 display current-configuration</w:t>
            </w:r>
          </w:p>
        </w:tc>
      </w:tr>
      <w:tr w14:paraId="12C80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76" w:type="dxa"/>
          </w:tcPr>
          <w:p w14:paraId="5F9E5C5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导出时间</w:t>
            </w:r>
          </w:p>
        </w:tc>
        <w:tc>
          <w:tcPr>
            <w:tcW w:w="6996" w:type="dxa"/>
          </w:tcPr>
          <w:p w14:paraId="6A5AE9B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2025-03-18 11:05:26（终端回显带时间戳）</w:t>
            </w:r>
          </w:p>
        </w:tc>
      </w:tr>
      <w:tr w14:paraId="1E232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76" w:type="dxa"/>
          </w:tcPr>
          <w:p w14:paraId="6AF7C5C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说明</w:t>
            </w:r>
          </w:p>
        </w:tc>
        <w:tc>
          <w:tcPr>
            <w:tcW w:w="6996" w:type="dxa"/>
          </w:tcPr>
          <w:p w14:paraId="2FB9624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9"/>
              </w:rPr>
              <w:t>本文件为教学模拟配置，命令语法参照华为 AR6000 系列回显；标注仅供对照。</w:t>
            </w:r>
          </w:p>
        </w:tc>
      </w:tr>
    </w:tbl>
    <w:p w14:paraId="26C25E40">
      <w:pPr>
        <w:spacing w:before="200" w:after="120"/>
      </w:pPr>
      <w:r>
        <w:rPr>
          <w:rFonts w:ascii="宋体" w:hAnsi="宋体" w:eastAsia="宋体"/>
          <w:b/>
          <w:color w:val="0D47A1"/>
          <w:sz w:val="24"/>
        </w:rPr>
        <w:t>二、配置导出回显（display current-configuration 节选）</w:t>
      </w:r>
    </w:p>
    <w:p w14:paraId="6129E109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color w:val="1B5E20"/>
          <w:sz w:val="18"/>
        </w:rPr>
        <w:t># ===== 某企业出口路由器 RT-Border-01 配置导出（教学模拟） =====</w:t>
      </w:r>
    </w:p>
    <w:p w14:paraId="471FB226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color w:val="1B5E20"/>
          <w:sz w:val="18"/>
        </w:rPr>
        <w:t># 设备型号：华为 AR6120   系统版本：V300R022C00SPC100</w:t>
      </w:r>
    </w:p>
    <w:p w14:paraId="62B27782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color w:val="1B5E20"/>
          <w:sz w:val="18"/>
        </w:rPr>
        <w:t>#</w:t>
      </w:r>
    </w:p>
    <w:p w14:paraId="7413CB45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sysname RT-Border-01</w:t>
      </w:r>
    </w:p>
    <w:p w14:paraId="06EC45BB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color w:val="1B5E20"/>
          <w:sz w:val="18"/>
        </w:rPr>
        <w:t>#</w:t>
      </w:r>
    </w:p>
    <w:p w14:paraId="2C0F4F46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aaa</w:t>
      </w:r>
    </w:p>
    <w:p w14:paraId="4A1371DD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 local-user huawei password irreversible-cipher %^%#Rt9sVd~4M...</w:t>
      </w:r>
    </w:p>
    <w:p w14:paraId="6A36B8DC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 local-user huawei privilege level 15        # ❌ 出厂默认账号 huawei 未重命名</w:t>
      </w:r>
    </w:p>
    <w:p w14:paraId="4A3DAEFF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 local-user huawei service-type telnet        # ❌ 仅支持 Telnet 明文登录</w:t>
      </w:r>
    </w:p>
    <w:p w14:paraId="461B04E8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 local-user netadmin password irreversible-cipher %^%#Na6wQe~1H...</w:t>
      </w:r>
    </w:p>
    <w:p w14:paraId="71E25C90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 local-user netadmin privilege level 15       # ❌ 网络管理员拥有最高权限，无审计员账号</w:t>
      </w:r>
    </w:p>
    <w:p w14:paraId="72F1F3BD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 local-user netadmin service-type ssh</w:t>
      </w:r>
    </w:p>
    <w:p w14:paraId="62A2FB7B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color w:val="1B5E20"/>
          <w:sz w:val="18"/>
        </w:rPr>
        <w:t xml:space="preserve">  # ❌ 未配置任何 failed-times / lock-times，登录失败不锁定</w:t>
      </w:r>
    </w:p>
    <w:p w14:paraId="6900DFE6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color w:val="1B5E20"/>
          <w:sz w:val="18"/>
        </w:rPr>
        <w:t>#</w:t>
      </w:r>
    </w:p>
    <w:p w14:paraId="15012E7C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snmp-agent</w:t>
      </w:r>
    </w:p>
    <w:p w14:paraId="454EEB93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 snmp-agent sys-info version v2c              # ❌ 仍在使用 SNMPv2c</w:t>
      </w:r>
    </w:p>
    <w:p w14:paraId="1BC1873F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 snmp-agent community read cipher %^%#private%^%#   # ❌ 团体字为 private（且具备读写语义）</w:t>
      </w:r>
    </w:p>
    <w:p w14:paraId="1160BDD0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color w:val="1B5E20"/>
          <w:sz w:val="18"/>
        </w:rPr>
        <w:t xml:space="preserve">  # ❌ 未配置 snmp-agent sys-info contact / location</w:t>
      </w:r>
    </w:p>
    <w:p w14:paraId="66756969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color w:val="1B5E20"/>
          <w:sz w:val="18"/>
        </w:rPr>
        <w:t>#</w:t>
      </w:r>
    </w:p>
    <w:p w14:paraId="0BD9B39D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info-center enable                            # ✅ 日志功能已启用</w:t>
      </w:r>
    </w:p>
    <w:p w14:paraId="37F5B2FC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 info-center logfile save-time 90             # ❌ 日志仅保存 90 天，不足 180 天</w:t>
      </w:r>
    </w:p>
    <w:p w14:paraId="58C1239A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color w:val="1B5E20"/>
          <w:sz w:val="18"/>
        </w:rPr>
        <w:t>#</w:t>
      </w:r>
    </w:p>
    <w:p w14:paraId="5B680C39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acl number 2001</w:t>
      </w:r>
    </w:p>
    <w:p w14:paraId="22A11648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 rule 5 permit source any                     # ❌ 管理面 ACL 放通任意源 IP</w:t>
      </w:r>
    </w:p>
    <w:p w14:paraId="048D3FFF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color w:val="1B5E20"/>
          <w:sz w:val="18"/>
        </w:rPr>
        <w:t>#</w:t>
      </w:r>
    </w:p>
    <w:p w14:paraId="0FB3DEB6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interface GigabitEthernet0/0/0</w:t>
      </w:r>
    </w:p>
    <w:p w14:paraId="3AE0294E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 description TO-ISP</w:t>
      </w:r>
    </w:p>
    <w:p w14:paraId="61926483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 ip address 202.96.128.2 255.255.255.248</w:t>
      </w:r>
    </w:p>
    <w:p w14:paraId="4C2C7399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color w:val="1B5E20"/>
          <w:sz w:val="18"/>
        </w:rPr>
        <w:t xml:space="preserve">  # ❌ 公网接口上未限制管理协议（Telnet/SNMP 可从公网到达）</w:t>
      </w:r>
    </w:p>
    <w:p w14:paraId="6F2CA318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color w:val="1B5E20"/>
          <w:sz w:val="18"/>
        </w:rPr>
        <w:t>#</w:t>
      </w:r>
    </w:p>
    <w:p w14:paraId="1FDA37AF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interface GigabitEthernet0/0/1</w:t>
      </w:r>
    </w:p>
    <w:p w14:paraId="45DDFDF2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 description TO-LAN-OM</w:t>
      </w:r>
    </w:p>
    <w:p w14:paraId="0D406479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 ip address 10.10.20.1 255.255.255.0</w:t>
      </w:r>
    </w:p>
    <w:p w14:paraId="6E8DD0C1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color w:val="1B5E20"/>
          <w:sz w:val="18"/>
        </w:rPr>
        <w:t>#</w:t>
      </w:r>
    </w:p>
    <w:p w14:paraId="62D2850F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ip route-static 0.0.0.0 0.0.0.0 202.96.128.1</w:t>
      </w:r>
    </w:p>
    <w:p w14:paraId="1A4FAE66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color w:val="1B5E20"/>
          <w:sz w:val="18"/>
        </w:rPr>
        <w:t>#</w:t>
      </w:r>
    </w:p>
    <w:p w14:paraId="16C5DC64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telnet server enable                            # ❌ 明文 Telnet 已开启</w:t>
      </w:r>
    </w:p>
    <w:p w14:paraId="52F083E3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 xml:space="preserve"> stelnet server enable                           # ✅ SSH（stelnet）已开启</w:t>
      </w:r>
    </w:p>
    <w:p w14:paraId="71E6E246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color w:val="1B5E20"/>
          <w:sz w:val="18"/>
        </w:rPr>
        <w:t>#</w:t>
      </w:r>
    </w:p>
    <w:p w14:paraId="0BE5A6CD">
      <w:pPr>
        <w:shd w:val="clear" w:fill="F7F7F7"/>
        <w:spacing w:before="0" w:after="0" w:line="240" w:lineRule="auto"/>
        <w:ind w:left="170"/>
      </w:pPr>
      <w:r>
        <w:rPr>
          <w:rFonts w:ascii="Consolas" w:hAnsi="Consolas" w:eastAsia="宋体"/>
          <w:b w:val="0"/>
          <w:sz w:val="18"/>
        </w:rPr>
        <w:t>return</w:t>
      </w:r>
    </w:p>
    <w:p w14:paraId="3F1AB20C">
      <w:pPr>
        <w:spacing w:before="200" w:after="120"/>
      </w:pPr>
      <w:r>
        <w:rPr>
          <w:rFonts w:ascii="宋体" w:hAnsi="宋体" w:eastAsia="宋体"/>
          <w:b/>
          <w:color w:val="0D47A1"/>
          <w:sz w:val="24"/>
        </w:rPr>
        <w:t>三、问题分析（供填表对照）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1"/>
        <w:gridCol w:w="4065"/>
        <w:gridCol w:w="2493"/>
        <w:gridCol w:w="2493"/>
      </w:tblGrid>
      <w:tr w14:paraId="20ACD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1" w:type="dxa"/>
            <w:shd w:val="clear" w:color="auto" w:fill="D9E2F3"/>
          </w:tcPr>
          <w:p w14:paraId="35E603EA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w="4065" w:type="dxa"/>
            <w:shd w:val="clear" w:color="auto" w:fill="D9E2F3"/>
          </w:tcPr>
          <w:p w14:paraId="77EC447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问题</w:t>
            </w:r>
          </w:p>
        </w:tc>
        <w:tc>
          <w:tcPr>
            <w:tcW w:w="2493" w:type="dxa"/>
            <w:shd w:val="clear" w:color="auto" w:fill="D9E2F3"/>
          </w:tcPr>
          <w:p w14:paraId="6201B7CE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合规性</w:t>
            </w:r>
          </w:p>
        </w:tc>
        <w:tc>
          <w:tcPr>
            <w:tcW w:w="2493" w:type="dxa"/>
            <w:shd w:val="clear" w:color="auto" w:fill="D9E2F3"/>
          </w:tcPr>
          <w:p w14:paraId="6A1C10C1"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 w14:paraId="1029A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1" w:type="dxa"/>
          </w:tcPr>
          <w:p w14:paraId="119656A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w="4065" w:type="dxa"/>
          </w:tcPr>
          <w:p w14:paraId="4C1679C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出厂默认账号 huawei 未重命名</w:t>
            </w:r>
          </w:p>
        </w:tc>
        <w:tc>
          <w:tcPr>
            <w:tcW w:w="2493" w:type="dxa"/>
          </w:tcPr>
          <w:p w14:paraId="2E17060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❌ 不符合</w:t>
            </w:r>
          </w:p>
        </w:tc>
        <w:tc>
          <w:tcPr>
            <w:tcW w:w="2493" w:type="dxa"/>
          </w:tcPr>
          <w:p w14:paraId="6F56895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默认账号应重命名或删除</w:t>
            </w:r>
          </w:p>
        </w:tc>
      </w:tr>
      <w:tr w14:paraId="6AF9B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1" w:type="dxa"/>
          </w:tcPr>
          <w:p w14:paraId="499FEF8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w="4065" w:type="dxa"/>
          </w:tcPr>
          <w:p w14:paraId="4793378F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未配置登录失败处理（failed-times / lock-times）</w:t>
            </w:r>
          </w:p>
        </w:tc>
        <w:tc>
          <w:tcPr>
            <w:tcW w:w="2493" w:type="dxa"/>
          </w:tcPr>
          <w:p w14:paraId="35A4664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❌ 不符合</w:t>
            </w:r>
          </w:p>
        </w:tc>
        <w:tc>
          <w:tcPr>
            <w:tcW w:w="2493" w:type="dxa"/>
          </w:tcPr>
          <w:p w14:paraId="40F46CA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应配置阈值 ≤5 次、锁定 ≥15 分钟</w:t>
            </w:r>
          </w:p>
        </w:tc>
      </w:tr>
      <w:tr w14:paraId="13FAB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1" w:type="dxa"/>
          </w:tcPr>
          <w:p w14:paraId="6DE8E91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w="4065" w:type="dxa"/>
          </w:tcPr>
          <w:p w14:paraId="4CE0F48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Telnet 明文管理已开启</w:t>
            </w:r>
          </w:p>
        </w:tc>
        <w:tc>
          <w:tcPr>
            <w:tcW w:w="2493" w:type="dxa"/>
          </w:tcPr>
          <w:p w14:paraId="2C0FE8A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❌ 不符合</w:t>
            </w:r>
          </w:p>
        </w:tc>
        <w:tc>
          <w:tcPr>
            <w:tcW w:w="2493" w:type="dxa"/>
          </w:tcPr>
          <w:p w14:paraId="649D303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应关闭 Telnet，仅保留 stelnet</w:t>
            </w:r>
          </w:p>
        </w:tc>
      </w:tr>
      <w:tr w14:paraId="714C8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1" w:type="dxa"/>
          </w:tcPr>
          <w:p w14:paraId="457C624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w="4065" w:type="dxa"/>
          </w:tcPr>
          <w:p w14:paraId="2107E0E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SNMPv2c + community private</w:t>
            </w:r>
          </w:p>
        </w:tc>
        <w:tc>
          <w:tcPr>
            <w:tcW w:w="2493" w:type="dxa"/>
          </w:tcPr>
          <w:p w14:paraId="724E62D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❌ 不符合</w:t>
            </w:r>
          </w:p>
        </w:tc>
        <w:tc>
          <w:tcPr>
            <w:tcW w:w="2493" w:type="dxa"/>
          </w:tcPr>
          <w:p w14:paraId="73487BC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应升级 SNMPv3，删除弱团体字</w:t>
            </w:r>
          </w:p>
        </w:tc>
      </w:tr>
      <w:tr w14:paraId="24378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1" w:type="dxa"/>
          </w:tcPr>
          <w:p w14:paraId="79A9D350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w="4065" w:type="dxa"/>
          </w:tcPr>
          <w:p w14:paraId="573E86C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未配置 SNMP 联系人 / 设备位置</w:t>
            </w:r>
          </w:p>
        </w:tc>
        <w:tc>
          <w:tcPr>
            <w:tcW w:w="2493" w:type="dxa"/>
          </w:tcPr>
          <w:p w14:paraId="7E840E1B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❌ 不符合</w:t>
            </w:r>
          </w:p>
        </w:tc>
        <w:tc>
          <w:tcPr>
            <w:tcW w:w="2493" w:type="dxa"/>
          </w:tcPr>
          <w:p w14:paraId="6B3EDE2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管理信息不完整，不利于资产管理</w:t>
            </w:r>
          </w:p>
        </w:tc>
      </w:tr>
      <w:tr w14:paraId="1FFD71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1" w:type="dxa"/>
          </w:tcPr>
          <w:p w14:paraId="38E44CB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w="4065" w:type="dxa"/>
          </w:tcPr>
          <w:p w14:paraId="25EB370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日志仅保存 90 天</w:t>
            </w:r>
          </w:p>
        </w:tc>
        <w:tc>
          <w:tcPr>
            <w:tcW w:w="2493" w:type="dxa"/>
          </w:tcPr>
          <w:p w14:paraId="0775AFCA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❌ 不符合</w:t>
            </w:r>
          </w:p>
        </w:tc>
        <w:tc>
          <w:tcPr>
            <w:tcW w:w="2493" w:type="dxa"/>
          </w:tcPr>
          <w:p w14:paraId="6DE79F22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应不少于 180 天</w:t>
            </w:r>
          </w:p>
        </w:tc>
      </w:tr>
      <w:tr w14:paraId="075B7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1" w:type="dxa"/>
          </w:tcPr>
          <w:p w14:paraId="0ACF77CC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w="4065" w:type="dxa"/>
          </w:tcPr>
          <w:p w14:paraId="5FD48BC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公网接口未限制管理协议可达性</w:t>
            </w:r>
          </w:p>
        </w:tc>
        <w:tc>
          <w:tcPr>
            <w:tcW w:w="2493" w:type="dxa"/>
          </w:tcPr>
          <w:p w14:paraId="73A11D4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❌ 不符合</w:t>
            </w:r>
          </w:p>
        </w:tc>
        <w:tc>
          <w:tcPr>
            <w:tcW w:w="2493" w:type="dxa"/>
          </w:tcPr>
          <w:p w14:paraId="55E9C24E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应在公网接口屏蔽 22/23/161 等管理端口</w:t>
            </w:r>
          </w:p>
        </w:tc>
      </w:tr>
      <w:tr w14:paraId="5E74B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1" w:type="dxa"/>
          </w:tcPr>
          <w:p w14:paraId="7B5FB84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w="4065" w:type="dxa"/>
          </w:tcPr>
          <w:p w14:paraId="35C9C1D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ACL 2001 允许任意源 IP</w:t>
            </w:r>
          </w:p>
        </w:tc>
        <w:tc>
          <w:tcPr>
            <w:tcW w:w="2493" w:type="dxa"/>
          </w:tcPr>
          <w:p w14:paraId="02D553F4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❌ 不符合</w:t>
            </w:r>
          </w:p>
        </w:tc>
        <w:tc>
          <w:tcPr>
            <w:tcW w:w="2493" w:type="dxa"/>
          </w:tcPr>
          <w:p w14:paraId="70448599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应仅放通运维网段 10.10.20.0/24</w:t>
            </w:r>
          </w:p>
        </w:tc>
      </w:tr>
      <w:tr w14:paraId="0186C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1" w:type="dxa"/>
          </w:tcPr>
          <w:p w14:paraId="0CE70EB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w="4065" w:type="dxa"/>
          </w:tcPr>
          <w:p w14:paraId="4DA9ABB3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无独立审计员账号（netadmin 兼配置与审计）</w:t>
            </w:r>
          </w:p>
        </w:tc>
        <w:tc>
          <w:tcPr>
            <w:tcW w:w="2493" w:type="dxa"/>
          </w:tcPr>
          <w:p w14:paraId="051698E5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❌ 不符合</w:t>
            </w:r>
          </w:p>
        </w:tc>
        <w:tc>
          <w:tcPr>
            <w:tcW w:w="2493" w:type="dxa"/>
          </w:tcPr>
          <w:p w14:paraId="5FCD4971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应新建 level 5 审计账号，实现权限分离</w:t>
            </w:r>
          </w:p>
        </w:tc>
      </w:tr>
      <w:tr w14:paraId="55906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1" w:type="dxa"/>
          </w:tcPr>
          <w:p w14:paraId="7723BCA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w="4065" w:type="dxa"/>
          </w:tcPr>
          <w:p w14:paraId="228C9F58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stelnet / info-center 已开启</w:t>
            </w:r>
          </w:p>
        </w:tc>
        <w:tc>
          <w:tcPr>
            <w:tcW w:w="2493" w:type="dxa"/>
          </w:tcPr>
          <w:p w14:paraId="33E875B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✅ 符合</w:t>
            </w:r>
          </w:p>
        </w:tc>
        <w:tc>
          <w:tcPr>
            <w:tcW w:w="2493" w:type="dxa"/>
          </w:tcPr>
          <w:p w14:paraId="4895CF1D">
            <w:pPr>
              <w:spacing w:before="20" w:after="20" w:line="240" w:lineRule="auto"/>
            </w:pPr>
            <w:r>
              <w:rPr>
                <w:rFonts w:ascii="宋体" w:hAnsi="宋体" w:eastAsia="宋体"/>
                <w:b w:val="0"/>
                <w:sz w:val="18"/>
              </w:rPr>
              <w:t>加密管理与安全审计基础功能已具备</w:t>
            </w:r>
          </w:p>
        </w:tc>
      </w:tr>
    </w:tbl>
    <w:p w14:paraId="198384D0"/>
    <w:sectPr>
      <w:pgSz w:w="12240" w:h="15840"/>
      <w:pgMar w:top="1134" w:right="1134" w:bottom="1134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8295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760</Words>
  <Characters>1787</Characters>
  <Lines>0</Lines>
  <Paragraphs>0</Paragraphs>
  <TotalTime>7</TotalTime>
  <ScaleCrop>false</ScaleCrop>
  <LinksUpToDate>false</LinksUpToDate>
  <CharactersWithSpaces>2165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202603</cp:lastModifiedBy>
  <dcterms:modified xsi:type="dcterms:W3CDTF">2026-10-10T05:29:27Z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eyJoZGlkIjoiMGQwNTAyNjNhOWMwYzIwMjNiMDBmMzUxM2ExM2M2NzMiLCJ1c2VySWQiOiIxODY3MTAxOTU2In0=</vt:lpwstr>
  </property>
  <property fmtid="{D5CDD505-2E9C-101B-9397-08002B2CF9AE}" pid="3" name="KSOProductBuildVer">
    <vt:lpwstr>2052-12.1.0.19302</vt:lpwstr>
  </property>
  <property fmtid="{D5CDD505-2E9C-101B-9397-08002B2CF9AE}" pid="4" name="ICV">
    <vt:lpwstr>EBF597FA5CDA4AF798C54D4EC302D6FD_12</vt:lpwstr>
  </property>
</Properties>
</file>